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B6D" w:rsidP="00FC5B6D">
      <w:pPr>
        <w:pStyle w:val="Title"/>
      </w:pPr>
      <w:r>
        <w:fldChar w:fldCharType="begin"/>
      </w:r>
      <w:r>
        <w:instrText xml:space="preserve"> TITLE   \* MERGEFORMAT </w:instrText>
      </w:r>
      <w:r>
        <w:fldChar w:fldCharType="separate"/>
      </w:r>
      <w:r>
        <w:t>UEENEEG103A Install low voltage wiring and accessories</w:t>
      </w:r>
      <w:r>
        <w:fldChar w:fldCharType="end"/>
      </w:r>
    </w:p>
    <w:p w:rsidR="00FC5B6D" w:rsidP="00FC5B6D">
      <w:pPr>
        <w:pStyle w:val="Version"/>
        <w:sectPr w:rsidSect="00865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54CB" w:rsidP="008654CB">
      <w:pPr>
        <w:pStyle w:val="SuperHeading"/>
      </w:pPr>
      <w:r w:rsidRPr="008654CB">
        <w:t>UEENEEG103A Install low voltage wiring and accessories</w:t>
      </w:r>
    </w:p>
    <w:p w:rsidR="00000000" w:rsidRPr="008654CB" w:rsidP="008654CB">
      <w:pPr>
        <w:pStyle w:val="Heading1"/>
      </w:pPr>
      <w:bookmarkStart w:id="1" w:name="O_584947"/>
      <w:bookmarkEnd w:id="1"/>
      <w:r w:rsidRPr="008654CB">
        <w:t>Modification History</w:t>
      </w:r>
    </w:p>
    <w:p w:rsidR="00000000" w:rsidRPr="008654CB" w:rsidP="008654CB">
      <w:pPr>
        <w:pStyle w:val="BodyText"/>
      </w:pPr>
      <w:r w:rsidRPr="008654CB">
        <w:t>Not Applicable</w:t>
      </w:r>
    </w:p>
    <w:p w:rsidR="00000000" w:rsidRPr="008654CB" w:rsidP="008654CB">
      <w:pPr>
        <w:pStyle w:val="AllowPageBreak"/>
      </w:pPr>
    </w:p>
    <w:p w:rsidR="00000000" w:rsidRPr="008654CB" w:rsidP="008654CB">
      <w:pPr>
        <w:pStyle w:val="Heading1"/>
      </w:pPr>
      <w:bookmarkStart w:id="2" w:name="O_584946"/>
      <w:bookmarkEnd w:id="2"/>
      <w:r w:rsidRPr="008654CB">
        <w:t>Unit Descriptor</w:t>
      </w:r>
    </w:p>
    <w:tbl>
      <w:tblPr>
        <w:tblW w:w="0" w:type="auto"/>
        <w:tblLayout w:type="fixed"/>
        <w:tblCellMar>
          <w:left w:w="62" w:type="dxa"/>
          <w:right w:w="62" w:type="dxa"/>
        </w:tblCellMar>
        <w:tblLook w:val="0000"/>
      </w:tblPr>
      <w:tblGrid>
        <w:gridCol w:w="2700"/>
        <w:gridCol w:w="5760"/>
      </w:tblGrid>
      <w:tr w:rsidTr="00FC5B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1</w:t>
            </w:r>
            <w:r w:rsidRPr="008654CB">
              <w:t xml:space="preserve">) </w:t>
            </w:r>
          </w:p>
          <w:p w:rsidR="00000000" w:rsidP="008654CB">
            <w:pPr>
              <w:pStyle w:val="BodyText"/>
              <w:rPr>
                <w:lang w:val="en-NZ"/>
              </w:rPr>
            </w:pPr>
            <w:r w:rsidRPr="008654CB">
              <w:rPr>
                <w:rStyle w:val="SpecialBold"/>
              </w:rPr>
              <w:t>1</w:t>
            </w:r>
            <w:r w:rsidRPr="008654CB">
              <w:t>.</w:t>
            </w:r>
            <w:r w:rsidRPr="008654CB">
              <w:rPr>
                <w:rStyle w:val="SpecialBold"/>
              </w:rPr>
              <w:t>1</w:t>
            </w:r>
            <w:r w:rsidRPr="008654CB">
              <w:t xml:space="preserve">) </w:t>
            </w:r>
            <w:r w:rsidRPr="008654CB">
              <w:rPr>
                <w:rStyle w:val="SpecialBold"/>
              </w:rPr>
              <w:t>Descriptor</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This unit covers the installation in building and premises of wiring enclosures, cable support systems, cables and accessories and de</w:t>
            </w:r>
            <w:r w:rsidRPr="008654CB">
              <w:t>signed to operate at voltages up to 1,000 V a.c. or 1,500 V d.c. It encompasses working safely and to installation standards, routing cables to specified locations, terminating cables and connecting wiring at accessories and completing the necessary instal</w:t>
            </w:r>
            <w:r w:rsidRPr="008654CB">
              <w:t>lation documentation.</w:t>
            </w:r>
          </w:p>
        </w:tc>
      </w:tr>
    </w:tbl>
    <w:p w:rsidR="00FC5B6D" w:rsidP="008654CB">
      <w:pPr>
        <w:pStyle w:val="BodyText"/>
      </w:pPr>
    </w:p>
    <w:p w:rsidR="00FC5B6D" w:rsidP="008654CB">
      <w:pPr>
        <w:pStyle w:val="BodyText"/>
      </w:pPr>
    </w:p>
    <w:p w:rsidR="00000000" w:rsidRPr="008654CB" w:rsidP="008654CB">
      <w:pPr>
        <w:pStyle w:val="Heading1"/>
      </w:pPr>
      <w:bookmarkStart w:id="3" w:name="O_584945"/>
      <w:bookmarkEnd w:id="3"/>
      <w:r w:rsidRPr="008654CB">
        <w:t>Application of the Unit</w:t>
      </w:r>
    </w:p>
    <w:p w:rsidR="00000000" w:rsidRPr="008654CB" w:rsidP="008654CB">
      <w:pPr>
        <w:pStyle w:val="BodyText"/>
      </w:pPr>
      <w:r w:rsidRPr="008654CB">
        <w:t>Not Applicable</w:t>
      </w:r>
    </w:p>
    <w:p w:rsidR="00000000" w:rsidRPr="008654CB" w:rsidP="008654CB">
      <w:pPr>
        <w:pStyle w:val="AllowPageBreak"/>
      </w:pPr>
    </w:p>
    <w:p w:rsidR="00000000" w:rsidRPr="008654CB" w:rsidP="008654CB">
      <w:pPr>
        <w:pStyle w:val="Heading1"/>
      </w:pPr>
      <w:bookmarkStart w:id="4" w:name="O_584944"/>
      <w:bookmarkEnd w:id="4"/>
      <w:r w:rsidRPr="008654CB">
        <w:t>Licensing/Regulatory Information</w:t>
      </w:r>
    </w:p>
    <w:tbl>
      <w:tblPr>
        <w:tblW w:w="0" w:type="auto"/>
        <w:tblLayout w:type="fixed"/>
        <w:tblCellMar>
          <w:left w:w="62" w:type="dxa"/>
          <w:right w:w="62" w:type="dxa"/>
        </w:tblCellMar>
        <w:tblLook w:val="0000"/>
      </w:tblPr>
      <w:tblGrid>
        <w:gridCol w:w="8460"/>
      </w:tblGrid>
      <w:tr w:rsidTr="00FC5B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1</w:t>
            </w:r>
            <w:r w:rsidRPr="008654CB">
              <w:t>.</w:t>
            </w:r>
            <w:r w:rsidRPr="008654CB">
              <w:rPr>
                <w:rStyle w:val="SpecialBold"/>
              </w:rPr>
              <w:t>2</w:t>
            </w:r>
            <w:r w:rsidRPr="008654CB">
              <w:t xml:space="preserve">) </w:t>
            </w:r>
            <w:r w:rsidRPr="008654CB">
              <w:rPr>
                <w:rStyle w:val="SpecialBold"/>
              </w:rPr>
              <w:t>License to practice</w:t>
            </w:r>
          </w:p>
        </w:tc>
      </w:tr>
      <w:tr w:rsidTr="00FC5B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During Training</w:t>
            </w:r>
            <w:r w:rsidRPr="008654CB">
              <w:t>: Competency development activities are subject to regulations directly related to licensing, occupational health and safety and where applicable contracts of training such as apprenticeships.</w:t>
            </w:r>
          </w:p>
          <w:p w:rsidR="00000000" w:rsidRPr="008654CB" w:rsidP="008654CB">
            <w:pPr>
              <w:pStyle w:val="BodyText"/>
            </w:pPr>
            <w:r w:rsidRPr="008654CB">
              <w:rPr>
                <w:rStyle w:val="SpecialBold"/>
              </w:rPr>
              <w:t>In the workplace</w:t>
            </w:r>
            <w:r w:rsidRPr="008654CB">
              <w:t>: The application of the skills and knowledge d</w:t>
            </w:r>
            <w:r w:rsidRPr="008654CB">
              <w:t xml:space="preserve">escribed in this unit require a license to practice in the workplace where work is carried out on electrical equipment or installations which are designed to operate at voltages greater than 50 V a.c. or 120 V d.c. </w:t>
            </w:r>
          </w:p>
          <w:p w:rsidR="00000000" w:rsidRPr="008654CB" w:rsidP="008654CB">
            <w:pPr>
              <w:pStyle w:val="BodyText"/>
            </w:pPr>
            <w:r w:rsidRPr="008654CB">
              <w:t>Other conditions may apply under State a</w:t>
            </w:r>
            <w:r w:rsidRPr="008654CB">
              <w:t xml:space="preserve">nd Territory legislative and regulatory requirements. </w:t>
            </w:r>
          </w:p>
        </w:tc>
      </w:tr>
    </w:tbl>
    <w:p w:rsidR="00FC5B6D" w:rsidP="008654CB">
      <w:pPr>
        <w:pStyle w:val="BodyText"/>
      </w:pPr>
    </w:p>
    <w:p w:rsidR="00FC5B6D" w:rsidP="008654CB">
      <w:pPr>
        <w:pStyle w:val="BodyText"/>
      </w:pPr>
    </w:p>
    <w:p w:rsidR="00000000" w:rsidRPr="008654CB" w:rsidP="008654CB">
      <w:pPr>
        <w:pStyle w:val="Heading1"/>
      </w:pPr>
      <w:bookmarkStart w:id="5" w:name="O_584943"/>
      <w:bookmarkEnd w:id="5"/>
      <w:r w:rsidRPr="008654CB">
        <w:t>Pre-Requisites</w:t>
      </w:r>
    </w:p>
    <w:tbl>
      <w:tblPr>
        <w:tblW w:w="0" w:type="auto"/>
        <w:tblLayout w:type="fixed"/>
        <w:tblCellMar>
          <w:left w:w="62" w:type="dxa"/>
          <w:right w:w="62" w:type="dxa"/>
        </w:tblCellMar>
        <w:tblLook w:val="0000"/>
      </w:tblPr>
      <w:tblGrid>
        <w:gridCol w:w="2700"/>
        <w:gridCol w:w="1530"/>
        <w:gridCol w:w="4230"/>
      </w:tblGrid>
      <w:tr w:rsidTr="00FC5B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Prerequisite Unit</w:t>
            </w:r>
            <w:r w:rsidRPr="008654CB">
              <w:t>(</w:t>
            </w:r>
            <w:r w:rsidRPr="008654CB">
              <w:rPr>
                <w:rStyle w:val="SpecialBold"/>
              </w:rPr>
              <w:t>s</w:t>
            </w:r>
            <w:r w:rsidRPr="008654CB">
              <w:t>)</w:t>
            </w:r>
          </w:p>
        </w:tc>
        <w:tc>
          <w:tcPr>
            <w:tcW w:w="5760"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2</w:t>
            </w:r>
            <w:r w:rsidRPr="008654CB">
              <w:t xml:space="preserve">) </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54C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2</w:t>
            </w:r>
            <w:r w:rsidRPr="008654CB">
              <w:t>.</w:t>
            </w:r>
            <w:r w:rsidRPr="008654CB">
              <w:rPr>
                <w:rStyle w:val="SpecialBold"/>
              </w:rPr>
              <w:t>1</w:t>
            </w:r>
            <w:r w:rsidRPr="008654CB">
              <w:t xml:space="preserve">) </w:t>
            </w:r>
            <w:r w:rsidRPr="008654CB">
              <w:rPr>
                <w:rStyle w:val="SpecialBold"/>
              </w:rPr>
              <w:t>Competencies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Granting competency in this unit shall be made only after competency in the following unit(s) has/have been confirmed.</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Apply Occupational Health and Safety regulations, codes and practices in the workplace</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UEENEEE102A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Fabricate, dismantle, assemble of electrotechnology components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UEENEEE104A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Solve problems in d.c circuits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UEENEEE105A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Fix and secure electrotechnology equipment</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UEENEEE107A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Use drawings, diagrams, schedules, standards, codes and specifications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w:t>
            </w:r>
            <w:r w:rsidRPr="008654CB">
              <w:t xml:space="preserve">EENEEE137A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Document and apply measures to control OHS risks associated with electrotechnology work</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UEENEEG00</w:t>
            </w:r>
            <w:r w:rsidRPr="008654CB">
              <w:t xml:space="preserve">6A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Solve problems in single and three phase </w:t>
            </w:r>
            <w:r w:rsidRPr="008654CB">
              <w:t>low voltage machines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UEENEEG033A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Solve problems in single and three phase electrical apparatus and circuits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UEENEEG063A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Arrange circuits, control and protection for general electrical installations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UEENEEG101A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Solve problems in electromagnetic devices and related circuits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UEENEEG1</w:t>
            </w:r>
            <w:r w:rsidRPr="008654CB">
              <w:t xml:space="preserve">02A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Solve problems in low voltage a.c. circuit</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UEENEEG106A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Terminate cables, cords and accessories for low voltage circuits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UEENEEG107A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Select wiring systems and cables for low voltage general electrical installations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UEENEEG108A </w:t>
            </w:r>
          </w:p>
        </w:tc>
        <w:tc>
          <w:tcPr>
            <w:tcW w:w="42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Trouble-shoot and repair faults in low voltage electrical apparatus and circuits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UEENEEG109A </w:t>
            </w:r>
          </w:p>
        </w:tc>
        <w:tc>
          <w:tcPr>
            <w:tcW w:w="423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Develop and connect electrical control circuits</w:t>
            </w:r>
          </w:p>
        </w:tc>
      </w:tr>
    </w:tbl>
    <w:p w:rsidR="00FC5B6D" w:rsidP="008654CB">
      <w:pPr>
        <w:pStyle w:val="BodyText"/>
      </w:pPr>
    </w:p>
    <w:p w:rsidR="00FC5B6D" w:rsidP="008654CB">
      <w:pPr>
        <w:pStyle w:val="BodyText"/>
      </w:pPr>
    </w:p>
    <w:p w:rsidR="00000000" w:rsidRPr="008654CB" w:rsidP="008654CB">
      <w:pPr>
        <w:pStyle w:val="Heading1"/>
      </w:pPr>
      <w:bookmarkStart w:id="6" w:name="O_584942"/>
      <w:bookmarkEnd w:id="6"/>
      <w:r w:rsidRPr="008654CB">
        <w:t>Employability Skills Information</w:t>
      </w:r>
    </w:p>
    <w:tbl>
      <w:tblPr>
        <w:tblW w:w="0" w:type="auto"/>
        <w:tblLayout w:type="fixed"/>
        <w:tblCellMar>
          <w:left w:w="62" w:type="dxa"/>
          <w:right w:w="62" w:type="dxa"/>
        </w:tblCellMar>
        <w:tblLook w:val="0000"/>
      </w:tblPr>
      <w:tblGrid>
        <w:gridCol w:w="2700"/>
        <w:gridCol w:w="5760"/>
      </w:tblGrid>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3</w:t>
            </w:r>
            <w:r w:rsidRPr="008654CB">
              <w:t>)</w:t>
            </w:r>
          </w:p>
          <w:p w:rsidR="00000000" w:rsidRPr="008654CB" w:rsidP="008654CB">
            <w:pPr>
              <w:pStyle w:val="BodyText"/>
            </w:pPr>
            <w:r w:rsidRPr="008654CB">
              <w:t>This unit contains Employability Sk</w:t>
            </w:r>
            <w:r w:rsidRPr="008654CB">
              <w:t>ills</w:t>
            </w:r>
          </w:p>
          <w:p w:rsidR="00000000" w:rsidP="008654CB">
            <w:pPr>
              <w:pStyle w:val="BodyText"/>
              <w:rPr>
                <w:lang w:val="en-NZ"/>
              </w:rPr>
            </w:pPr>
            <w:r w:rsidRPr="008654CB">
              <w:t>The required outcomes described in this unit of competency contain applicable facets of Employability Skills. The Employability Skills Summary of the qualification in which this unit of competency is packaged will assist in identifying Employability S</w:t>
            </w:r>
            <w:r w:rsidRPr="008654CB">
              <w:t>kill requirements.</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4</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54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4</w:t>
            </w:r>
            <w:r w:rsidRPr="008654CB">
              <w:t>.</w:t>
            </w:r>
            <w:r w:rsidRPr="008654CB">
              <w:rPr>
                <w:rStyle w:val="SpecialBold"/>
              </w:rPr>
              <w:t>1</w:t>
            </w:r>
            <w:r w:rsidRPr="008654CB">
              <w:t xml:space="preserve">) </w:t>
            </w:r>
            <w:r w:rsidRPr="008654CB">
              <w:rPr>
                <w:rStyle w:val="SpecialBold"/>
              </w:rPr>
              <w:t>General Application</w:t>
            </w:r>
            <w:r w:rsidRPr="008654CB">
              <w:t xml:space="preserve"> </w:t>
            </w:r>
          </w:p>
          <w:p w:rsidR="00000000" w:rsidRPr="008654CB" w:rsidP="008654CB">
            <w:pPr>
              <w:pStyle w:val="BodyText"/>
            </w:pPr>
            <w:r w:rsidRPr="008654CB">
              <w:t xml:space="preserve">This unit applies to all qualifications, competencies and/or Skill Sets which require an electrical license. </w:t>
            </w:r>
          </w:p>
          <w:p w:rsidR="00000000" w:rsidRPr="008654CB" w:rsidP="008654CB">
            <w:pPr>
              <w:pStyle w:val="BodyText"/>
            </w:pPr>
            <w:r w:rsidRPr="008654CB">
              <w:rPr>
                <w:rStyle w:val="SpecialBold"/>
              </w:rPr>
              <w:t>4</w:t>
            </w:r>
            <w:r w:rsidRPr="008654CB">
              <w:t>.</w:t>
            </w:r>
            <w:r w:rsidRPr="008654CB">
              <w:rPr>
                <w:rStyle w:val="SpecialBold"/>
              </w:rPr>
              <w:t>2</w:t>
            </w:r>
            <w:r w:rsidRPr="008654CB">
              <w:t xml:space="preserve">) </w:t>
            </w:r>
            <w:r w:rsidRPr="008654CB">
              <w:rPr>
                <w:rStyle w:val="SpecialBold"/>
              </w:rPr>
              <w:t>Importation</w:t>
            </w:r>
            <w:r w:rsidRPr="008654CB">
              <w:t xml:space="preserve"> </w:t>
            </w:r>
          </w:p>
          <w:p w:rsidR="00000000" w:rsidRPr="008654CB" w:rsidP="008654CB">
            <w:pPr>
              <w:pStyle w:val="BodyText"/>
            </w:pPr>
            <w:r w:rsidRPr="008654CB">
              <w:t xml:space="preserve">RTOs wishing to import this unit into any qualification under the flexibility provisions of NQC Training Package Policy </w:t>
            </w:r>
          </w:p>
        </w:tc>
      </w:tr>
    </w:tbl>
    <w:p w:rsidR="00FC5B6D" w:rsidP="008654CB">
      <w:pPr>
        <w:pStyle w:val="BodyText"/>
      </w:pPr>
    </w:p>
    <w:p w:rsidR="00FC5B6D" w:rsidP="008654CB">
      <w:pPr>
        <w:pStyle w:val="BodyText"/>
      </w:pPr>
    </w:p>
    <w:p w:rsidR="00000000" w:rsidRPr="008654CB" w:rsidP="008654CB">
      <w:pPr>
        <w:pStyle w:val="Heading1"/>
      </w:pPr>
      <w:bookmarkStart w:id="7" w:name="O_584941"/>
      <w:bookmarkEnd w:id="7"/>
      <w:r w:rsidRPr="008654CB">
        <w:t>Elements and Performance Criteria Pre-Content</w:t>
      </w:r>
    </w:p>
    <w:tbl>
      <w:tblPr>
        <w:tblW w:w="0" w:type="auto"/>
        <w:tblLayout w:type="fixed"/>
        <w:tblCellMar>
          <w:left w:w="62" w:type="dxa"/>
          <w:right w:w="62" w:type="dxa"/>
        </w:tblCellMar>
        <w:tblLook w:val="0000"/>
      </w:tblPr>
      <w:tblGrid>
        <w:gridCol w:w="2703"/>
        <w:gridCol w:w="6192"/>
      </w:tblGrid>
      <w:tr w:rsidTr="00FC5B6D">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6</w:t>
            </w:r>
            <w:r w:rsidRPr="008654CB">
              <w:t>) Elements describe the essential outcomes of a unit of competency</w:t>
            </w:r>
          </w:p>
        </w:tc>
        <w:tc>
          <w:tcPr>
            <w:tcW w:w="6192"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P</w:t>
            </w:r>
            <w:r w:rsidRPr="008654CB">
              <w:t>erformance criteria describe the required performance needed to demonstrate achievement of the Element. Assessment of performance is to be consistent with the evidence guide.</w:t>
            </w:r>
          </w:p>
        </w:tc>
      </w:tr>
    </w:tbl>
    <w:p w:rsidR="00000000" w:rsidRPr="008654CB" w:rsidP="008654CB">
      <w:pPr>
        <w:pStyle w:val="BodyText"/>
      </w:pPr>
    </w:p>
    <w:p w:rsidR="00000000" w:rsidRPr="008654CB" w:rsidP="008654CB">
      <w:pPr>
        <w:pStyle w:val="AllowPageBreak"/>
      </w:pPr>
    </w:p>
    <w:p w:rsidR="00000000" w:rsidRPr="008654CB" w:rsidP="008654CB">
      <w:pPr>
        <w:pStyle w:val="Heading1"/>
      </w:pPr>
      <w:bookmarkStart w:id="8" w:name="O_584940"/>
      <w:bookmarkEnd w:id="8"/>
      <w:r w:rsidRPr="008654CB">
        <w:t>Elements and Performance Criteria</w:t>
      </w:r>
    </w:p>
    <w:tbl>
      <w:tblPr>
        <w:tblW w:w="0" w:type="auto"/>
        <w:tblLayout w:type="fixed"/>
        <w:tblCellMar>
          <w:left w:w="62" w:type="dxa"/>
          <w:right w:w="62" w:type="dxa"/>
        </w:tblCellMar>
        <w:tblLook w:val="0000"/>
      </w:tblPr>
      <w:tblGrid>
        <w:gridCol w:w="405"/>
        <w:gridCol w:w="2298"/>
        <w:gridCol w:w="901"/>
        <w:gridCol w:w="5291"/>
      </w:tblGrid>
      <w:tr w:rsidTr="00FC5B6D">
        <w:tblPrEx>
          <w:tblW w:w="0" w:type="auto"/>
          <w:tblLayout w:type="fixed"/>
          <w:tblCellMar>
            <w:left w:w="62" w:type="dxa"/>
            <w:right w:w="62" w:type="dxa"/>
          </w:tblCellMar>
          <w:tblLook w:val="0000"/>
        </w:tblPrEx>
        <w:trPr>
          <w:tblHeader/>
        </w:trPr>
        <w:tc>
          <w:tcPr>
            <w:tcW w:w="2703" w:type="dxa"/>
            <w:gridSpan w:val="2"/>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ELEMENT</w:t>
            </w:r>
          </w:p>
        </w:tc>
        <w:tc>
          <w:tcPr>
            <w:tcW w:w="6192"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PERFORMANCE CRITERIA</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w:t>
            </w:r>
          </w:p>
        </w:tc>
        <w:tc>
          <w:tcPr>
            <w:tcW w:w="2298" w:type="dxa"/>
            <w:vMerge w:val="restart"/>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Prepare to install wiring and accessories.</w:t>
            </w: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1.1</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OHS procedures for a given work area are identified, obtained and understood. </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1.2</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Health and safety risks are identified and established risk control measures and procedures in preparation for the work are followed.</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1.3</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Safety hazards that have not previously been identified are noted and established risk control measures are impleme</w:t>
            </w:r>
            <w:r w:rsidRPr="008654CB">
              <w:t>nted.</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1.4</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Installation of wiring is prepared in consultation with other affected by the work and sequenced appropriately. </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1.5</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The nature and location of the work is determined from documentation or</w:t>
            </w:r>
            <w:r w:rsidRPr="008654CB">
              <w:t xml:space="preserve"> other appropriate person to establish the scope of work to be undertaken.</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1.6</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Cable routes are planned within the constraints of the building structure, significants and requirements.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1.7</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Material needed for the installation work is obtained in acco</w:t>
            </w:r>
            <w:r w:rsidRPr="008654CB">
              <w:t>rdance with established procedures and checked against job requirements.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1.8</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Tools, equipment and testing devices needed to for the installation work are obtained in accordance with established procedures and checked for correct operation and safety.</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1.9</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Preparatory work is checked to ensure no damage has occurred and complies with requirements.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w:t>
            </w:r>
          </w:p>
        </w:tc>
        <w:tc>
          <w:tcPr>
            <w:tcW w:w="2298" w:type="dxa"/>
            <w:vMerge w:val="restart"/>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Install wiring and accessories.</w:t>
            </w: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2.1</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OHS risk control measures and procedures for carrying out the work are followed.</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2.2</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The need to tes</w:t>
            </w:r>
            <w:r w:rsidRPr="008654CB">
              <w:t>t or measure live is determined in strict accordance with OHS requirements and when necessary conducted within established safety procedures.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2.3</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Circuits/machines/plant are checked as being isolated where necessary in strict accordance OHS requirements</w:t>
            </w:r>
            <w:r w:rsidRPr="008654CB">
              <w:t xml:space="preserve"> and procedures.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2.4</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Wiring and accessories are installed to comply with technical standards and job specifications and requirements with sufficient excess to affect terminations.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2.5</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Accessories are installed straight and square in the required locations and within acceptable tolerances.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2.6</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Cables and conductors are terminated at accessories in accordance with manufacture's specifications and regulatory requirements.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2.7</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Ongoing</w:t>
            </w:r>
            <w:r w:rsidRPr="008654CB">
              <w:t xml:space="preserve"> compliance and safety inspection of installed wiring systems and testing of installed circuits is undertaken.</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2.8</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Defects revealed through on-going compliance and safety inspection and tests are rectified.</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2.9</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Cable installation and termination is c</w:t>
            </w:r>
            <w:r w:rsidRPr="008654CB">
              <w:t>arried out efficiently without unnecessary waste of materials or damage to apparatus, circuits or the surrounding environment and using sustainable energy practices.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2.10</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Unexpected situations are dealt with safely and with the approval of an authorised person.</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3</w:t>
            </w:r>
          </w:p>
        </w:tc>
        <w:tc>
          <w:tcPr>
            <w:tcW w:w="2298" w:type="dxa"/>
            <w:vMerge w:val="restart"/>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Completion and report installation activities.</w:t>
            </w: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3.1</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OHS work completion risk control measures and procedures are followed.</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3.2</w:t>
            </w:r>
          </w:p>
        </w:tc>
        <w:tc>
          <w:tcPr>
            <w:tcW w:w="529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Work site is cleaned and made saf</w:t>
            </w:r>
            <w:r w:rsidRPr="008654CB">
              <w:t>e in accordance with established procedures.</w:t>
            </w:r>
          </w:p>
        </w:tc>
      </w:tr>
      <w:tr w:rsidTr="00FC5B6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3.3</w:t>
            </w:r>
          </w:p>
        </w:tc>
        <w:tc>
          <w:tcPr>
            <w:tcW w:w="5291"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'As-installed' cables/wiring and accessories is documented and an appropriate person or persons notified in accordance with established procedures.</w:t>
            </w:r>
          </w:p>
        </w:tc>
      </w:tr>
    </w:tbl>
    <w:p w:rsidR="00FC5B6D" w:rsidP="008654CB">
      <w:pPr>
        <w:pStyle w:val="BodyText"/>
      </w:pPr>
    </w:p>
    <w:p w:rsidR="00FC5B6D" w:rsidP="008654CB">
      <w:pPr>
        <w:pStyle w:val="BodyText"/>
      </w:pPr>
    </w:p>
    <w:p w:rsidR="00000000" w:rsidRPr="008654CB" w:rsidP="008654CB">
      <w:pPr>
        <w:pStyle w:val="Heading1"/>
      </w:pPr>
      <w:bookmarkStart w:id="9" w:name="O_584939"/>
      <w:bookmarkEnd w:id="9"/>
      <w:r w:rsidRPr="008654CB">
        <w:t>Required Skills and Knowledge</w:t>
      </w:r>
    </w:p>
    <w:tbl>
      <w:tblPr>
        <w:tblW w:w="0" w:type="auto"/>
        <w:tblLayout w:type="fixed"/>
        <w:tblCellMar>
          <w:left w:w="62" w:type="dxa"/>
          <w:right w:w="62" w:type="dxa"/>
        </w:tblCellMar>
        <w:tblLook w:val="0000"/>
      </w:tblPr>
      <w:tblGrid>
        <w:gridCol w:w="8895"/>
      </w:tblGrid>
      <w:tr w:rsidTr="00FC5B6D">
        <w:tblPrEx>
          <w:tblW w:w="0" w:type="auto"/>
          <w:tblLayout w:type="fixed"/>
          <w:tblCellMar>
            <w:left w:w="62" w:type="dxa"/>
            <w:right w:w="62" w:type="dxa"/>
          </w:tblCellMar>
          <w:tblLook w:val="0000"/>
        </w:tblPrEx>
        <w:trPr>
          <w:tblHeader/>
        </w:trPr>
        <w:tc>
          <w:tcPr>
            <w:tcW w:w="889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REQUIRED SKILLS AND KNOWLEDGE</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7)</w:t>
            </w:r>
            <w:r w:rsidRPr="008654CB">
              <w:t xml:space="preserve"> This describes the essential skills and knowledge and their level, required for this unit.</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Evidence shall show that knowledge has been acquired of safe working practices and installing wiring and accessories for low voltage circuits.</w:t>
            </w:r>
          </w:p>
          <w:p w:rsidR="00000000" w:rsidRPr="008654CB" w:rsidP="008654CB">
            <w:pPr>
              <w:pStyle w:val="BodyText"/>
            </w:pPr>
            <w:r w:rsidRPr="008654CB">
              <w:t>All knowledge and skills detailed in this unit should be contextualised to current industry standards, technologi</w:t>
            </w:r>
            <w:r w:rsidRPr="008654CB">
              <w:t xml:space="preserve">es and practices. </w:t>
            </w:r>
          </w:p>
          <w:p w:rsidR="00000000" w:rsidRPr="008654CB" w:rsidP="008654CB">
            <w:pPr>
              <w:pStyle w:val="BodyText"/>
            </w:pPr>
            <w:r w:rsidRPr="008654CB">
              <w:rPr>
                <w:rStyle w:val="SpecialBold"/>
              </w:rPr>
              <w:t>KS01-EG103A</w:t>
            </w:r>
            <w:r w:rsidRPr="008654CB">
              <w:rPr>
                <w:rStyle w:val="SpecialBold"/>
              </w:rPr>
              <w:tab/>
              <w:t xml:space="preserve">               Installation of wiring system</w:t>
            </w:r>
            <w:r w:rsidRPr="008654CB">
              <w:t>s</w:t>
            </w:r>
          </w:p>
          <w:p w:rsidR="00000000" w:rsidRPr="008654CB" w:rsidP="008654CB">
            <w:pPr>
              <w:pStyle w:val="BodyText"/>
            </w:pPr>
            <w:r w:rsidRPr="008654CB">
              <w:t>Evidence shall show an understanding of the installation of wiring systems that comply with standards to an extent indicated by the following aspects:</w:t>
            </w:r>
          </w:p>
          <w:p w:rsidR="00000000" w:rsidRPr="008654CB" w:rsidP="008654CB">
            <w:pPr>
              <w:pStyle w:val="BodyText"/>
            </w:pPr>
            <w:r w:rsidRPr="008654CB">
              <w:t>T1</w:t>
            </w:r>
            <w:r w:rsidRPr="008654CB">
              <w:tab/>
              <w:t>Standards, codes and requ</w:t>
            </w:r>
            <w:r w:rsidRPr="008654CB">
              <w:t>irements applicable to the installation of wiring systems encompassing:</w:t>
            </w:r>
          </w:p>
          <w:p w:rsidR="00000000" w:rsidRPr="008654CB" w:rsidP="008654CB">
            <w:pPr>
              <w:pStyle w:val="ListBullet"/>
            </w:pPr>
            <w:r w:rsidRPr="008654CB">
              <w:t>Cables and methods of mechanical protection and support</w:t>
            </w:r>
          </w:p>
          <w:p w:rsidR="00000000" w:rsidRPr="008654CB" w:rsidP="008654CB">
            <w:pPr>
              <w:pStyle w:val="ListBullet"/>
            </w:pPr>
            <w:r w:rsidRPr="008654CB">
              <w:t>Protection against and from other services.</w:t>
            </w:r>
          </w:p>
          <w:p w:rsidR="00000000" w:rsidRPr="008654CB" w:rsidP="008654CB">
            <w:pPr>
              <w:pStyle w:val="ListBullet"/>
            </w:pPr>
            <w:r w:rsidRPr="008654CB">
              <w:t>Prohibited cable locations</w:t>
            </w:r>
          </w:p>
          <w:p w:rsidR="00000000" w:rsidRPr="008654CB" w:rsidP="008654CB">
            <w:pPr>
              <w:pStyle w:val="ListBullet"/>
            </w:pPr>
            <w:r w:rsidRPr="008654CB">
              <w:t>Building codes affecting the installation of cables in b</w:t>
            </w:r>
            <w:r w:rsidRPr="008654CB">
              <w:t>uildings, structures and premises (limitation on penetration of structural elements, maintenance of fire protection integrity, and wiring above suspected ceilings)</w:t>
            </w:r>
          </w:p>
          <w:p w:rsidR="00000000" w:rsidRPr="008654CB" w:rsidP="008654CB">
            <w:pPr>
              <w:pStyle w:val="ListBullet"/>
            </w:pPr>
            <w:r w:rsidRPr="008654CB">
              <w:t xml:space="preserve">Issues affecting electrical installations in heritage buildings and premises (limitation on </w:t>
            </w:r>
            <w:r w:rsidRPr="008654CB">
              <w:t>penetration of structural and finished elements, accessing cable routes, types and colour of exposed accessories).</w:t>
            </w:r>
          </w:p>
          <w:p w:rsidR="00000000" w:rsidRPr="008654CB" w:rsidP="008654CB">
            <w:pPr>
              <w:pStyle w:val="BodyText"/>
            </w:pPr>
            <w:r w:rsidRPr="008654CB">
              <w:t>T2</w:t>
            </w:r>
            <w:r w:rsidRPr="008654CB">
              <w:tab/>
              <w:t>Use of other installation standards called up by the Wiring Rules for special situations encompassing:</w:t>
            </w:r>
          </w:p>
          <w:p w:rsidR="00000000" w:rsidRPr="008654CB" w:rsidP="008654CB">
            <w:pPr>
              <w:pStyle w:val="ListBullet"/>
            </w:pPr>
            <w:r w:rsidRPr="008654CB">
              <w:t>standards that apply to Electromed</w:t>
            </w:r>
            <w:r w:rsidRPr="008654CB">
              <w:t>ical treatment areas.</w:t>
            </w:r>
          </w:p>
          <w:p w:rsidR="00000000" w:rsidRPr="008654CB" w:rsidP="008654CB">
            <w:pPr>
              <w:pStyle w:val="ListBullet"/>
            </w:pPr>
            <w:r w:rsidRPr="008654CB">
              <w:t>additional requirements for construction and demolition sites.</w:t>
            </w:r>
          </w:p>
          <w:p w:rsidR="00000000" w:rsidRPr="008654CB" w:rsidP="008654CB">
            <w:pPr>
              <w:pStyle w:val="ListBullet"/>
            </w:pPr>
            <w:r w:rsidRPr="008654CB">
              <w:t xml:space="preserve">Relocatable installations and their site supply </w:t>
            </w:r>
          </w:p>
          <w:p w:rsidR="00000000" w:rsidRPr="008654CB" w:rsidP="008654CB">
            <w:pPr>
              <w:pStyle w:val="ListBullet"/>
            </w:pPr>
            <w:r w:rsidRPr="008654CB">
              <w:t>additional requirements for caravan park.</w:t>
            </w:r>
          </w:p>
          <w:p w:rsidR="00000000" w:rsidRPr="008654CB" w:rsidP="008654CB">
            <w:pPr>
              <w:pStyle w:val="ListBullet"/>
            </w:pPr>
            <w:r w:rsidRPr="008654CB">
              <w:t>additional requirements for marinas and pleasure craft at low voltage.</w:t>
            </w:r>
          </w:p>
          <w:p w:rsidR="00000000" w:rsidRPr="008654CB" w:rsidP="008654CB">
            <w:pPr>
              <w:pStyle w:val="ListBullet"/>
            </w:pPr>
            <w:r w:rsidRPr="008654CB">
              <w:t>additional requirements for shows and carnivals.</w:t>
            </w:r>
          </w:p>
          <w:p w:rsidR="00000000" w:rsidRPr="008654CB" w:rsidP="008654CB">
            <w:pPr>
              <w:pStyle w:val="BodyText"/>
            </w:pPr>
            <w:r w:rsidRPr="008654CB">
              <w:t>T3</w:t>
            </w:r>
            <w:r w:rsidRPr="008654CB">
              <w:tab/>
              <w:t>Hazardous areas encompassing:</w:t>
            </w:r>
          </w:p>
          <w:p w:rsidR="00000000" w:rsidRPr="008654CB" w:rsidP="008654CB">
            <w:pPr>
              <w:pStyle w:val="ListBullet"/>
            </w:pPr>
            <w:r w:rsidRPr="008654CB">
              <w:t>Conditions that apply in an areas that require them to be classified as a ‘Hazardous area’.</w:t>
            </w:r>
          </w:p>
          <w:p w:rsidR="00000000" w:rsidRPr="008654CB" w:rsidP="008654CB">
            <w:pPr>
              <w:pStyle w:val="ListBullet"/>
            </w:pPr>
            <w:r w:rsidRPr="008654CB">
              <w:t>Responsibility for classifying a hazardous area</w:t>
            </w:r>
          </w:p>
          <w:p w:rsidR="00000000" w:rsidRPr="008654CB" w:rsidP="008654CB">
            <w:pPr>
              <w:pStyle w:val="ListBullet"/>
            </w:pPr>
            <w:r w:rsidRPr="008654CB">
              <w:t xml:space="preserve">Awareness of standards called up </w:t>
            </w:r>
            <w:r w:rsidRPr="008654CB">
              <w:t>by the Wiring Rules for selection of equipment and installations in Hazardous areas. (AS/NZS 3000 requirements for hazardous areas).</w:t>
            </w:r>
          </w:p>
          <w:p w:rsidR="00000000" w:rsidRPr="008654CB" w:rsidP="008654CB">
            <w:pPr>
              <w:pStyle w:val="BodyText"/>
            </w:pPr>
            <w:r w:rsidRPr="008654CB">
              <w:t>T4</w:t>
            </w:r>
            <w:r w:rsidRPr="008654CB">
              <w:tab/>
              <w:t>Requirement for the installation of cables and accessories in damp situations and ELV installations encompassing:</w:t>
            </w:r>
          </w:p>
          <w:p w:rsidR="00000000" w:rsidRPr="008654CB" w:rsidP="008654CB">
            <w:pPr>
              <w:pStyle w:val="ListBullet"/>
            </w:pPr>
            <w:r w:rsidRPr="008654CB">
              <w:t>restr</w:t>
            </w:r>
            <w:r w:rsidRPr="008654CB">
              <w:t>icted zones around baths, showers, fixed water containers, pools, sauna heaters and fountains/water features for given installations.</w:t>
            </w:r>
          </w:p>
          <w:p w:rsidR="00000000" w:rsidRPr="008654CB" w:rsidP="008654CB">
            <w:pPr>
              <w:pStyle w:val="ListBullet"/>
            </w:pPr>
            <w:r w:rsidRPr="008654CB">
              <w:t>selecting equipment suitable for installation in given damp situations.</w:t>
            </w:r>
          </w:p>
          <w:p w:rsidR="00000000" w:rsidRPr="008654CB" w:rsidP="008654CB">
            <w:pPr>
              <w:pStyle w:val="ListBullet"/>
            </w:pPr>
            <w:r w:rsidRPr="008654CB">
              <w:t>voltage range that defines extra-low voltage.</w:t>
            </w:r>
          </w:p>
          <w:p w:rsidR="00000000" w:rsidRPr="008654CB" w:rsidP="008654CB">
            <w:pPr>
              <w:pStyle w:val="ListBullet"/>
            </w:pPr>
            <w:r w:rsidRPr="008654CB">
              <w:t>'Sep</w:t>
            </w:r>
            <w:r w:rsidRPr="008654CB">
              <w:t>arated extra-low voltage (SELV) system' and a 'Protected extra-low voltage (PELV) system".</w:t>
            </w:r>
          </w:p>
          <w:p w:rsidR="00000000" w:rsidRPr="008654CB" w:rsidP="008654CB">
            <w:pPr>
              <w:pStyle w:val="ListBullet"/>
            </w:pPr>
            <w:r w:rsidRPr="008654CB">
              <w:t>AS/NZS 3000 requirements for selecting extra-low voltage systems and devices for a range of installations and conditions.</w:t>
            </w:r>
          </w:p>
          <w:p w:rsidR="00000000" w:rsidRPr="008654CB" w:rsidP="008654CB">
            <w:pPr>
              <w:pStyle w:val="BodyText"/>
            </w:pPr>
            <w:r w:rsidRPr="008654CB">
              <w:t>T5</w:t>
            </w:r>
            <w:r w:rsidRPr="008654CB">
              <w:tab/>
              <w:t>Aerial cabling encompassing:</w:t>
            </w:r>
          </w:p>
          <w:p w:rsidR="00000000" w:rsidRPr="008654CB" w:rsidP="008654CB">
            <w:pPr>
              <w:pStyle w:val="ListBullet"/>
            </w:pPr>
            <w:r w:rsidRPr="008654CB">
              <w:t>Describe t</w:t>
            </w:r>
            <w:r w:rsidRPr="008654CB">
              <w:t>he types of aerial cabling.</w:t>
            </w:r>
          </w:p>
          <w:p w:rsidR="00000000" w:rsidRPr="008654CB" w:rsidP="008654CB">
            <w:pPr>
              <w:pStyle w:val="ListBullet"/>
            </w:pPr>
            <w:r w:rsidRPr="008654CB">
              <w:t>State the AS/NZS 3000 and local supply authority requirements for aerial cabling.</w:t>
            </w:r>
          </w:p>
          <w:p w:rsidR="00000000" w:rsidRPr="008654CB" w:rsidP="008654CB">
            <w:pPr>
              <w:pStyle w:val="ListBullet"/>
            </w:pPr>
            <w:r w:rsidRPr="008654CB">
              <w:t>Termination of aerial cables in accordance with AS/NZS 3000 and local requirements.</w:t>
            </w:r>
          </w:p>
          <w:p w:rsidR="00000000" w:rsidRPr="008654CB" w:rsidP="008654CB">
            <w:pPr>
              <w:pStyle w:val="ListBullet"/>
            </w:pPr>
            <w:r w:rsidRPr="008654CB">
              <w:t>installation of consumers mains for connection via overhead co</w:t>
            </w:r>
            <w:r w:rsidRPr="008654CB">
              <w:t>nsumers terminals in accordance with AS/NZS 3000 and local requirements.</w:t>
            </w:r>
          </w:p>
          <w:p w:rsidR="00000000" w:rsidRPr="008654CB" w:rsidP="008654CB">
            <w:pPr>
              <w:pStyle w:val="ListBullet"/>
            </w:pPr>
            <w:r w:rsidRPr="008654CB">
              <w:t>Testing of installed cables compliance with Australian Standards</w:t>
            </w:r>
          </w:p>
          <w:p w:rsidR="00000000" w:rsidRPr="008654CB" w:rsidP="008654CB">
            <w:pPr>
              <w:pStyle w:val="BodyText"/>
            </w:pPr>
            <w:r w:rsidRPr="008654CB">
              <w:t>T6</w:t>
            </w:r>
            <w:r w:rsidRPr="008654CB">
              <w:tab/>
              <w:t>Underground cabling encompassing:</w:t>
            </w:r>
          </w:p>
          <w:p w:rsidR="00000000" w:rsidRPr="008654CB" w:rsidP="008654CB">
            <w:pPr>
              <w:pStyle w:val="ListBullet"/>
            </w:pPr>
            <w:r w:rsidRPr="008654CB">
              <w:t>Describe permissible underground cabling systems.</w:t>
            </w:r>
          </w:p>
          <w:p w:rsidR="00000000" w:rsidRPr="008654CB" w:rsidP="008654CB">
            <w:pPr>
              <w:pStyle w:val="ListBullet"/>
            </w:pPr>
            <w:r w:rsidRPr="008654CB">
              <w:t>Identify other underground services.</w:t>
            </w:r>
          </w:p>
          <w:p w:rsidR="00000000" w:rsidRPr="008654CB" w:rsidP="008654CB">
            <w:pPr>
              <w:pStyle w:val="ListBullet"/>
            </w:pPr>
            <w:r w:rsidRPr="008654CB">
              <w:t>State the AS/NZS 3000 and local supply authority requirements for underground cabling.</w:t>
            </w:r>
          </w:p>
          <w:p w:rsidR="00000000" w:rsidRPr="008654CB" w:rsidP="008654CB">
            <w:pPr>
              <w:pStyle w:val="ListBullet"/>
            </w:pPr>
            <w:r w:rsidRPr="008654CB">
              <w:t>List the advantages and disadvantages of underground wiring systems</w:t>
            </w:r>
          </w:p>
          <w:p w:rsidR="00000000" w:rsidRPr="008654CB" w:rsidP="008654CB">
            <w:pPr>
              <w:pStyle w:val="ListBullet"/>
            </w:pPr>
            <w:r w:rsidRPr="008654CB">
              <w:t>selection of underground consumers mains in accordance with AS/N</w:t>
            </w:r>
            <w:r w:rsidRPr="008654CB">
              <w:t>ZS 3000 and local requirements</w:t>
            </w:r>
          </w:p>
          <w:p w:rsidR="00000000" w:rsidRPr="008654CB" w:rsidP="008654CB">
            <w:pPr>
              <w:pStyle w:val="BodyText"/>
            </w:pPr>
            <w:r w:rsidRPr="008654CB">
              <w:t>T7</w:t>
            </w:r>
            <w:r w:rsidRPr="008654CB">
              <w:tab/>
              <w:t>Techniques for installing cables and wiring systems encompassing:</w:t>
            </w:r>
          </w:p>
          <w:p w:rsidR="00000000" w:rsidRPr="008654CB" w:rsidP="008654CB">
            <w:pPr>
              <w:pStyle w:val="ListBullet"/>
            </w:pPr>
            <w:r w:rsidRPr="008654CB">
              <w:t>Typical cable routes through buildings, structures and premises.</w:t>
            </w:r>
          </w:p>
          <w:p w:rsidR="00000000" w:rsidRPr="008654CB" w:rsidP="008654CB">
            <w:pPr>
              <w:pStyle w:val="ListBullet"/>
            </w:pPr>
            <w:r w:rsidRPr="008654CB">
              <w:t>Application of wiring accessories</w:t>
            </w:r>
          </w:p>
          <w:p w:rsidR="00000000" w:rsidRPr="008654CB" w:rsidP="008654CB">
            <w:pPr>
              <w:pStyle w:val="ListBullet"/>
            </w:pPr>
            <w:r w:rsidRPr="008654CB">
              <w:t>Drawing-in, placing and fixing of cables</w:t>
            </w:r>
          </w:p>
          <w:p w:rsidR="00000000" w:rsidRPr="008654CB" w:rsidP="008654CB">
            <w:pPr>
              <w:pStyle w:val="ListBullet"/>
            </w:pPr>
            <w:r w:rsidRPr="008654CB">
              <w:t>Cable and condu</w:t>
            </w:r>
            <w:r w:rsidRPr="008654CB">
              <w:t>ctor terminations</w:t>
            </w:r>
          </w:p>
          <w:p w:rsidR="00000000" w:rsidRPr="008654CB" w:rsidP="008654CB">
            <w:pPr>
              <w:pStyle w:val="ListBullet"/>
            </w:pPr>
            <w:r w:rsidRPr="008654CB">
              <w:t>Maintaining fire rating integrity.</w:t>
            </w:r>
          </w:p>
          <w:p w:rsidR="00000000" w:rsidRPr="008654CB" w:rsidP="008654CB">
            <w:pPr>
              <w:pStyle w:val="ListBullet"/>
            </w:pPr>
            <w:r w:rsidRPr="008654CB">
              <w:t>Inspecting and testing installed and terminated cables to ensure they comply with continuity and insulation resistance and are safe to connect to the supply.</w:t>
            </w:r>
          </w:p>
        </w:tc>
      </w:tr>
    </w:tbl>
    <w:p w:rsidR="00FC5B6D" w:rsidP="008654CB">
      <w:pPr>
        <w:pStyle w:val="BodyText"/>
      </w:pPr>
    </w:p>
    <w:p w:rsidR="00FC5B6D" w:rsidP="008654CB">
      <w:pPr>
        <w:pStyle w:val="BodyText"/>
      </w:pPr>
    </w:p>
    <w:p w:rsidR="00000000" w:rsidRPr="008654CB" w:rsidP="008654CB">
      <w:pPr>
        <w:pStyle w:val="Heading1"/>
      </w:pPr>
      <w:bookmarkStart w:id="10" w:name="O_584938"/>
      <w:bookmarkEnd w:id="10"/>
      <w:r w:rsidRPr="008654CB">
        <w:t>Evidence Guide</w:t>
      </w:r>
    </w:p>
    <w:tbl>
      <w:tblPr>
        <w:tblW w:w="0" w:type="auto"/>
        <w:tblLayout w:type="fixed"/>
        <w:tblCellMar>
          <w:left w:w="62" w:type="dxa"/>
          <w:right w:w="62" w:type="dxa"/>
        </w:tblCellMar>
        <w:tblLook w:val="0000"/>
      </w:tblPr>
      <w:tblGrid>
        <w:gridCol w:w="2160"/>
        <w:gridCol w:w="720"/>
        <w:gridCol w:w="540"/>
        <w:gridCol w:w="975"/>
        <w:gridCol w:w="4491"/>
        <w:gridCol w:w="9"/>
      </w:tblGrid>
      <w:tr w:rsidTr="00FC5B6D">
        <w:tblPrEx>
          <w:tblW w:w="0" w:type="auto"/>
          <w:tblLayout w:type="fixed"/>
          <w:tblCellMar>
            <w:left w:w="62" w:type="dxa"/>
            <w:right w:w="62" w:type="dxa"/>
          </w:tblCellMar>
          <w:tblLook w:val="0000"/>
        </w:tblPrEx>
        <w:trPr>
          <w:gridAfter w:val="1"/>
          <w:wAfter w:w="9" w:type="dxa"/>
          <w:tblHeader/>
        </w:trPr>
        <w:tc>
          <w:tcPr>
            <w:tcW w:w="8886" w:type="dxa"/>
            <w:gridSpan w:val="5"/>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EVIDENCE GUIDE</w:t>
            </w:r>
          </w:p>
        </w:tc>
      </w:tr>
      <w:tr w:rsidTr="00FC5B6D">
        <w:tblPrEx>
          <w:tblW w:w="0" w:type="auto"/>
          <w:tblLayout w:type="fixed"/>
          <w:tblCellMar>
            <w:left w:w="62" w:type="dxa"/>
            <w:right w:w="62" w:type="dxa"/>
          </w:tblCellMar>
          <w:tblLook w:val="0000"/>
        </w:tblPrEx>
        <w:trPr>
          <w:gridAfter w:val="1"/>
          <w:wAfter w:w="9" w:type="dxa"/>
        </w:trPr>
        <w:tc>
          <w:tcPr>
            <w:tcW w:w="8886" w:type="dxa"/>
            <w:gridSpan w:val="5"/>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9</w:t>
            </w:r>
            <w:r w:rsidRPr="008654CB">
              <w:t xml:space="preserve">) The evidence guide provides advice on assessment and must be read in conjunction with the Performance Criteria, Required Skills and Knowledge, the Range Statement and the Assessment Guidelines for this Training Package. </w:t>
            </w:r>
          </w:p>
          <w:p w:rsidR="00000000" w:rsidP="008654CB">
            <w:pPr>
              <w:pStyle w:val="BodyText"/>
              <w:rPr>
                <w:lang w:val="en-NZ"/>
              </w:rPr>
            </w:pPr>
            <w:r w:rsidRPr="008654CB">
              <w:t>The Evidence</w:t>
            </w:r>
            <w:r w:rsidRPr="008654CB">
              <w:t xml:space="preserve"> Guide forms an integral part of this unit. It must be used in conjunction with all parts of this unit and performed in accordance with the Assessment Guidelines of this Training Package.</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Overview of Assessment</w:t>
            </w: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9</w:t>
            </w:r>
            <w:r w:rsidRPr="008654CB">
              <w:t>.</w:t>
            </w:r>
            <w:r w:rsidRPr="008654CB">
              <w:rPr>
                <w:rStyle w:val="SpecialBold"/>
              </w:rPr>
              <w:t>1</w:t>
            </w:r>
            <w:r w:rsidRPr="008654CB">
              <w:t xml:space="preserve">) </w:t>
            </w:r>
          </w:p>
          <w:p w:rsidR="00000000" w:rsidRPr="008654CB" w:rsidP="008654CB">
            <w:pPr>
              <w:pStyle w:val="BodyText"/>
            </w:pPr>
            <w:r w:rsidRPr="008654CB">
              <w:t>Longitudinal competency development approaches to assessment, such as Profiling, require data to be reliably gathered in a form that can be consistently interpreted over time. This approach is best utilised in Apprenticeship programs and reduces assessment</w:t>
            </w:r>
            <w:r w:rsidRPr="008654C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654CB">
              <w:t>tency in a realistically simulated work environment. It is recognised that, in some circumstances, assessment in part or full can occur outside the workplace. However, it must be in accordance with industry and regulatory policy.</w:t>
            </w:r>
          </w:p>
          <w:p w:rsidR="00000000" w:rsidRPr="008654CB" w:rsidP="008654CB">
            <w:pPr>
              <w:pStyle w:val="BodyText"/>
            </w:pPr>
            <w:r w:rsidRPr="008654CB">
              <w:t>Methods chosen for a parti</w:t>
            </w:r>
            <w:r w:rsidRPr="008654C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8654CB">
              <w:t>the critical nature of the competencies being assessed.</w:t>
            </w:r>
          </w:p>
          <w:p w:rsidR="00000000" w:rsidRPr="008654CB" w:rsidP="008654CB">
            <w:pPr>
              <w:pStyle w:val="BodyText"/>
            </w:pPr>
            <w:r w:rsidRPr="008654CB">
              <w:t>The critical safety nature of working with electricity, electrical equipment, gas or any other hazardous substance/material carries risk in deeming a person competent. Sources of evidence need to be '</w:t>
            </w:r>
            <w:r w:rsidRPr="008654CB">
              <w:t>rich' in nature to minimise error in judgment.</w:t>
            </w:r>
          </w:p>
          <w:p w:rsidR="00000000" w:rsidP="008654CB">
            <w:pPr>
              <w:pStyle w:val="BodyText"/>
              <w:rPr>
                <w:lang w:val="en-NZ"/>
              </w:rPr>
            </w:pPr>
            <w:r w:rsidRPr="008654CB">
              <w:t xml:space="preserve">Activities associated with normal every day work have a bearing on the decision as to how much and how detailed the data gathered will contribute to its 'richness'. Some skills are more critical to safety and </w:t>
            </w:r>
            <w:r w:rsidRPr="008654CB">
              <w:t>operational requirements while the same skills may be more or less frequently practised. These points are raised for the assessors to consider when choosing an assessment method and developing assessment instruments. Sample assessment instruments are inclu</w:t>
            </w:r>
            <w:r w:rsidRPr="008654CB">
              <w:t>ded for Assessors in the Assessment Guidelines of this Training Package.</w:t>
            </w:r>
          </w:p>
        </w:tc>
      </w:tr>
      <w:tr w:rsidTr="00FC5B6D">
        <w:tblPrEx>
          <w:tblW w:w="0" w:type="auto"/>
          <w:tblLayout w:type="fixed"/>
          <w:tblCellMar>
            <w:left w:w="62" w:type="dxa"/>
            <w:right w:w="62" w:type="dxa"/>
          </w:tblCellMar>
          <w:tblLook w:val="0000"/>
        </w:tblPrEx>
        <w:trPr>
          <w:gridAfter w:val="1"/>
          <w:wAfter w:w="9" w:type="dxa"/>
        </w:trPr>
        <w:tc>
          <w:tcPr>
            <w:tcW w:w="2160" w:type="dxa"/>
            <w:vMerge w:val="restart"/>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 xml:space="preserve">Critical aspects of evidence required to demonstrate </w:t>
            </w:r>
            <w:r w:rsidRPr="008654CB">
              <w:rPr>
                <w:rStyle w:val="SpecialBold"/>
              </w:rPr>
              <w:t>competency in this unit</w:t>
            </w: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9</w:t>
            </w:r>
            <w:r w:rsidRPr="008654CB">
              <w:t>.</w:t>
            </w:r>
            <w:r w:rsidRPr="008654CB">
              <w:rPr>
                <w:rStyle w:val="SpecialBold"/>
              </w:rPr>
              <w:t>2</w:t>
            </w:r>
            <w:r w:rsidRPr="008654CB">
              <w:t xml:space="preserve">) </w:t>
            </w:r>
          </w:p>
          <w:p w:rsidR="00000000" w:rsidP="008654CB">
            <w:pPr>
              <w:pStyle w:val="BodyText"/>
              <w:rPr>
                <w:lang w:val="en-NZ"/>
              </w:rPr>
            </w:pPr>
            <w:r w:rsidRPr="008654CB">
              <w:t>Before the critical aspects of evidence are considered all prerequisites shall be met.</w:t>
            </w:r>
          </w:p>
        </w:tc>
      </w:tr>
      <w:tr w:rsidTr="00FC5B6D">
        <w:tblPrEx>
          <w:tblW w:w="0" w:type="auto"/>
          <w:tblLayout w:type="fixed"/>
          <w:tblCellMar>
            <w:left w:w="62" w:type="dxa"/>
            <w:right w:w="62" w:type="dxa"/>
          </w:tblCellMar>
          <w:tblLook w:val="0000"/>
        </w:tblPrEx>
        <w:trPr>
          <w:gridAfter w:val="1"/>
          <w:wAfter w:w="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654CB">
            <w:pPr>
              <w:pStyle w:val="ListBullet"/>
              <w:rPr>
                <w:lang w:val="en-NZ"/>
              </w:rPr>
            </w:pPr>
            <w:r w:rsidRPr="008654CB">
              <w:t>A representative body of work performance demonstrated within the timeframes typically expected of the discipline, work function and industrial environment. In particular this shall incorporate evidence that shows a candidate is able to:</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ListBullet2"/>
            </w:pPr>
            <w:r w:rsidRPr="008654CB">
              <w:t>Implement Occupational Health and Safety workplace procedures and practices including the use of risk control measures as specified in the performance criteria and range statement</w:t>
            </w:r>
          </w:p>
          <w:p w:rsidR="00000000" w:rsidRPr="008654CB" w:rsidP="008654CB">
            <w:pPr>
              <w:pStyle w:val="ListBullet2"/>
            </w:pPr>
            <w:r w:rsidRPr="008654CB">
              <w:t>Apply sustainable energy principles and practices as specified in the perfor</w:t>
            </w:r>
            <w:r w:rsidRPr="008654CB">
              <w:t>mance criteria and range statement</w:t>
            </w:r>
          </w:p>
          <w:p w:rsidR="00000000" w:rsidRPr="008654CB" w:rsidP="008654CB">
            <w:pPr>
              <w:pStyle w:val="ListBullet2"/>
            </w:pPr>
            <w:r w:rsidRPr="008654CB">
              <w:t>Demonstrate an understanding of the essential knowledge and associated skills as described in this unit.  It may be required by some jurisdictions that RTOs provide a percentile graded result for the purpose of regulatory</w:t>
            </w:r>
            <w:r w:rsidRPr="008654CB">
              <w:t xml:space="preserve"> or licensing requirements.   </w:t>
            </w:r>
          </w:p>
          <w:p w:rsidR="00000000" w:rsidRPr="008654CB" w:rsidP="008654CB">
            <w:pPr>
              <w:pStyle w:val="ListBullet2"/>
            </w:pPr>
            <w:r w:rsidRPr="008654CB">
              <w:t>Demonstrate an appropriate level of skills enabling employment</w:t>
            </w:r>
          </w:p>
          <w:p w:rsidR="00000000" w:rsidP="008654CB">
            <w:pPr>
              <w:pStyle w:val="ListBullet2"/>
              <w:rPr>
                <w:lang w:val="en-NZ"/>
              </w:rPr>
            </w:pPr>
            <w:r w:rsidRPr="008654CB">
              <w:t>Conduct work observing the relevant Anti Discrimination legislation, regulations, polices and workplace procedures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8654CB">
            <w:pPr>
              <w:pStyle w:val="ListBullet"/>
              <w:rPr>
                <w:lang w:val="en-NZ"/>
              </w:rPr>
            </w:pPr>
            <w:r w:rsidRPr="008654CB">
              <w:t>Demonstrated consistent performance across a representative range of contexts from the prescribed items below:</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8654CB">
            <w:pPr>
              <w:pStyle w:val="ListBullet2"/>
              <w:rPr>
                <w:lang w:val="en-NZ"/>
              </w:rPr>
            </w:pPr>
            <w:r w:rsidRPr="008654CB">
              <w:t>Install wiring and accessories for low voltage circuits as described as described in 8) and including:</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A</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Reading and interpreting drawings related to cable layouts, cable schedules and apparatus locations.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B</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Planning cable routes and obtaining installation materials.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Sequencing the installation effectively with other affected by the work.</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D</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Routing, placing and securing cables in compliance with requirements.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E</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Placing and securing accessories accurately. </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F</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Maintaining fire integrity.</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G</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Terminating cable and conductors to comply with requirements.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H</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Undertaking on-going compliance and safety inspection and testing of installed circuits.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I</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Rectifying any defects revealed through on-going inspection and testing</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J</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Correctly documenting 'as-installed' cables/wiring and accessories.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K</w:t>
            </w:r>
          </w:p>
        </w:tc>
        <w:tc>
          <w:tcPr>
            <w:tcW w:w="5466" w:type="dxa"/>
            <w:gridSpan w:val="2"/>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Dealing with unplanned events </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Context of and specific resources for assessment</w:t>
            </w: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9</w:t>
            </w:r>
            <w:r w:rsidRPr="008654CB">
              <w:t>.</w:t>
            </w:r>
            <w:r w:rsidRPr="008654CB">
              <w:rPr>
                <w:rStyle w:val="SpecialBold"/>
              </w:rPr>
              <w:t>3</w:t>
            </w:r>
            <w:r w:rsidRPr="008654CB">
              <w:t xml:space="preserve">) </w:t>
            </w:r>
          </w:p>
          <w:p w:rsidR="00000000" w:rsidRPr="008654CB" w:rsidP="008654CB">
            <w:pPr>
              <w:pStyle w:val="BodyText"/>
            </w:pPr>
            <w:r w:rsidRPr="008654CB">
              <w:t>This unit should be assessed as it relates to normal work practice using procedures, information and resources typical of a workplace. This should include:</w:t>
            </w:r>
          </w:p>
          <w:p w:rsidR="00000000" w:rsidRPr="008654CB" w:rsidP="008654CB">
            <w:pPr>
              <w:pStyle w:val="ListBullet"/>
            </w:pPr>
            <w:r w:rsidRPr="008654CB">
              <w:t>OHS policy and work procedures and instructions.</w:t>
            </w:r>
          </w:p>
          <w:p w:rsidR="00000000" w:rsidRPr="008654CB" w:rsidP="008654CB">
            <w:pPr>
              <w:pStyle w:val="ListBullet"/>
            </w:pPr>
            <w:r w:rsidRPr="008654CB">
              <w:t>Suitable work environment, facilities, equipment and materials to undertake actual work as prescribed by this unit.</w:t>
            </w:r>
          </w:p>
          <w:p w:rsidR="00000000" w:rsidRPr="008654CB" w:rsidP="008654CB">
            <w:pPr>
              <w:pStyle w:val="BodyText"/>
            </w:pPr>
            <w:r w:rsidRPr="008654CB">
              <w:t>These should be part of the formal learning/assessment environment.</w:t>
            </w:r>
          </w:p>
          <w:p w:rsidR="00000000" w:rsidRPr="008654CB" w:rsidP="008654CB">
            <w:pPr>
              <w:pStyle w:val="BodyText"/>
            </w:pPr>
            <w:r w:rsidRPr="008654CB">
              <w:t>Note:</w:t>
            </w:r>
          </w:p>
          <w:p w:rsidR="00000000" w:rsidP="008654CB">
            <w:pPr>
              <w:pStyle w:val="BodyText"/>
              <w:rPr>
                <w:lang w:val="en-NZ"/>
              </w:rPr>
            </w:pPr>
            <w:r w:rsidRPr="008654CB">
              <w:t xml:space="preserve">Where simulation </w:t>
            </w:r>
            <w:r w:rsidRPr="008654CB">
              <w:t>is considered a suitable strategy for assessment, conditions must be authentic and as far as possible reproduce and replicate the workplace and be consistent with the approved industry simulation policy.</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The resources used for assessment should reflec</w:t>
            </w:r>
            <w:r w:rsidRPr="008654CB">
              <w:t>t current industry practices in relation to installing wiring and accessories for low voltage circuits.</w:t>
            </w:r>
          </w:p>
        </w:tc>
      </w:tr>
      <w:tr w:rsidTr="00FC5B6D">
        <w:tblPrEx>
          <w:tblW w:w="0" w:type="auto"/>
          <w:tblLayout w:type="fixed"/>
          <w:tblCellMar>
            <w:left w:w="62" w:type="dxa"/>
            <w:right w:w="62" w:type="dxa"/>
          </w:tblCellMar>
          <w:tblLook w:val="0000"/>
        </w:tblPrEx>
        <w:trPr>
          <w:gridAfter w:val="1"/>
          <w:wAfter w:w="9" w:type="dxa"/>
        </w:trPr>
        <w:tc>
          <w:tcPr>
            <w:tcW w:w="21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Method of assessment</w:t>
            </w:r>
          </w:p>
        </w:tc>
        <w:tc>
          <w:tcPr>
            <w:tcW w:w="6726" w:type="dxa"/>
            <w:gridSpan w:val="4"/>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9</w:t>
            </w:r>
            <w:r w:rsidRPr="008654CB">
              <w:t>.</w:t>
            </w:r>
            <w:r w:rsidRPr="008654CB">
              <w:rPr>
                <w:rStyle w:val="SpecialBold"/>
              </w:rPr>
              <w:t>4</w:t>
            </w:r>
            <w:r w:rsidRPr="008654CB">
              <w:t xml:space="preserve">) </w:t>
            </w:r>
          </w:p>
          <w:p w:rsidR="00000000" w:rsidRPr="008654CB" w:rsidP="008654CB">
            <w:pPr>
              <w:pStyle w:val="BodyText"/>
            </w:pPr>
            <w:r w:rsidRPr="008654CB">
              <w:t>This unit shall be assessed by methods given in Volume 1, Part 3 'Assessment Guidelines'.</w:t>
            </w:r>
          </w:p>
          <w:p w:rsidR="00000000" w:rsidP="008654CB">
            <w:pPr>
              <w:pStyle w:val="BodyText"/>
              <w:rPr>
                <w:lang w:val="en-NZ"/>
              </w:rPr>
            </w:pPr>
            <w:r w:rsidRPr="008654CB">
              <w:t xml:space="preserve">Note: </w:t>
            </w:r>
            <w:r w:rsidRPr="008654CB">
              <w:br/>
            </w:r>
            <w:r w:rsidRPr="008654CB">
              <w:t>Competent performance with inherent safe working practices is expected in the industry to which this unit applies. This requires assessment in a structured environment which is primarily intended for learning/assessment and incorporates all necessary equip</w:t>
            </w:r>
            <w:r w:rsidRPr="008654CB">
              <w:t>ment and facilities for learners to develop and demonstrate the essential knowledge and skills described in this unit.</w:t>
            </w:r>
          </w:p>
        </w:tc>
      </w:tr>
      <w:tr w:rsidTr="00FC5B6D">
        <w:tblPrEx>
          <w:tblW w:w="0" w:type="auto"/>
          <w:tblLayout w:type="fixed"/>
          <w:tblCellMar>
            <w:left w:w="62" w:type="dxa"/>
            <w:right w:w="62" w:type="dxa"/>
          </w:tblCellMar>
          <w:tblLook w:val="0000"/>
        </w:tblPrEx>
        <w:trPr>
          <w:gridAfter w:val="1"/>
          <w:wAfter w:w="9" w:type="dxa"/>
        </w:trPr>
        <w:tc>
          <w:tcPr>
            <w:tcW w:w="2160" w:type="dxa"/>
            <w:vMerge w:val="restart"/>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Concurrent assessment and relationship with other units</w:t>
            </w:r>
          </w:p>
        </w:tc>
        <w:tc>
          <w:tcPr>
            <w:tcW w:w="6726" w:type="dxa"/>
            <w:gridSpan w:val="4"/>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9</w:t>
            </w:r>
            <w:r w:rsidRPr="008654CB">
              <w:t>.</w:t>
            </w:r>
            <w:r w:rsidRPr="008654CB">
              <w:rPr>
                <w:rStyle w:val="SpecialBold"/>
              </w:rPr>
              <w:t>5</w:t>
            </w:r>
            <w:r w:rsidRPr="008654CB">
              <w:t>)</w:t>
            </w:r>
          </w:p>
        </w:tc>
      </w:tr>
      <w:tr w:rsidTr="00FC5B6D">
        <w:tblPrEx>
          <w:tblW w:w="0" w:type="auto"/>
          <w:tblLayout w:type="fixed"/>
          <w:tblCellMar>
            <w:left w:w="62" w:type="dxa"/>
            <w:right w:w="62" w:type="dxa"/>
          </w:tblCellMar>
          <w:tblLook w:val="0000"/>
        </w:tblPrEx>
        <w:trPr>
          <w:gridAfter w:val="1"/>
          <w:wAfter w:w="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 xml:space="preserve">For </w:t>
            </w:r>
            <w:r w:rsidRPr="008654CB">
              <w:t xml:space="preserve">optimisation of training and assessment effort, competency development in this unit may be arranged concurrently with unit: </w:t>
            </w:r>
          </w:p>
        </w:tc>
      </w:tr>
      <w:tr w:rsidTr="00FC5B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gridSpan w:val="3"/>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UEENEEG104A</w:t>
            </w:r>
          </w:p>
        </w:tc>
        <w:tc>
          <w:tcPr>
            <w:tcW w:w="4500" w:type="dxa"/>
            <w:gridSpan w:val="2"/>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Install appliances, switchgear and associated accessories for low voltage electrical installations</w:t>
            </w:r>
          </w:p>
        </w:tc>
      </w:tr>
    </w:tbl>
    <w:p w:rsidR="00FC5B6D" w:rsidP="008654CB">
      <w:pPr>
        <w:pStyle w:val="BodyText"/>
      </w:pPr>
    </w:p>
    <w:p w:rsidR="00FC5B6D" w:rsidP="008654CB">
      <w:pPr>
        <w:pStyle w:val="BodyText"/>
      </w:pPr>
    </w:p>
    <w:p w:rsidR="00000000" w:rsidRPr="008654CB" w:rsidP="008654CB">
      <w:pPr>
        <w:pStyle w:val="Heading1"/>
      </w:pPr>
      <w:bookmarkStart w:id="11" w:name="O_584937"/>
      <w:bookmarkEnd w:id="11"/>
      <w:r w:rsidRPr="008654CB">
        <w:t>Range Statement</w:t>
      </w:r>
    </w:p>
    <w:tbl>
      <w:tblPr>
        <w:tblW w:w="0" w:type="auto"/>
        <w:tblLayout w:type="fixed"/>
        <w:tblCellMar>
          <w:left w:w="62" w:type="dxa"/>
          <w:right w:w="62" w:type="dxa"/>
        </w:tblCellMar>
        <w:tblLook w:val="0000"/>
      </w:tblPr>
      <w:tblGrid>
        <w:gridCol w:w="8895"/>
      </w:tblGrid>
      <w:tr w:rsidTr="00FC5B6D">
        <w:tblPrEx>
          <w:tblW w:w="0" w:type="auto"/>
          <w:tblLayout w:type="fixed"/>
          <w:tblCellMar>
            <w:left w:w="62" w:type="dxa"/>
            <w:right w:w="62" w:type="dxa"/>
          </w:tblCellMar>
          <w:tblLook w:val="0000"/>
        </w:tblPrEx>
        <w:trPr>
          <w:tblHeader/>
        </w:trPr>
        <w:tc>
          <w:tcPr>
            <w:tcW w:w="889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RANGE STATEMENT</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8</w:t>
            </w:r>
            <w:r w:rsidRPr="008654CB">
              <w:t>) This relates to the unit as a whole providing the range of contexts and conditions to which the performance criteria apply. It allows for different work environments and situations that will affect perfor</w:t>
            </w:r>
            <w:r w:rsidRPr="008654CB">
              <w:t>mance.</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This unit shall be demonstrated in relation to at least three different types of cable enclosure/support systems in combination with four different cable types and circuits for five different purposes as listed below.</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Wiring systems enclosures and supports</w:t>
            </w:r>
            <w:r w:rsidRPr="008654CB">
              <w:t>:</w:t>
            </w:r>
          </w:p>
          <w:p w:rsidR="00000000" w:rsidRPr="008654CB" w:rsidP="008654CB">
            <w:pPr>
              <w:pStyle w:val="ListBullet3"/>
            </w:pPr>
            <w:r w:rsidRPr="008654CB">
              <w:t>Metallic conduit</w:t>
            </w:r>
          </w:p>
          <w:p w:rsidR="00000000" w:rsidRPr="008654CB" w:rsidP="008654CB">
            <w:pPr>
              <w:pStyle w:val="ListBullet3"/>
            </w:pPr>
            <w:r w:rsidRPr="008654CB">
              <w:t>Non-metallic conduit</w:t>
            </w:r>
          </w:p>
          <w:p w:rsidR="00000000" w:rsidRPr="008654CB" w:rsidP="008654CB">
            <w:pPr>
              <w:pStyle w:val="ListBullet3"/>
            </w:pPr>
            <w:r w:rsidRPr="008654CB">
              <w:t>Trunking</w:t>
            </w:r>
          </w:p>
          <w:p w:rsidR="00000000" w:rsidRPr="008654CB" w:rsidP="008654CB">
            <w:pPr>
              <w:pStyle w:val="ListBullet3"/>
            </w:pPr>
            <w:r w:rsidRPr="008654CB">
              <w:t>Duct</w:t>
            </w:r>
          </w:p>
          <w:p w:rsidR="00000000" w:rsidRPr="008654CB" w:rsidP="008654CB">
            <w:pPr>
              <w:pStyle w:val="ListBullet3"/>
            </w:pPr>
            <w:r w:rsidRPr="008654CB">
              <w:t>Cable tray/ladder</w:t>
            </w:r>
          </w:p>
          <w:p w:rsidR="00000000" w:rsidRPr="008654CB" w:rsidP="008654CB">
            <w:pPr>
              <w:pStyle w:val="ListBullet3"/>
            </w:pPr>
            <w:r w:rsidRPr="008654CB">
              <w:t>Catenary</w:t>
            </w:r>
          </w:p>
          <w:p w:rsidR="00000000" w:rsidP="008654CB">
            <w:pPr>
              <w:pStyle w:val="ListBullet3"/>
              <w:rPr>
                <w:lang w:val="en-NZ"/>
              </w:rPr>
            </w:pPr>
            <w:r w:rsidRPr="008654CB">
              <w:t>Posts/poles/struts</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Cable types</w:t>
            </w:r>
            <w:r w:rsidRPr="008654CB">
              <w:t>:</w:t>
            </w:r>
          </w:p>
          <w:p w:rsidR="00000000" w:rsidRPr="008654CB" w:rsidP="008654CB">
            <w:pPr>
              <w:pStyle w:val="ListBullet3"/>
            </w:pPr>
            <w:r w:rsidRPr="008654CB">
              <w:t>Thermoplastic insulated cable (TPI)</w:t>
            </w:r>
          </w:p>
          <w:p w:rsidR="00000000" w:rsidRPr="008654CB" w:rsidP="008654CB">
            <w:pPr>
              <w:pStyle w:val="ListBullet3"/>
            </w:pPr>
            <w:r w:rsidRPr="008654CB">
              <w:t>Flat thermoplastic sheathed (TPS)</w:t>
            </w:r>
          </w:p>
          <w:p w:rsidR="00000000" w:rsidRPr="008654CB" w:rsidP="008654CB">
            <w:pPr>
              <w:pStyle w:val="ListBullet3"/>
            </w:pPr>
            <w:r w:rsidRPr="008654CB">
              <w:t>Circular thermoplastic sheathed (TPS)</w:t>
            </w:r>
          </w:p>
          <w:p w:rsidR="00000000" w:rsidRPr="008654CB" w:rsidP="008654CB">
            <w:pPr>
              <w:pStyle w:val="ListBullet3"/>
            </w:pPr>
            <w:r w:rsidRPr="008654CB">
              <w:t>Steel wire armoured (SWA)</w:t>
            </w:r>
          </w:p>
          <w:p w:rsidR="00000000" w:rsidRPr="008654CB" w:rsidP="008654CB">
            <w:pPr>
              <w:pStyle w:val="ListBullet3"/>
            </w:pPr>
            <w:r w:rsidRPr="008654CB">
              <w:t>Fire rated cable ( HT or HF or MIMS)</w:t>
            </w:r>
          </w:p>
          <w:p w:rsidR="00000000" w:rsidRPr="008654CB" w:rsidP="008654CB">
            <w:pPr>
              <w:pStyle w:val="ListBullet3"/>
            </w:pPr>
            <w:r w:rsidRPr="008654CB">
              <w:t>Flexible cables</w:t>
            </w:r>
          </w:p>
          <w:p w:rsidR="00000000" w:rsidP="008654CB">
            <w:pPr>
              <w:pStyle w:val="ListBullet3"/>
              <w:rPr>
                <w:lang w:val="en-NZ"/>
              </w:rPr>
            </w:pPr>
            <w:r w:rsidRPr="008654CB">
              <w:t>Aerial cable</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Circuit purpose</w:t>
            </w:r>
            <w:r w:rsidRPr="008654CB">
              <w:t>:</w:t>
            </w:r>
          </w:p>
          <w:p w:rsidR="00000000" w:rsidRPr="008654CB" w:rsidP="008654CB">
            <w:pPr>
              <w:pStyle w:val="ListBullet3"/>
            </w:pPr>
            <w:r w:rsidRPr="008654CB">
              <w:t>Consumers mains</w:t>
            </w:r>
          </w:p>
          <w:p w:rsidR="00000000" w:rsidRPr="008654CB" w:rsidP="008654CB">
            <w:pPr>
              <w:pStyle w:val="ListBullet3"/>
            </w:pPr>
            <w:r w:rsidRPr="008654CB">
              <w:t>Submains</w:t>
            </w:r>
          </w:p>
          <w:p w:rsidR="00000000" w:rsidRPr="008654CB" w:rsidP="008654CB">
            <w:pPr>
              <w:pStyle w:val="ListBullet3"/>
            </w:pPr>
            <w:r w:rsidRPr="008654CB">
              <w:t>Alternative supply</w:t>
            </w:r>
          </w:p>
          <w:p w:rsidR="00000000" w:rsidRPr="008654CB" w:rsidP="008654CB">
            <w:pPr>
              <w:pStyle w:val="ListBullet3"/>
            </w:pPr>
            <w:r w:rsidRPr="008654CB">
              <w:t>Lighting;</w:t>
            </w:r>
          </w:p>
          <w:p w:rsidR="00000000" w:rsidRPr="008654CB" w:rsidP="008654CB">
            <w:pPr>
              <w:pStyle w:val="ListBullet3"/>
            </w:pPr>
            <w:r w:rsidRPr="008654CB">
              <w:t>Socket outlets</w:t>
            </w:r>
          </w:p>
          <w:p w:rsidR="00000000" w:rsidRPr="008654CB" w:rsidP="008654CB">
            <w:pPr>
              <w:pStyle w:val="ListBullet3"/>
            </w:pPr>
            <w:r w:rsidRPr="008654CB">
              <w:t>Single phase fixed appliance</w:t>
            </w:r>
          </w:p>
          <w:p w:rsidR="00000000" w:rsidRPr="008654CB" w:rsidP="008654CB">
            <w:pPr>
              <w:pStyle w:val="ListBullet3"/>
            </w:pPr>
            <w:r w:rsidRPr="008654CB">
              <w:t>Single ph</w:t>
            </w:r>
            <w:r w:rsidRPr="008654CB">
              <w:t>ase motor</w:t>
            </w:r>
          </w:p>
          <w:p w:rsidR="00000000" w:rsidRPr="008654CB" w:rsidP="008654CB">
            <w:pPr>
              <w:pStyle w:val="ListBullet3"/>
            </w:pPr>
            <w:r w:rsidRPr="008654CB">
              <w:t>Three phase motor</w:t>
            </w:r>
          </w:p>
          <w:p w:rsidR="00000000" w:rsidP="008654CB">
            <w:pPr>
              <w:pStyle w:val="ListBullet3"/>
              <w:rPr>
                <w:lang w:val="en-NZ"/>
              </w:rPr>
            </w:pPr>
            <w:r w:rsidRPr="008654CB">
              <w:t>Control</w:t>
            </w:r>
          </w:p>
        </w:tc>
      </w:tr>
      <w:tr w:rsidTr="00FC5B6D">
        <w:tblPrEx>
          <w:tblW w:w="0" w:type="auto"/>
          <w:tblLayout w:type="fixed"/>
          <w:tblCellMar>
            <w:left w:w="62" w:type="dxa"/>
            <w:right w:w="62" w:type="dxa"/>
          </w:tblCellMar>
          <w:tblLook w:val="0000"/>
        </w:tblPrEx>
        <w:tc>
          <w:tcPr>
            <w:tcW w:w="8895"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 xml:space="preserve">Generic terms used throughout this Vocational Standard shall be regarded as part of the Range Statement in which competency is demonstrated. </w:t>
            </w:r>
            <w:r w:rsidRPr="008654CB">
              <w:t>The definition of these and other terms that apply are given in Volume 2, Part 2.1.</w:t>
            </w:r>
          </w:p>
        </w:tc>
      </w:tr>
    </w:tbl>
    <w:p w:rsidR="00FC5B6D" w:rsidP="008654CB">
      <w:pPr>
        <w:pStyle w:val="BodyText"/>
      </w:pPr>
    </w:p>
    <w:p w:rsidR="00FC5B6D" w:rsidP="008654CB">
      <w:pPr>
        <w:pStyle w:val="BodyText"/>
      </w:pPr>
    </w:p>
    <w:p w:rsidR="00000000" w:rsidRPr="008654CB" w:rsidP="008654CB">
      <w:pPr>
        <w:pStyle w:val="Heading1"/>
      </w:pPr>
      <w:bookmarkStart w:id="12" w:name="O_584936"/>
      <w:bookmarkEnd w:id="12"/>
      <w:r w:rsidRPr="008654CB">
        <w:t>Unit Sector(s)</w:t>
      </w:r>
    </w:p>
    <w:p w:rsidR="00000000" w:rsidRPr="008654CB" w:rsidP="008654CB">
      <w:pPr>
        <w:pStyle w:val="BodyText"/>
      </w:pPr>
      <w:r w:rsidRPr="008654CB">
        <w:t>Not Applicable</w:t>
      </w:r>
    </w:p>
    <w:p w:rsidR="00000000" w:rsidRPr="008654CB" w:rsidP="008654CB">
      <w:pPr>
        <w:pStyle w:val="AllowPageBreak"/>
      </w:pPr>
    </w:p>
    <w:p w:rsidR="00000000" w:rsidRPr="008654CB" w:rsidP="008654CB">
      <w:pPr>
        <w:pStyle w:val="Heading1"/>
      </w:pPr>
      <w:bookmarkStart w:id="13" w:name="O_584935"/>
      <w:bookmarkEnd w:id="13"/>
      <w:r w:rsidRPr="008654C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C5B6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2</w:t>
            </w:r>
            <w:r w:rsidRPr="008654CB">
              <w:t>.</w:t>
            </w:r>
            <w:r w:rsidRPr="008654CB">
              <w:rPr>
                <w:rStyle w:val="SpecialBold"/>
              </w:rPr>
              <w:t>2</w:t>
            </w:r>
            <w:r w:rsidRPr="008654CB">
              <w:t xml:space="preserve">) </w:t>
            </w:r>
            <w:r w:rsidRPr="008654CB">
              <w:rPr>
                <w:rStyle w:val="SpecialBold"/>
              </w:rPr>
              <w:t>Literacy and numeracy skills</w:t>
            </w:r>
          </w:p>
          <w:p w:rsidR="00000000" w:rsidP="008654CB">
            <w:pPr>
              <w:pStyle w:val="BodyText"/>
              <w:rPr>
                <w:lang w:val="en-NZ"/>
              </w:rPr>
            </w:pPr>
            <w:r w:rsidRPr="008654CB">
              <w:t>Participants are best equipped to achieve competency in this unit if they have reading, writing and numeracy skills indicated by the following scales. Description of each scale is given in Volume 2, Part 3 'Literacy and Numeracy'</w:t>
            </w:r>
          </w:p>
        </w:tc>
      </w:tr>
      <w:tr w:rsidTr="00FC5B6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Reading</w:t>
            </w:r>
          </w:p>
        </w:tc>
        <w:tc>
          <w:tcPr>
            <w:tcW w:w="1182"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5</w:t>
            </w:r>
          </w:p>
        </w:tc>
        <w:tc>
          <w:tcPr>
            <w:tcW w:w="1739"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Writing</w:t>
            </w:r>
          </w:p>
        </w:tc>
        <w:tc>
          <w:tcPr>
            <w:tcW w:w="1182"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5</w:t>
            </w:r>
          </w:p>
        </w:tc>
        <w:tc>
          <w:tcPr>
            <w:tcW w:w="1721"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t>Numeracy</w:t>
            </w:r>
          </w:p>
        </w:tc>
        <w:tc>
          <w:tcPr>
            <w:tcW w:w="1182"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5</w:t>
            </w:r>
          </w:p>
        </w:tc>
      </w:tr>
    </w:tbl>
    <w:p w:rsidR="00FC5B6D" w:rsidP="008654CB">
      <w:pPr>
        <w:pStyle w:val="BodyText"/>
      </w:pPr>
    </w:p>
    <w:p w:rsidR="00FC5B6D" w:rsidP="008654CB">
      <w:pPr>
        <w:pStyle w:val="BodyText"/>
      </w:pPr>
    </w:p>
    <w:p w:rsidR="00000000" w:rsidRPr="008654CB" w:rsidP="008654CB">
      <w:pPr>
        <w:pStyle w:val="Heading1"/>
      </w:pPr>
      <w:bookmarkStart w:id="14" w:name="O_584934"/>
      <w:bookmarkEnd w:id="14"/>
      <w:r w:rsidRPr="008654CB">
        <w:t>2.2) Literacy and numeracy skills</w:t>
      </w:r>
    </w:p>
    <w:tbl>
      <w:tblPr>
        <w:tblW w:w="0" w:type="auto"/>
        <w:tblLayout w:type="fixed"/>
        <w:tblCellMar>
          <w:left w:w="62" w:type="dxa"/>
          <w:right w:w="62" w:type="dxa"/>
        </w:tblCellMar>
        <w:tblLook w:val="0000"/>
      </w:tblPr>
      <w:tblGrid>
        <w:gridCol w:w="2700"/>
        <w:gridCol w:w="5760"/>
      </w:tblGrid>
      <w:tr w:rsidTr="00FC5B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54CB">
            <w:pPr>
              <w:pStyle w:val="BodyText"/>
              <w:rPr>
                <w:lang w:val="en-NZ"/>
              </w:rPr>
            </w:pPr>
            <w:r w:rsidRPr="008654CB">
              <w:rPr>
                <w:rStyle w:val="SpecialBold"/>
              </w:rPr>
              <w:t>5</w:t>
            </w:r>
            <w:r w:rsidRPr="008654CB">
              <w:t>)</w:t>
            </w:r>
          </w:p>
        </w:tc>
      </w:tr>
      <w:tr w:rsidTr="00FC5B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54CB" w:rsidP="008654CB">
            <w:pPr>
              <w:pStyle w:val="BodyText"/>
            </w:pPr>
            <w:r w:rsidRPr="008654CB">
              <w:t>Electrical</w:t>
            </w:r>
          </w:p>
        </w:tc>
      </w:tr>
    </w:tbl>
    <w:p w:rsidR="00FC5B6D" w:rsidP="008654CB">
      <w:pPr>
        <w:pStyle w:val="BodyText"/>
      </w:pPr>
    </w:p>
    <w:p w:rsidR="00FC5B6D" w:rsidP="008654CB">
      <w:pPr>
        <w:pStyle w:val="BodyText"/>
      </w:pPr>
    </w:p>
    <w:p w:rsidR="00000000" w:rsidRPr="008654CB" w:rsidP="008654CB"/>
    <w:sectPr w:rsidSect="00865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rsidRPr="00FC5B6D" w:rsidP="00FC5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6D" w:rsidP="00865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C5B6D" w:rsidP="008654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C5B6D" w:rsidP="00865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rsidRPr="00FC5B6D" w:rsidP="00FC5B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6D" w:rsidRPr="002D2AF8" w:rsidP="008654CB">
    <w:pPr>
      <w:pStyle w:val="Header"/>
      <w:framePr w:wrap="around"/>
    </w:pPr>
    <w:r>
      <w:fldChar w:fldCharType="begin"/>
    </w:r>
    <w:r>
      <w:instrText xml:space="preserve"> TITLE   \* MERGEFORMAT </w:instrText>
    </w:r>
    <w:r>
      <w:fldChar w:fldCharType="separate"/>
    </w:r>
    <w:r>
      <w:t>UEENEEG103A Install low voltage wiring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C5B6D" w:rsidP="00865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2D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6E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08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4CB"/>
    <w:pPr>
      <w:spacing w:before="360" w:after="60"/>
      <w:outlineLvl w:val="0"/>
    </w:pPr>
    <w:rPr>
      <w:sz w:val="32"/>
    </w:rPr>
  </w:style>
  <w:style w:type="paragraph" w:styleId="Heading2">
    <w:name w:val="heading 2"/>
    <w:basedOn w:val="HeadingBase"/>
    <w:next w:val="BodyText"/>
    <w:link w:val="Heading2Char"/>
    <w:qFormat/>
    <w:rsid w:val="008654CB"/>
    <w:pPr>
      <w:keepLines/>
      <w:spacing w:before="240" w:after="120"/>
      <w:outlineLvl w:val="1"/>
    </w:pPr>
    <w:rPr>
      <w:sz w:val="28"/>
      <w:szCs w:val="40"/>
    </w:rPr>
  </w:style>
  <w:style w:type="paragraph" w:styleId="Heading3">
    <w:name w:val="heading 3"/>
    <w:basedOn w:val="HeadingBase"/>
    <w:next w:val="BodyText"/>
    <w:link w:val="Heading3Char"/>
    <w:qFormat/>
    <w:rsid w:val="008654CB"/>
    <w:pPr>
      <w:spacing w:before="180" w:after="120"/>
      <w:outlineLvl w:val="2"/>
    </w:pPr>
    <w:rPr>
      <w:spacing w:val="-10"/>
      <w:kern w:val="32"/>
    </w:rPr>
  </w:style>
  <w:style w:type="paragraph" w:styleId="Heading4">
    <w:name w:val="heading 4"/>
    <w:basedOn w:val="HeadingBase"/>
    <w:next w:val="BodyText"/>
    <w:link w:val="Heading4Char"/>
    <w:qFormat/>
    <w:rsid w:val="008654CB"/>
    <w:pPr>
      <w:spacing w:before="160" w:after="120"/>
      <w:outlineLvl w:val="3"/>
    </w:pPr>
    <w:rPr>
      <w:sz w:val="22"/>
    </w:rPr>
  </w:style>
  <w:style w:type="paragraph" w:styleId="Heading5">
    <w:name w:val="heading 5"/>
    <w:basedOn w:val="HeadingBase"/>
    <w:next w:val="Normal"/>
    <w:link w:val="Heading5Char"/>
    <w:qFormat/>
    <w:rsid w:val="008654CB"/>
    <w:pPr>
      <w:spacing w:before="80"/>
      <w:outlineLvl w:val="4"/>
    </w:pPr>
    <w:rPr>
      <w:color w:val="918585"/>
      <w:sz w:val="20"/>
    </w:rPr>
  </w:style>
  <w:style w:type="paragraph" w:styleId="Heading6">
    <w:name w:val="heading 6"/>
    <w:basedOn w:val="HeadingBase"/>
    <w:next w:val="Normal"/>
    <w:link w:val="Heading6Char"/>
    <w:qFormat/>
    <w:rsid w:val="008654CB"/>
    <w:pPr>
      <w:spacing w:before="60"/>
      <w:outlineLvl w:val="5"/>
    </w:pPr>
    <w:rPr>
      <w:color w:val="918585"/>
      <w:sz w:val="20"/>
    </w:rPr>
  </w:style>
  <w:style w:type="paragraph" w:styleId="Heading7">
    <w:name w:val="heading 7"/>
    <w:basedOn w:val="Normal"/>
    <w:next w:val="Normal"/>
    <w:link w:val="Heading7Char"/>
    <w:qFormat/>
    <w:rsid w:val="008654CB"/>
    <w:pPr>
      <w:ind w:left="720"/>
      <w:outlineLvl w:val="6"/>
    </w:pPr>
    <w:rPr>
      <w:i/>
    </w:rPr>
  </w:style>
  <w:style w:type="paragraph" w:styleId="Heading8">
    <w:name w:val="heading 8"/>
    <w:basedOn w:val="Normal"/>
    <w:next w:val="Normal"/>
    <w:link w:val="Heading8Char"/>
    <w:qFormat/>
    <w:rsid w:val="008654CB"/>
    <w:pPr>
      <w:ind w:left="720"/>
      <w:outlineLvl w:val="7"/>
    </w:pPr>
    <w:rPr>
      <w:i/>
    </w:rPr>
  </w:style>
  <w:style w:type="paragraph" w:styleId="Heading9">
    <w:name w:val="heading 9"/>
    <w:basedOn w:val="Normal"/>
    <w:next w:val="Normal"/>
    <w:link w:val="Heading9Char"/>
    <w:qFormat/>
    <w:rsid w:val="008654CB"/>
    <w:pPr>
      <w:ind w:left="720"/>
      <w:outlineLvl w:val="8"/>
    </w:pPr>
    <w:rPr>
      <w:i/>
    </w:rPr>
  </w:style>
  <w:style w:type="character" w:default="1" w:styleId="DefaultParagraphFont">
    <w:name w:val="Default Paragraph Font"/>
    <w:uiPriority w:val="1"/>
    <w:unhideWhenUsed/>
    <w:rsid w:val="00865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4CB"/>
  </w:style>
  <w:style w:type="character" w:customStyle="1" w:styleId="Heading1Char">
    <w:name w:val="Heading 1 Char"/>
    <w:basedOn w:val="DefaultParagraphFont"/>
    <w:link w:val="Heading1"/>
    <w:rsid w:val="008654CB"/>
    <w:rPr>
      <w:rFonts w:ascii="Times New Roman" w:eastAsia="Times New Roman" w:hAnsi="Times New Roman" w:cs="Times New Roman"/>
      <w:b/>
      <w:sz w:val="32"/>
      <w:szCs w:val="20"/>
      <w:lang w:eastAsia="en-US"/>
    </w:rPr>
  </w:style>
  <w:style w:type="paragraph" w:styleId="BodyText">
    <w:name w:val="Body Text"/>
    <w:basedOn w:val="Normal"/>
    <w:link w:val="BodyTextChar"/>
    <w:rsid w:val="00865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54CB"/>
    <w:rPr>
      <w:rFonts w:ascii="Times New Roman" w:eastAsia="Times New Roman" w:hAnsi="Times New Roman" w:cs="Times New Roman"/>
      <w:sz w:val="24"/>
      <w:lang w:eastAsia="en-US"/>
    </w:rPr>
  </w:style>
  <w:style w:type="paragraph" w:styleId="ListBullet">
    <w:name w:val="List Bullet"/>
    <w:basedOn w:val="List"/>
    <w:rsid w:val="008654CB"/>
    <w:pPr>
      <w:numPr>
        <w:numId w:val="14"/>
      </w:numPr>
      <w:tabs>
        <w:tab w:val="clear" w:pos="340"/>
      </w:tabs>
      <w:spacing w:before="40" w:after="40"/>
    </w:pPr>
  </w:style>
  <w:style w:type="character" w:customStyle="1" w:styleId="SpecialBold">
    <w:name w:val="Special Bold"/>
    <w:basedOn w:val="DefaultParagraphFont"/>
    <w:rsid w:val="008654CB"/>
    <w:rPr>
      <w:b/>
      <w:spacing w:val="0"/>
    </w:rPr>
  </w:style>
  <w:style w:type="paragraph" w:styleId="ListBullet2">
    <w:name w:val="List Bullet 2"/>
    <w:basedOn w:val="List2"/>
    <w:rsid w:val="008654CB"/>
    <w:pPr>
      <w:numPr>
        <w:numId w:val="15"/>
      </w:numPr>
      <w:tabs>
        <w:tab w:val="clear" w:pos="680"/>
      </w:tabs>
    </w:pPr>
  </w:style>
  <w:style w:type="paragraph" w:customStyle="1" w:styleId="SuperHeading">
    <w:name w:val="SuperHeading"/>
    <w:basedOn w:val="Normal"/>
    <w:rsid w:val="008654CB"/>
    <w:pPr>
      <w:spacing w:before="240" w:after="120"/>
      <w:outlineLvl w:val="0"/>
    </w:pPr>
    <w:rPr>
      <w:rFonts w:ascii="Times New Roman" w:hAnsi="Times New Roman"/>
      <w:b/>
      <w:sz w:val="32"/>
    </w:rPr>
  </w:style>
  <w:style w:type="paragraph" w:customStyle="1" w:styleId="AllowPageBreak">
    <w:name w:val="AllowPageBreak"/>
    <w:rsid w:val="008654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54CB"/>
    <w:pPr>
      <w:numPr>
        <w:numId w:val="3"/>
      </w:numPr>
      <w:tabs>
        <w:tab w:val="clear" w:pos="1021"/>
      </w:tabs>
      <w:ind w:left="1037" w:hanging="357"/>
    </w:pPr>
  </w:style>
  <w:style w:type="character" w:customStyle="1" w:styleId="Heading2Char">
    <w:name w:val="Heading 2 Char"/>
    <w:basedOn w:val="DefaultParagraphFont"/>
    <w:link w:val="Heading2"/>
    <w:rsid w:val="00865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4CB"/>
    <w:rPr>
      <w:rFonts w:ascii="Courier New" w:eastAsia="Times New Roman" w:hAnsi="Courier New" w:cs="Times New Roman"/>
      <w:i/>
      <w:szCs w:val="20"/>
      <w:lang w:eastAsia="en-US"/>
    </w:rPr>
  </w:style>
  <w:style w:type="paragraph" w:customStyle="1" w:styleId="HeadingBase">
    <w:name w:val="Heading Base"/>
    <w:rsid w:val="00865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4CB"/>
    <w:pPr>
      <w:tabs>
        <w:tab w:val="right" w:leader="dot" w:pos="9072"/>
      </w:tabs>
      <w:ind w:left="567"/>
    </w:pPr>
    <w:rPr>
      <w:szCs w:val="22"/>
    </w:rPr>
  </w:style>
  <w:style w:type="paragraph" w:customStyle="1" w:styleId="TOCBase">
    <w:name w:val="TOC Base"/>
    <w:rsid w:val="00865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4CB"/>
    <w:pPr>
      <w:tabs>
        <w:tab w:val="right" w:leader="dot" w:pos="9072"/>
      </w:tabs>
      <w:spacing w:before="40" w:after="40"/>
      <w:ind w:left="284"/>
    </w:pPr>
    <w:rPr>
      <w:rFonts w:ascii="Times New Roman" w:hAnsi="Times New Roman"/>
    </w:rPr>
  </w:style>
  <w:style w:type="paragraph" w:styleId="TOC1">
    <w:name w:val="toc 1"/>
    <w:basedOn w:val="TOCBase"/>
    <w:next w:val="Normal"/>
    <w:rsid w:val="00865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4CB"/>
    <w:rPr>
      <w:rFonts w:ascii="Times New Roman" w:eastAsia="Times New Roman" w:hAnsi="Times New Roman" w:cs="Times New Roman"/>
      <w:sz w:val="16"/>
      <w:lang w:eastAsia="en-US"/>
    </w:rPr>
  </w:style>
  <w:style w:type="paragraph" w:styleId="Title">
    <w:name w:val="Title"/>
    <w:basedOn w:val="HeadingBase"/>
    <w:link w:val="TitleChar"/>
    <w:qFormat/>
    <w:rsid w:val="008654CB"/>
    <w:pPr>
      <w:spacing w:before="5040"/>
      <w:jc w:val="center"/>
    </w:pPr>
    <w:rPr>
      <w:sz w:val="48"/>
      <w:szCs w:val="72"/>
      <w:lang w:val="en-US"/>
    </w:rPr>
  </w:style>
  <w:style w:type="character" w:customStyle="1" w:styleId="TitleChar">
    <w:name w:val="Title Char"/>
    <w:basedOn w:val="DefaultParagraphFont"/>
    <w:link w:val="Title"/>
    <w:rsid w:val="00865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4CB"/>
    <w:pPr>
      <w:tabs>
        <w:tab w:val="left" w:pos="3600"/>
        <w:tab w:val="left" w:pos="3958"/>
      </w:tabs>
    </w:pPr>
  </w:style>
  <w:style w:type="paragraph" w:styleId="List">
    <w:name w:val="List"/>
    <w:basedOn w:val="BodyText"/>
    <w:next w:val="BodyText"/>
    <w:rsid w:val="008654CB"/>
    <w:pPr>
      <w:tabs>
        <w:tab w:val="left" w:pos="340"/>
      </w:tabs>
      <w:spacing w:before="60" w:after="60"/>
      <w:ind w:left="340" w:hanging="340"/>
    </w:pPr>
  </w:style>
  <w:style w:type="paragraph" w:customStyle="1" w:styleId="Note">
    <w:name w:val="Note"/>
    <w:basedOn w:val="BodyText"/>
    <w:rsid w:val="00865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4CB"/>
    <w:pPr>
      <w:framePr w:wrap="auto" w:hAnchor="text" w:y="6049"/>
    </w:pPr>
    <w:rPr>
      <w:color w:val="000000"/>
      <w:sz w:val="40"/>
    </w:rPr>
  </w:style>
  <w:style w:type="paragraph" w:customStyle="1" w:styleId="TOCTitle">
    <w:name w:val="TOCTitle"/>
    <w:basedOn w:val="Heading1"/>
    <w:rsid w:val="008654CB"/>
    <w:pPr>
      <w:spacing w:after="240"/>
      <w:jc w:val="center"/>
      <w:outlineLvl w:val="9"/>
    </w:pPr>
    <w:rPr>
      <w:caps/>
    </w:rPr>
  </w:style>
  <w:style w:type="paragraph" w:customStyle="1" w:styleId="Version">
    <w:name w:val="Version"/>
    <w:rsid w:val="00865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4CB"/>
    <w:pPr>
      <w:keepNext w:val="0"/>
      <w:tabs>
        <w:tab w:val="right" w:pos="4176"/>
      </w:tabs>
      <w:ind w:left="198" w:hanging="198"/>
    </w:pPr>
    <w:rPr>
      <w:rFonts w:ascii="Garamond" w:hAnsi="Garamond"/>
    </w:rPr>
  </w:style>
  <w:style w:type="paragraph" w:styleId="IndexHeading">
    <w:name w:val="index heading"/>
    <w:basedOn w:val="Normal"/>
    <w:next w:val="Index1"/>
    <w:semiHidden/>
    <w:rsid w:val="008654CB"/>
    <w:pPr>
      <w:spacing w:before="120" w:after="120"/>
    </w:pPr>
    <w:rPr>
      <w:rFonts w:ascii="Arial" w:hAnsi="Arial"/>
      <w:b/>
      <w:color w:val="918585"/>
      <w:sz w:val="24"/>
    </w:rPr>
  </w:style>
  <w:style w:type="paragraph" w:styleId="Header">
    <w:name w:val="header"/>
    <w:basedOn w:val="Normal"/>
    <w:link w:val="HeaderChar"/>
    <w:rsid w:val="00865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4CB"/>
    <w:rPr>
      <w:rFonts w:ascii="Times New Roman" w:eastAsia="Times New Roman" w:hAnsi="Times New Roman" w:cs="Times New Roman"/>
      <w:sz w:val="16"/>
      <w:szCs w:val="20"/>
      <w:lang w:val="en-GB" w:eastAsia="en-US"/>
    </w:rPr>
  </w:style>
  <w:style w:type="paragraph" w:customStyle="1" w:styleId="Chapter">
    <w:name w:val="Chapter"/>
    <w:basedOn w:val="Normal"/>
    <w:rsid w:val="008654CB"/>
    <w:pPr>
      <w:spacing w:before="240"/>
    </w:pPr>
    <w:rPr>
      <w:rFonts w:ascii="Times New Roman" w:hAnsi="Times New Roman"/>
      <w:smallCaps/>
      <w:spacing w:val="80"/>
      <w:sz w:val="28"/>
    </w:rPr>
  </w:style>
  <w:style w:type="paragraph" w:customStyle="1" w:styleId="InChapter">
    <w:name w:val="InChapter"/>
    <w:basedOn w:val="Heading3"/>
    <w:rsid w:val="008654CB"/>
    <w:pPr>
      <w:spacing w:after="240"/>
      <w:outlineLvl w:val="9"/>
    </w:pPr>
    <w:rPr>
      <w:noProof/>
    </w:rPr>
  </w:style>
  <w:style w:type="paragraph" w:styleId="Index2">
    <w:name w:val="index 2"/>
    <w:basedOn w:val="Normal"/>
    <w:next w:val="Normal"/>
    <w:semiHidden/>
    <w:rsid w:val="008654CB"/>
    <w:pPr>
      <w:tabs>
        <w:tab w:val="right" w:pos="4176"/>
      </w:tabs>
      <w:ind w:left="568" w:hanging="284"/>
    </w:pPr>
    <w:rPr>
      <w:rFonts w:ascii="Garamond" w:hAnsi="Garamond"/>
    </w:rPr>
  </w:style>
  <w:style w:type="paragraph" w:customStyle="1" w:styleId="Byline">
    <w:name w:val="Byline"/>
    <w:rsid w:val="00865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4CB"/>
    <w:pPr>
      <w:tabs>
        <w:tab w:val="clear" w:pos="3600"/>
        <w:tab w:val="clear" w:pos="3958"/>
      </w:tabs>
      <w:jc w:val="right"/>
    </w:pPr>
  </w:style>
  <w:style w:type="character" w:styleId="Emphasis">
    <w:name w:val="Emphasis"/>
    <w:basedOn w:val="DefaultParagraphFont"/>
    <w:qFormat/>
    <w:rsid w:val="008654CB"/>
    <w:rPr>
      <w:i/>
    </w:rPr>
  </w:style>
  <w:style w:type="paragraph" w:styleId="Caption">
    <w:name w:val="caption"/>
    <w:basedOn w:val="BodyText"/>
    <w:next w:val="Normal"/>
    <w:qFormat/>
    <w:rsid w:val="008654CB"/>
    <w:pPr>
      <w:framePr w:w="2268" w:hSpace="181" w:vSpace="181" w:wrap="around" w:vAnchor="text" w:hAnchor="page" w:x="1135" w:y="285" w:anchorLock="1"/>
    </w:pPr>
    <w:rPr>
      <w:i/>
    </w:rPr>
  </w:style>
  <w:style w:type="paragraph" w:customStyle="1" w:styleId="MiniTOCTitle">
    <w:name w:val="MiniTOCTitle"/>
    <w:basedOn w:val="Heading4"/>
    <w:rsid w:val="008654CB"/>
    <w:pPr>
      <w:spacing w:before="240"/>
      <w:outlineLvl w:val="9"/>
    </w:pPr>
    <w:rPr>
      <w:noProof/>
      <w:sz w:val="24"/>
    </w:rPr>
  </w:style>
  <w:style w:type="paragraph" w:customStyle="1" w:styleId="MiniTOCItem">
    <w:name w:val="MiniTOCItem"/>
    <w:basedOn w:val="ListBullet"/>
    <w:rsid w:val="008654CB"/>
    <w:pPr>
      <w:numPr>
        <w:numId w:val="0"/>
      </w:numPr>
      <w:tabs>
        <w:tab w:val="right" w:leader="dot" w:pos="6521"/>
      </w:tabs>
      <w:spacing w:before="0" w:after="0"/>
    </w:pPr>
  </w:style>
  <w:style w:type="paragraph" w:customStyle="1" w:styleId="TOFTitle">
    <w:name w:val="TOFTitle"/>
    <w:basedOn w:val="TOCTitle"/>
    <w:rsid w:val="008654CB"/>
  </w:style>
  <w:style w:type="paragraph" w:styleId="TableofFigures">
    <w:name w:val="table of figures"/>
    <w:basedOn w:val="Normal"/>
    <w:next w:val="Normal"/>
    <w:semiHidden/>
    <w:rsid w:val="008654CB"/>
    <w:pPr>
      <w:tabs>
        <w:tab w:val="right" w:leader="dot" w:pos="9072"/>
      </w:tabs>
      <w:ind w:left="970" w:hanging="403"/>
    </w:pPr>
    <w:rPr>
      <w:rFonts w:ascii="Times New Roman" w:hAnsi="Times New Roman"/>
      <w:b/>
    </w:rPr>
  </w:style>
  <w:style w:type="paragraph" w:styleId="ListNumber">
    <w:name w:val="List Number"/>
    <w:basedOn w:val="List"/>
    <w:rsid w:val="008654CB"/>
    <w:pPr>
      <w:numPr>
        <w:numId w:val="12"/>
      </w:numPr>
    </w:pPr>
  </w:style>
  <w:style w:type="character" w:customStyle="1" w:styleId="WingdingSymbols">
    <w:name w:val="Wingding Symbols"/>
    <w:rsid w:val="008654CB"/>
    <w:rPr>
      <w:rFonts w:ascii="Wingdings" w:hAnsi="Wingdings"/>
    </w:rPr>
  </w:style>
  <w:style w:type="paragraph" w:customStyle="1" w:styleId="TableHeading">
    <w:name w:val="Table Heading"/>
    <w:basedOn w:val="HeadingBase"/>
    <w:rsid w:val="008654CB"/>
    <w:pPr>
      <w:keepLines/>
      <w:pBdr>
        <w:bottom w:val="single" w:sz="6" w:space="1" w:color="918585"/>
      </w:pBdr>
      <w:spacing w:before="240"/>
    </w:pPr>
  </w:style>
  <w:style w:type="character" w:customStyle="1" w:styleId="HotSpot">
    <w:name w:val="HotSpot"/>
    <w:rsid w:val="008654CB"/>
    <w:rPr>
      <w:color w:val="0033CC"/>
      <w:u w:val="none"/>
    </w:rPr>
  </w:style>
  <w:style w:type="paragraph" w:customStyle="1" w:styleId="BodyTextRight">
    <w:name w:val="Body Text Right"/>
    <w:basedOn w:val="BodyText"/>
    <w:rsid w:val="008654CB"/>
    <w:pPr>
      <w:spacing w:before="0" w:after="0"/>
      <w:jc w:val="right"/>
    </w:pPr>
  </w:style>
  <w:style w:type="paragraph" w:styleId="Index3">
    <w:name w:val="index 3"/>
    <w:basedOn w:val="ListNumber2"/>
    <w:next w:val="Normal"/>
    <w:semiHidden/>
    <w:rsid w:val="008654CB"/>
    <w:pPr>
      <w:numPr>
        <w:numId w:val="0"/>
      </w:numPr>
      <w:tabs>
        <w:tab w:val="right" w:leader="dot" w:pos="4176"/>
      </w:tabs>
    </w:pPr>
  </w:style>
  <w:style w:type="paragraph" w:styleId="ListNumber2">
    <w:name w:val="List Number 2"/>
    <w:basedOn w:val="List2"/>
    <w:rsid w:val="008654CB"/>
    <w:pPr>
      <w:numPr>
        <w:numId w:val="11"/>
      </w:numPr>
      <w:tabs>
        <w:tab w:val="clear" w:pos="1060"/>
      </w:tabs>
    </w:pPr>
  </w:style>
  <w:style w:type="paragraph" w:customStyle="1" w:styleId="MarginNote">
    <w:name w:val="Margin Note"/>
    <w:basedOn w:val="BodyText"/>
    <w:rsid w:val="00865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4CB"/>
    <w:rPr>
      <w:sz w:val="32"/>
    </w:rPr>
  </w:style>
  <w:style w:type="paragraph" w:customStyle="1" w:styleId="HeadingProcedure">
    <w:name w:val="Heading Procedure"/>
    <w:basedOn w:val="HeadingBase"/>
    <w:next w:val="Normal"/>
    <w:rsid w:val="008654CB"/>
    <w:pPr>
      <w:tabs>
        <w:tab w:val="left" w:pos="0"/>
      </w:tabs>
      <w:spacing w:before="120" w:after="60"/>
    </w:pPr>
    <w:rPr>
      <w:i/>
      <w:color w:val="918585"/>
      <w:sz w:val="22"/>
    </w:rPr>
  </w:style>
  <w:style w:type="paragraph" w:customStyle="1" w:styleId="TableBodyText">
    <w:name w:val="Table Body Text"/>
    <w:basedOn w:val="BodyText"/>
    <w:rsid w:val="008654CB"/>
    <w:pPr>
      <w:spacing w:before="60" w:after="60"/>
    </w:pPr>
  </w:style>
  <w:style w:type="paragraph" w:styleId="ListContinue">
    <w:name w:val="List Continue"/>
    <w:basedOn w:val="List"/>
    <w:rsid w:val="008654CB"/>
    <w:pPr>
      <w:ind w:firstLine="0"/>
    </w:pPr>
  </w:style>
  <w:style w:type="paragraph" w:customStyle="1" w:styleId="ListNote">
    <w:name w:val="List Note"/>
    <w:basedOn w:val="List"/>
    <w:rsid w:val="008654CB"/>
    <w:pPr>
      <w:pBdr>
        <w:top w:val="single" w:sz="6" w:space="2" w:color="918585"/>
        <w:bottom w:val="single" w:sz="6" w:space="2" w:color="918585"/>
      </w:pBdr>
      <w:tabs>
        <w:tab w:val="left" w:pos="1021"/>
      </w:tabs>
      <w:ind w:firstLine="0"/>
    </w:pPr>
  </w:style>
  <w:style w:type="paragraph" w:customStyle="1" w:styleId="Warning">
    <w:name w:val="Warning"/>
    <w:basedOn w:val="BodyText"/>
    <w:rsid w:val="008654CB"/>
    <w:pPr>
      <w:shd w:val="clear" w:color="auto" w:fill="D9D9D9"/>
      <w:tabs>
        <w:tab w:val="left" w:pos="992"/>
      </w:tabs>
      <w:ind w:left="119" w:right="119"/>
    </w:pPr>
    <w:rPr>
      <w:sz w:val="20"/>
    </w:rPr>
  </w:style>
  <w:style w:type="paragraph" w:customStyle="1" w:styleId="MarginIcons">
    <w:name w:val="Margin Icons"/>
    <w:basedOn w:val="BodyText"/>
    <w:rsid w:val="00865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4CB"/>
    <w:rPr>
      <w:rFonts w:ascii="Courier New" w:hAnsi="Courier New"/>
    </w:rPr>
  </w:style>
  <w:style w:type="paragraph" w:customStyle="1" w:styleId="NoteBullet">
    <w:name w:val="Note Bullet"/>
    <w:basedOn w:val="Note"/>
    <w:rsid w:val="008654CB"/>
    <w:pPr>
      <w:tabs>
        <w:tab w:val="clear" w:pos="680"/>
      </w:tabs>
      <w:spacing w:before="60" w:after="60"/>
    </w:pPr>
  </w:style>
  <w:style w:type="paragraph" w:customStyle="1" w:styleId="SubHeading2">
    <w:name w:val="SubHeading2"/>
    <w:basedOn w:val="HeadingBase"/>
    <w:rsid w:val="008654CB"/>
    <w:pPr>
      <w:spacing w:before="240" w:after="60"/>
    </w:pPr>
    <w:rPr>
      <w:sz w:val="20"/>
    </w:rPr>
  </w:style>
  <w:style w:type="paragraph" w:customStyle="1" w:styleId="SubHeading1">
    <w:name w:val="SubHeading1"/>
    <w:basedOn w:val="HeadingBase"/>
    <w:rsid w:val="008654CB"/>
    <w:pPr>
      <w:spacing w:before="240" w:after="60"/>
    </w:pPr>
    <w:rPr>
      <w:color w:val="918585"/>
      <w:sz w:val="22"/>
    </w:rPr>
  </w:style>
  <w:style w:type="paragraph" w:customStyle="1" w:styleId="SideHeading">
    <w:name w:val="Side Heading"/>
    <w:basedOn w:val="HeadingBase"/>
    <w:rsid w:val="00865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4CB"/>
    <w:pPr>
      <w:numPr>
        <w:numId w:val="13"/>
      </w:numPr>
    </w:pPr>
  </w:style>
  <w:style w:type="paragraph" w:styleId="PlainText">
    <w:name w:val="Plain Text"/>
    <w:basedOn w:val="Normal"/>
    <w:link w:val="PlainTextChar"/>
    <w:rsid w:val="008654CB"/>
    <w:rPr>
      <w:sz w:val="20"/>
    </w:rPr>
  </w:style>
  <w:style w:type="character" w:customStyle="1" w:styleId="PlainTextChar">
    <w:name w:val="Plain Text Char"/>
    <w:basedOn w:val="DefaultParagraphFont"/>
    <w:link w:val="PlainText"/>
    <w:rsid w:val="008654CB"/>
    <w:rPr>
      <w:rFonts w:ascii="Courier New" w:eastAsia="Times New Roman" w:hAnsi="Courier New" w:cs="Times New Roman"/>
      <w:sz w:val="20"/>
      <w:szCs w:val="20"/>
      <w:lang w:eastAsia="en-US"/>
    </w:rPr>
  </w:style>
  <w:style w:type="character" w:customStyle="1" w:styleId="MenuOption">
    <w:name w:val="Menu Option"/>
    <w:basedOn w:val="DefaultParagraphFont"/>
    <w:rsid w:val="008654CB"/>
    <w:rPr>
      <w:b/>
      <w:smallCaps/>
    </w:rPr>
  </w:style>
  <w:style w:type="paragraph" w:customStyle="1" w:styleId="TableListNumber">
    <w:name w:val="Table List Number"/>
    <w:basedOn w:val="ListNumber"/>
    <w:rsid w:val="008654CB"/>
    <w:pPr>
      <w:numPr>
        <w:numId w:val="0"/>
      </w:numPr>
    </w:pPr>
  </w:style>
  <w:style w:type="paragraph" w:styleId="TOC4">
    <w:name w:val="toc 4"/>
    <w:basedOn w:val="TOCBase"/>
    <w:next w:val="Normal"/>
    <w:semiHidden/>
    <w:rsid w:val="008654CB"/>
    <w:pPr>
      <w:tabs>
        <w:tab w:val="right" w:leader="dot" w:pos="9071"/>
      </w:tabs>
      <w:ind w:left="1701"/>
    </w:pPr>
  </w:style>
  <w:style w:type="paragraph" w:customStyle="1" w:styleId="ListAlpha">
    <w:name w:val="List Alpha"/>
    <w:basedOn w:val="List"/>
    <w:rsid w:val="008654CB"/>
    <w:pPr>
      <w:numPr>
        <w:numId w:val="10"/>
      </w:numPr>
    </w:pPr>
  </w:style>
  <w:style w:type="paragraph" w:customStyle="1" w:styleId="ListAlpha2">
    <w:name w:val="List Alpha 2"/>
    <w:basedOn w:val="List2"/>
    <w:rsid w:val="008654CB"/>
    <w:pPr>
      <w:numPr>
        <w:numId w:val="9"/>
      </w:numPr>
    </w:pPr>
  </w:style>
  <w:style w:type="paragraph" w:styleId="List2">
    <w:name w:val="List 2"/>
    <w:basedOn w:val="BodyText"/>
    <w:rsid w:val="008654CB"/>
    <w:pPr>
      <w:tabs>
        <w:tab w:val="left" w:pos="680"/>
      </w:tabs>
      <w:spacing w:before="60" w:after="60"/>
      <w:ind w:left="680" w:hanging="340"/>
    </w:pPr>
  </w:style>
  <w:style w:type="paragraph" w:styleId="List3">
    <w:name w:val="List 3"/>
    <w:basedOn w:val="BodyText"/>
    <w:rsid w:val="008654CB"/>
    <w:pPr>
      <w:tabs>
        <w:tab w:val="left" w:pos="1021"/>
      </w:tabs>
      <w:spacing w:before="60" w:after="60"/>
      <w:ind w:left="1020" w:hanging="340"/>
    </w:pPr>
  </w:style>
  <w:style w:type="paragraph" w:styleId="List4">
    <w:name w:val="List 4"/>
    <w:basedOn w:val="BodyText"/>
    <w:rsid w:val="008654CB"/>
    <w:pPr>
      <w:tabs>
        <w:tab w:val="left" w:pos="1361"/>
      </w:tabs>
      <w:spacing w:before="60" w:after="60"/>
      <w:ind w:left="1361" w:hanging="340"/>
    </w:pPr>
  </w:style>
  <w:style w:type="paragraph" w:styleId="List5">
    <w:name w:val="List 5"/>
    <w:basedOn w:val="BodyText"/>
    <w:rsid w:val="008654CB"/>
    <w:pPr>
      <w:tabs>
        <w:tab w:val="left" w:pos="1701"/>
      </w:tabs>
      <w:spacing w:before="60" w:after="60"/>
      <w:ind w:left="1701" w:hanging="340"/>
    </w:pPr>
  </w:style>
  <w:style w:type="paragraph" w:styleId="ListBullet4">
    <w:name w:val="List Bullet 4"/>
    <w:basedOn w:val="List4"/>
    <w:rsid w:val="008654CB"/>
    <w:pPr>
      <w:numPr>
        <w:numId w:val="4"/>
      </w:numPr>
    </w:pPr>
  </w:style>
  <w:style w:type="paragraph" w:styleId="ListBullet5">
    <w:name w:val="List Bullet 5"/>
    <w:basedOn w:val="List5"/>
    <w:rsid w:val="008654CB"/>
    <w:pPr>
      <w:numPr>
        <w:numId w:val="5"/>
      </w:numPr>
    </w:pPr>
  </w:style>
  <w:style w:type="paragraph" w:styleId="ListContinue2">
    <w:name w:val="List Continue 2"/>
    <w:basedOn w:val="List2"/>
    <w:rsid w:val="008654CB"/>
    <w:pPr>
      <w:ind w:firstLine="0"/>
    </w:pPr>
  </w:style>
  <w:style w:type="paragraph" w:styleId="ListContinue3">
    <w:name w:val="List Continue 3"/>
    <w:basedOn w:val="List3"/>
    <w:rsid w:val="008654CB"/>
    <w:pPr>
      <w:ind w:left="1021" w:firstLine="0"/>
    </w:pPr>
  </w:style>
  <w:style w:type="paragraph" w:styleId="ListContinue4">
    <w:name w:val="List Continue 4"/>
    <w:basedOn w:val="List4"/>
    <w:rsid w:val="008654CB"/>
    <w:pPr>
      <w:ind w:firstLine="0"/>
    </w:pPr>
  </w:style>
  <w:style w:type="paragraph" w:styleId="ListContinue5">
    <w:name w:val="List Continue 5"/>
    <w:basedOn w:val="List5"/>
    <w:rsid w:val="008654CB"/>
    <w:pPr>
      <w:ind w:firstLine="0"/>
    </w:pPr>
  </w:style>
  <w:style w:type="paragraph" w:styleId="ListNumber3">
    <w:name w:val="List Number 3"/>
    <w:basedOn w:val="List3"/>
    <w:rsid w:val="008654CB"/>
    <w:pPr>
      <w:numPr>
        <w:numId w:val="6"/>
      </w:numPr>
    </w:pPr>
  </w:style>
  <w:style w:type="paragraph" w:styleId="ListNumber4">
    <w:name w:val="List Number 4"/>
    <w:basedOn w:val="List4"/>
    <w:rsid w:val="008654CB"/>
    <w:pPr>
      <w:numPr>
        <w:numId w:val="7"/>
      </w:numPr>
    </w:pPr>
  </w:style>
  <w:style w:type="paragraph" w:styleId="ListNumber5">
    <w:name w:val="List Number 5"/>
    <w:basedOn w:val="List5"/>
    <w:rsid w:val="008654CB"/>
    <w:pPr>
      <w:numPr>
        <w:numId w:val="8"/>
      </w:numPr>
    </w:pPr>
  </w:style>
  <w:style w:type="paragraph" w:styleId="BlockText">
    <w:name w:val="Block Text"/>
    <w:basedOn w:val="Normal"/>
    <w:rsid w:val="008654CB"/>
    <w:pPr>
      <w:spacing w:after="120"/>
      <w:ind w:left="1440" w:right="1440"/>
    </w:pPr>
  </w:style>
  <w:style w:type="character" w:customStyle="1" w:styleId="Subscript">
    <w:name w:val="Subscript"/>
    <w:basedOn w:val="DefaultParagraphFont"/>
    <w:rsid w:val="008654CB"/>
    <w:rPr>
      <w:sz w:val="16"/>
      <w:vertAlign w:val="subscript"/>
    </w:rPr>
  </w:style>
  <w:style w:type="character" w:customStyle="1" w:styleId="Superscript">
    <w:name w:val="Superscript"/>
    <w:basedOn w:val="DefaultParagraphFont"/>
    <w:rsid w:val="008654CB"/>
    <w:rPr>
      <w:sz w:val="16"/>
      <w:vertAlign w:val="superscript"/>
    </w:rPr>
  </w:style>
  <w:style w:type="character" w:customStyle="1" w:styleId="Symbols">
    <w:name w:val="Symbols"/>
    <w:basedOn w:val="DefaultParagraphFont"/>
    <w:rsid w:val="008654CB"/>
    <w:rPr>
      <w:rFonts w:ascii="Symbol" w:hAnsi="Symbol"/>
    </w:rPr>
  </w:style>
  <w:style w:type="character" w:customStyle="1" w:styleId="MenuOptions">
    <w:name w:val="Menu Options"/>
    <w:basedOn w:val="DefaultParagraphFont"/>
    <w:rsid w:val="008654CB"/>
    <w:rPr>
      <w:rFonts w:ascii="Arial Narrow" w:hAnsi="Arial Narrow"/>
      <w:smallCaps/>
    </w:rPr>
  </w:style>
  <w:style w:type="character" w:customStyle="1" w:styleId="Buttons">
    <w:name w:val="Buttons"/>
    <w:basedOn w:val="DefaultParagraphFont"/>
    <w:rsid w:val="008654CB"/>
    <w:rPr>
      <w:b/>
    </w:rPr>
  </w:style>
  <w:style w:type="character" w:customStyle="1" w:styleId="Underlined">
    <w:name w:val="Underlined"/>
    <w:basedOn w:val="DefaultParagraphFont"/>
    <w:rsid w:val="008654CB"/>
    <w:rPr>
      <w:u w:val="single"/>
    </w:rPr>
  </w:style>
  <w:style w:type="paragraph" w:customStyle="1" w:styleId="TableBodyTextRight">
    <w:name w:val="Table Body Text Right"/>
    <w:basedOn w:val="TableBodyText"/>
    <w:rsid w:val="008654CB"/>
    <w:pPr>
      <w:widowControl w:val="0"/>
      <w:autoSpaceDE w:val="0"/>
      <w:autoSpaceDN w:val="0"/>
      <w:adjustRightInd w:val="0"/>
      <w:jc w:val="right"/>
    </w:pPr>
    <w:rPr>
      <w:rFonts w:cs="Arial"/>
      <w:szCs w:val="18"/>
    </w:rPr>
  </w:style>
  <w:style w:type="paragraph" w:customStyle="1" w:styleId="CopyrightText">
    <w:name w:val="Copyright Text"/>
    <w:basedOn w:val="BodyText"/>
    <w:rsid w:val="008654CB"/>
    <w:rPr>
      <w:sz w:val="18"/>
    </w:rPr>
  </w:style>
  <w:style w:type="paragraph" w:customStyle="1" w:styleId="BodySmallRight">
    <w:name w:val="Body Small Right"/>
    <w:basedOn w:val="BodyTextRight"/>
    <w:rsid w:val="008654CB"/>
    <w:rPr>
      <w:sz w:val="18"/>
      <w:szCs w:val="18"/>
    </w:rPr>
  </w:style>
  <w:style w:type="paragraph" w:customStyle="1" w:styleId="MarginEdition">
    <w:name w:val="Margin Edition"/>
    <w:basedOn w:val="MarginNote"/>
    <w:rsid w:val="008654CB"/>
    <w:pPr>
      <w:spacing w:before="0" w:after="0"/>
    </w:pPr>
    <w:rPr>
      <w:rFonts w:ascii="Times New Roman" w:hAnsi="Times New Roman"/>
      <w:color w:val="999999"/>
    </w:rPr>
  </w:style>
  <w:style w:type="paragraph" w:customStyle="1" w:styleId="Spacer">
    <w:name w:val="Spacer"/>
    <w:basedOn w:val="Normal"/>
    <w:rsid w:val="008654CB"/>
    <w:rPr>
      <w:sz w:val="2"/>
      <w:szCs w:val="2"/>
    </w:rPr>
  </w:style>
  <w:style w:type="character" w:customStyle="1" w:styleId="Small">
    <w:name w:val="Small"/>
    <w:basedOn w:val="DefaultParagraphFont"/>
    <w:rsid w:val="008654CB"/>
    <w:rPr>
      <w:sz w:val="16"/>
    </w:rPr>
  </w:style>
  <w:style w:type="paragraph" w:customStyle="1" w:styleId="WideTable">
    <w:name w:val="Wide Table"/>
    <w:basedOn w:val="Normal"/>
    <w:rsid w:val="008654CB"/>
    <w:pPr>
      <w:ind w:left="-1418"/>
    </w:pPr>
    <w:rPr>
      <w:sz w:val="2"/>
      <w:szCs w:val="2"/>
    </w:rPr>
  </w:style>
  <w:style w:type="character" w:styleId="PageNumber">
    <w:name w:val="page number"/>
    <w:basedOn w:val="DefaultParagraphFont"/>
    <w:rsid w:val="008654CB"/>
  </w:style>
  <w:style w:type="paragraph" w:styleId="Quote">
    <w:name w:val="Quote"/>
    <w:basedOn w:val="Heading1"/>
    <w:link w:val="QuoteChar"/>
    <w:qFormat/>
    <w:rsid w:val="008654CB"/>
    <w:rPr>
      <w:b w:val="0"/>
      <w:sz w:val="72"/>
      <w:szCs w:val="72"/>
      <w:lang w:val="en-NZ"/>
    </w:rPr>
  </w:style>
  <w:style w:type="character" w:customStyle="1" w:styleId="QuoteChar">
    <w:name w:val="Quote Char"/>
    <w:basedOn w:val="DefaultParagraphFont"/>
    <w:link w:val="Quote"/>
    <w:rsid w:val="00865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4CB"/>
    <w:pPr>
      <w:pageBreakBefore/>
    </w:pPr>
  </w:style>
  <w:style w:type="paragraph" w:customStyle="1" w:styleId="Border">
    <w:name w:val="Border"/>
    <w:basedOn w:val="Normal"/>
    <w:qFormat/>
    <w:rsid w:val="00865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4CB"/>
    <w:rPr>
      <w:b/>
      <w:bCs/>
      <w:i/>
      <w:iCs/>
      <w:color w:val="auto"/>
    </w:rPr>
  </w:style>
  <w:style w:type="paragraph" w:styleId="IntenseQuote">
    <w:name w:val="Intense Quote"/>
    <w:basedOn w:val="Normal"/>
    <w:next w:val="Normal"/>
    <w:link w:val="IntenseQuoteChar"/>
    <w:uiPriority w:val="30"/>
    <w:qFormat/>
    <w:rsid w:val="00865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4CB"/>
    <w:rPr>
      <w:smallCaps/>
      <w:color w:val="auto"/>
      <w:u w:val="single"/>
    </w:rPr>
  </w:style>
  <w:style w:type="character" w:styleId="IntenseReference">
    <w:name w:val="Intense Reference"/>
    <w:basedOn w:val="DefaultParagraphFont"/>
    <w:uiPriority w:val="32"/>
    <w:qFormat/>
    <w:rsid w:val="008654CB"/>
    <w:rPr>
      <w:b/>
      <w:bCs/>
      <w:smallCaps/>
      <w:color w:val="auto"/>
      <w:spacing w:val="5"/>
      <w:u w:val="single"/>
    </w:rPr>
  </w:style>
  <w:style w:type="paragraph" w:customStyle="1" w:styleId="2ColumnHeading">
    <w:name w:val="2Column Heading"/>
    <w:basedOn w:val="BodyText"/>
    <w:qFormat/>
    <w:rsid w:val="008654CB"/>
    <w:pPr>
      <w:spacing w:after="60"/>
      <w:ind w:left="-2268"/>
    </w:pPr>
    <w:rPr>
      <w:b/>
    </w:rPr>
  </w:style>
  <w:style w:type="paragraph" w:customStyle="1" w:styleId="Heading1TOC">
    <w:name w:val="Heading1 TOC"/>
    <w:basedOn w:val="Normal"/>
    <w:qFormat/>
    <w:rsid w:val="008654CB"/>
    <w:pPr>
      <w:spacing w:before="240" w:after="120"/>
    </w:pPr>
    <w:rPr>
      <w:rFonts w:ascii="Times New Roman" w:hAnsi="Times New Roman"/>
      <w:b/>
      <w:sz w:val="32"/>
    </w:rPr>
  </w:style>
  <w:style w:type="paragraph" w:customStyle="1" w:styleId="Heading2TOC">
    <w:name w:val="Heading2 TOC"/>
    <w:basedOn w:val="Normal"/>
    <w:qFormat/>
    <w:rsid w:val="008654CB"/>
    <w:pPr>
      <w:spacing w:before="240" w:after="60"/>
    </w:pPr>
    <w:rPr>
      <w:rFonts w:ascii="Times New Roman" w:hAnsi="Times New Roman"/>
      <w:b/>
      <w:sz w:val="28"/>
    </w:rPr>
  </w:style>
  <w:style w:type="character" w:customStyle="1" w:styleId="Underline">
    <w:name w:val="Underline"/>
    <w:basedOn w:val="DefaultParagraphFont"/>
    <w:qFormat/>
    <w:rsid w:val="008654CB"/>
    <w:rPr>
      <w:u w:val="single"/>
    </w:rPr>
  </w:style>
  <w:style w:type="character" w:customStyle="1" w:styleId="BoldandItalics">
    <w:name w:val="Bold and Italics"/>
    <w:qFormat/>
    <w:rsid w:val="008654CB"/>
    <w:rPr>
      <w:b/>
      <w:i/>
      <w:u w:val="none"/>
    </w:rPr>
  </w:style>
  <w:style w:type="paragraph" w:styleId="BalloonText">
    <w:name w:val="Balloon Text"/>
    <w:basedOn w:val="Normal"/>
    <w:link w:val="BalloonTextChar"/>
    <w:rsid w:val="008654CB"/>
    <w:rPr>
      <w:rFonts w:ascii="Tahoma" w:hAnsi="Tahoma" w:cs="Tahoma"/>
      <w:sz w:val="16"/>
      <w:szCs w:val="16"/>
    </w:rPr>
  </w:style>
  <w:style w:type="character" w:customStyle="1" w:styleId="BalloonTextChar">
    <w:name w:val="Balloon Text Char"/>
    <w:basedOn w:val="DefaultParagraphFont"/>
    <w:link w:val="BalloonText"/>
    <w:rsid w:val="00865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5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4CB"/>
    <w:rPr>
      <w:b/>
      <w:color w:val="660033"/>
      <w:spacing w:val="0"/>
    </w:rPr>
  </w:style>
  <w:style w:type="paragraph" w:customStyle="1" w:styleId="Nameditemlist">
    <w:name w:val="Named item list"/>
    <w:basedOn w:val="BodyText"/>
    <w:qFormat/>
    <w:rsid w:val="008654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2563</Words>
  <Characters>15797</Characters>
  <Application>Microsoft Office Word</Application>
  <DocSecurity>0</DocSecurity>
  <Lines>603</Lines>
  <Paragraphs>276</Paragraphs>
  <ScaleCrop>false</ScaleCrop>
  <Company>Author-it Software Corporation Ltd.</Company>
  <LinksUpToDate>false</LinksUpToDate>
  <CharactersWithSpaces>18208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UEENEEG103A Install low voltage wiring and accessories</dc:title>
  <dc:subject>Approved</dc:subject>
  <dc:creator>E-OZ Training Standards</dc:creator>
  <cp:keywords>Release: 3</cp:keywords>
  <dc:description>Review Date: 12 April 2008</dc:description>
  <cp:lastModifiedBy>TPCMS</cp:lastModifiedBy>
  <cp:revision>3</cp:revision>
  <dcterms:created xsi:type="dcterms:W3CDTF">2013-08-14T07:15:00Z</dcterms:created>
  <dcterms:modified xsi:type="dcterms:W3CDTF">2013-08-14T07:15:00Z</dcterms:modified>
</cp:coreProperties>
</file>