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367" w:rsidP="00B05367">
      <w:pPr>
        <w:pStyle w:val="Title"/>
      </w:pPr>
      <w:r>
        <w:fldChar w:fldCharType="begin"/>
      </w:r>
      <w:r>
        <w:instrText xml:space="preserve"> TITLE   \* MERGEFORMAT </w:instrText>
      </w:r>
      <w:r>
        <w:fldChar w:fldCharType="separate"/>
      </w:r>
      <w:r>
        <w:t>UEENEEG101A Solve problems in electromagnetic devices and related circuits</w:t>
      </w:r>
      <w:r>
        <w:fldChar w:fldCharType="end"/>
      </w:r>
    </w:p>
    <w:p w:rsidR="00B05367" w:rsidP="00B05367">
      <w:pPr>
        <w:pStyle w:val="Version"/>
        <w:sectPr w:rsidSect="00F826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82684" w:rsidP="00F82684">
      <w:pPr>
        <w:pStyle w:val="SuperHeading"/>
      </w:pPr>
      <w:r w:rsidRPr="00F82684">
        <w:t>UEENEEG101A Solve problems in electromagnetic devices and related circuits</w:t>
      </w:r>
    </w:p>
    <w:p w:rsidR="00000000" w:rsidRPr="00F82684" w:rsidP="00F82684">
      <w:pPr>
        <w:pStyle w:val="Heading1"/>
      </w:pPr>
      <w:bookmarkStart w:id="1" w:name="O_584917"/>
      <w:bookmarkEnd w:id="1"/>
      <w:r w:rsidRPr="00F82684">
        <w:t>Modification History</w:t>
      </w:r>
    </w:p>
    <w:p w:rsidR="00000000" w:rsidRPr="00F82684" w:rsidP="00F82684">
      <w:pPr>
        <w:pStyle w:val="BodyText"/>
      </w:pPr>
      <w:r w:rsidRPr="00F82684">
        <w:t>Not Applicable</w:t>
      </w:r>
    </w:p>
    <w:p w:rsidR="00000000" w:rsidRPr="00F82684" w:rsidP="00F82684">
      <w:pPr>
        <w:pStyle w:val="AllowPageBreak"/>
      </w:pPr>
    </w:p>
    <w:p w:rsidR="00000000" w:rsidRPr="00F82684" w:rsidP="00F82684">
      <w:pPr>
        <w:pStyle w:val="Heading1"/>
      </w:pPr>
      <w:bookmarkStart w:id="2" w:name="O_584916"/>
      <w:bookmarkEnd w:id="2"/>
      <w:r w:rsidRPr="00F82684">
        <w:t>Unit Descriptor</w:t>
      </w:r>
    </w:p>
    <w:tbl>
      <w:tblPr>
        <w:tblW w:w="0" w:type="auto"/>
        <w:tblLayout w:type="fixed"/>
        <w:tblCellMar>
          <w:left w:w="62" w:type="dxa"/>
          <w:right w:w="62" w:type="dxa"/>
        </w:tblCellMar>
        <w:tblLook w:val="0000"/>
      </w:tblPr>
      <w:tblGrid>
        <w:gridCol w:w="2700"/>
        <w:gridCol w:w="5760"/>
      </w:tblGrid>
      <w:tr w:rsidTr="00B053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1</w:t>
            </w:r>
            <w:r w:rsidRPr="00F82684">
              <w:t xml:space="preserve">) </w:t>
            </w:r>
          </w:p>
          <w:p w:rsidR="00000000" w:rsidP="00F82684">
            <w:pPr>
              <w:pStyle w:val="BodyText"/>
              <w:rPr>
                <w:lang w:val="en-NZ"/>
              </w:rPr>
            </w:pPr>
            <w:r w:rsidRPr="00F82684">
              <w:rPr>
                <w:rStyle w:val="SpecialBold"/>
              </w:rPr>
              <w:t>1</w:t>
            </w:r>
            <w:r w:rsidRPr="00F82684">
              <w:t>.</w:t>
            </w:r>
            <w:r w:rsidRPr="00F82684">
              <w:rPr>
                <w:rStyle w:val="SpecialBold"/>
              </w:rPr>
              <w:t>1</w:t>
            </w:r>
            <w:r w:rsidRPr="00F82684">
              <w:t xml:space="preserve">) </w:t>
            </w:r>
            <w:r w:rsidRPr="00F82684">
              <w:rPr>
                <w:rStyle w:val="SpecialBold"/>
              </w:rPr>
              <w:t>Descriptor</w:t>
            </w:r>
          </w:p>
        </w:tc>
      </w:tr>
      <w:tr w:rsidTr="00B053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t>This unit covers determining correct operation of electromagnetic devices and related circuits and providing solutions as they apply to electrical installations and equipment. It encompasses working safely, power circuit problems solving processes, includi</w:t>
            </w:r>
            <w:r w:rsidRPr="00F82684">
              <w:t>ng the use of voltage, current and resistance measuring devices, providing solutions derived from measurements and calculations to predictable problems in electromagnetic devices and related circuits.</w:t>
            </w:r>
          </w:p>
        </w:tc>
      </w:tr>
    </w:tbl>
    <w:p w:rsidR="00B05367" w:rsidP="00F82684">
      <w:pPr>
        <w:pStyle w:val="BodyText"/>
      </w:pPr>
    </w:p>
    <w:p w:rsidR="00B05367" w:rsidP="00F82684">
      <w:pPr>
        <w:pStyle w:val="BodyText"/>
      </w:pPr>
    </w:p>
    <w:p w:rsidR="00000000" w:rsidRPr="00F82684" w:rsidP="00F82684">
      <w:pPr>
        <w:pStyle w:val="Heading1"/>
      </w:pPr>
      <w:bookmarkStart w:id="3" w:name="O_584915"/>
      <w:bookmarkEnd w:id="3"/>
      <w:r w:rsidRPr="00F82684">
        <w:t>Application of the Unit</w:t>
      </w:r>
    </w:p>
    <w:p w:rsidR="00000000" w:rsidRPr="00F82684" w:rsidP="00F82684">
      <w:pPr>
        <w:pStyle w:val="BodyText"/>
      </w:pPr>
      <w:r w:rsidRPr="00F82684">
        <w:t>Not Applicable</w:t>
      </w:r>
    </w:p>
    <w:p w:rsidR="00000000" w:rsidRPr="00F82684" w:rsidP="00F82684">
      <w:pPr>
        <w:pStyle w:val="AllowPageBreak"/>
      </w:pPr>
    </w:p>
    <w:p w:rsidR="00000000" w:rsidRPr="00F82684" w:rsidP="00F82684">
      <w:pPr>
        <w:pStyle w:val="Heading1"/>
      </w:pPr>
      <w:bookmarkStart w:id="4" w:name="O_584914"/>
      <w:bookmarkEnd w:id="4"/>
      <w:r w:rsidRPr="00F82684">
        <w:t>Licensing/Regulatory Information</w:t>
      </w:r>
    </w:p>
    <w:tbl>
      <w:tblPr>
        <w:tblW w:w="0" w:type="auto"/>
        <w:tblLayout w:type="fixed"/>
        <w:tblCellMar>
          <w:left w:w="62" w:type="dxa"/>
          <w:right w:w="62" w:type="dxa"/>
        </w:tblCellMar>
        <w:tblLook w:val="0000"/>
      </w:tblPr>
      <w:tblGrid>
        <w:gridCol w:w="8460"/>
      </w:tblGrid>
      <w:tr w:rsidTr="00B0536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rPr>
                <w:rStyle w:val="SpecialBold"/>
              </w:rPr>
              <w:t>1</w:t>
            </w:r>
            <w:r w:rsidRPr="00F82684">
              <w:t>.</w:t>
            </w:r>
            <w:r w:rsidRPr="00F82684">
              <w:rPr>
                <w:rStyle w:val="SpecialBold"/>
              </w:rPr>
              <w:t>2</w:t>
            </w:r>
            <w:r w:rsidRPr="00F82684">
              <w:t xml:space="preserve">) </w:t>
            </w:r>
            <w:r w:rsidRPr="00F82684">
              <w:rPr>
                <w:rStyle w:val="SpecialBold"/>
              </w:rPr>
              <w:t>License to practice</w:t>
            </w:r>
          </w:p>
        </w:tc>
      </w:tr>
      <w:tr w:rsidTr="00B0536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During Training</w:t>
            </w:r>
            <w:r w:rsidRPr="00F82684">
              <w:t>: Competency development activities are subject to regulations directly related to licencing, occupational health and safety and where applicable cont</w:t>
            </w:r>
            <w:r w:rsidRPr="00F82684">
              <w:t xml:space="preserve">racts of training such as apprenticeships. </w:t>
            </w:r>
          </w:p>
          <w:p w:rsidR="00000000" w:rsidRPr="00F82684" w:rsidP="00F82684">
            <w:pPr>
              <w:pStyle w:val="BodyText"/>
            </w:pPr>
            <w:r w:rsidRPr="00F82684">
              <w:rPr>
                <w:rStyle w:val="SpecialBold"/>
              </w:rPr>
              <w:t>In the workplace</w:t>
            </w:r>
            <w:r w:rsidRPr="00F82684">
              <w:t>: The application of the skills and knowledge described in this unit require a license to practice in the workplace where work is carried out on electrical equipment or installations which are des</w:t>
            </w:r>
            <w:r w:rsidRPr="00F82684">
              <w:t xml:space="preserve">igned to operate at voltages greater than 50 V a.c. or 120 V d.c. </w:t>
            </w:r>
          </w:p>
          <w:p w:rsidR="00000000" w:rsidRPr="00F82684" w:rsidP="00F82684">
            <w:pPr>
              <w:pStyle w:val="BodyText"/>
            </w:pPr>
            <w:r w:rsidRPr="00F82684">
              <w:t>Other conditions may apply under State and Territory legislative and regulatory requirements.</w:t>
            </w:r>
          </w:p>
        </w:tc>
      </w:tr>
    </w:tbl>
    <w:p w:rsidR="00B05367" w:rsidP="00F82684">
      <w:pPr>
        <w:pStyle w:val="BodyText"/>
      </w:pPr>
    </w:p>
    <w:p w:rsidR="00B05367" w:rsidP="00F82684">
      <w:pPr>
        <w:pStyle w:val="BodyText"/>
      </w:pPr>
    </w:p>
    <w:p w:rsidR="00000000" w:rsidRPr="00F82684" w:rsidP="00F82684">
      <w:pPr>
        <w:pStyle w:val="Heading1"/>
      </w:pPr>
      <w:bookmarkStart w:id="5" w:name="O_584913"/>
      <w:bookmarkEnd w:id="5"/>
      <w:r w:rsidRPr="00F82684">
        <w:t>Pre-Requisites</w:t>
      </w:r>
    </w:p>
    <w:tbl>
      <w:tblPr>
        <w:tblW w:w="0" w:type="auto"/>
        <w:tblLayout w:type="fixed"/>
        <w:tblCellMar>
          <w:left w:w="62" w:type="dxa"/>
          <w:right w:w="62" w:type="dxa"/>
        </w:tblCellMar>
        <w:tblLook w:val="0000"/>
      </w:tblPr>
      <w:tblGrid>
        <w:gridCol w:w="2700"/>
        <w:gridCol w:w="1530"/>
        <w:gridCol w:w="4500"/>
      </w:tblGrid>
      <w:tr w:rsidTr="00B053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Prerequisite Unit</w:t>
            </w:r>
            <w:r w:rsidRPr="00F82684">
              <w:t>(</w:t>
            </w:r>
            <w:r w:rsidRPr="00F82684">
              <w:rPr>
                <w:rStyle w:val="SpecialBold"/>
              </w:rPr>
              <w:t>s</w:t>
            </w:r>
            <w:r w:rsidRPr="00F82684">
              <w:t>)</w:t>
            </w:r>
          </w:p>
        </w:tc>
        <w:tc>
          <w:tcPr>
            <w:tcW w:w="6030" w:type="dxa"/>
            <w:gridSpan w:val="2"/>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rPr>
                <w:rStyle w:val="SpecialBold"/>
              </w:rPr>
              <w:t>2</w:t>
            </w:r>
            <w:r w:rsidRPr="00F82684">
              <w:t xml:space="preserve">) </w:t>
            </w:r>
          </w:p>
        </w:tc>
      </w:tr>
      <w:tr w:rsidTr="00B053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82684">
            <w:pPr>
              <w:pStyle w:val="BodyText"/>
              <w:keepNext w:val="0"/>
              <w:keepLines w:val="0"/>
              <w:contextualSpacing w:val="0"/>
            </w:pPr>
          </w:p>
        </w:tc>
        <w:tc>
          <w:tcPr>
            <w:tcW w:w="6030" w:type="dxa"/>
            <w:gridSpan w:val="2"/>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rPr>
                <w:rStyle w:val="SpecialBold"/>
              </w:rPr>
              <w:t>2</w:t>
            </w:r>
            <w:r w:rsidRPr="00F82684">
              <w:t>.</w:t>
            </w:r>
            <w:r w:rsidRPr="00F82684">
              <w:rPr>
                <w:rStyle w:val="SpecialBold"/>
              </w:rPr>
              <w:t>1</w:t>
            </w:r>
            <w:r w:rsidRPr="00F82684">
              <w:t xml:space="preserve">) </w:t>
            </w:r>
            <w:r w:rsidRPr="00F82684">
              <w:rPr>
                <w:rStyle w:val="SpecialBold"/>
              </w:rPr>
              <w:t>Competencies</w:t>
            </w:r>
          </w:p>
        </w:tc>
      </w:tr>
      <w:tr w:rsidTr="00B053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30" w:type="dxa"/>
            <w:gridSpan w:val="2"/>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t>Granting competency in this unit shall be made only after competency in the following unit(s) has/have been confirmed.</w:t>
            </w:r>
          </w:p>
          <w:p w:rsidR="00000000" w:rsidP="00F82684">
            <w:pPr>
              <w:pStyle w:val="BodyText"/>
              <w:rPr>
                <w:lang w:val="en-NZ"/>
              </w:rPr>
            </w:pPr>
          </w:p>
        </w:tc>
      </w:tr>
      <w:tr w:rsidTr="00B053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UEENEEE101A</w:t>
            </w:r>
          </w:p>
        </w:tc>
        <w:tc>
          <w:tcPr>
            <w:tcW w:w="450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Apply Occupational Health and Safety regulations, codes and practices in the workplace</w:t>
            </w:r>
          </w:p>
        </w:tc>
      </w:tr>
      <w:tr w:rsidTr="00B053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 xml:space="preserve">UEENEEE104A </w:t>
            </w:r>
          </w:p>
        </w:tc>
        <w:tc>
          <w:tcPr>
            <w:tcW w:w="4500"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t>Solve problems in d.c circuits</w:t>
            </w:r>
          </w:p>
        </w:tc>
      </w:tr>
    </w:tbl>
    <w:p w:rsidR="00B05367" w:rsidP="00F82684">
      <w:pPr>
        <w:pStyle w:val="BodyText"/>
      </w:pPr>
    </w:p>
    <w:p w:rsidR="00B05367" w:rsidP="00F82684">
      <w:pPr>
        <w:pStyle w:val="BodyText"/>
      </w:pPr>
    </w:p>
    <w:p w:rsidR="00000000" w:rsidRPr="00F82684" w:rsidP="00F82684">
      <w:pPr>
        <w:pStyle w:val="Heading1"/>
      </w:pPr>
      <w:bookmarkStart w:id="6" w:name="O_584912"/>
      <w:bookmarkEnd w:id="6"/>
      <w:r w:rsidRPr="00F82684">
        <w:t>Employability Skills Information</w:t>
      </w:r>
    </w:p>
    <w:tbl>
      <w:tblPr>
        <w:tblW w:w="0" w:type="auto"/>
        <w:tblLayout w:type="fixed"/>
        <w:tblCellMar>
          <w:left w:w="62" w:type="dxa"/>
          <w:right w:w="62" w:type="dxa"/>
        </w:tblCellMar>
        <w:tblLook w:val="0000"/>
      </w:tblPr>
      <w:tblGrid>
        <w:gridCol w:w="2700"/>
        <w:gridCol w:w="5760"/>
      </w:tblGrid>
      <w:tr w:rsidTr="00B053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3</w:t>
            </w:r>
            <w:r w:rsidRPr="00F82684">
              <w:t>)</w:t>
            </w:r>
          </w:p>
          <w:p w:rsidR="00000000" w:rsidRPr="00F82684" w:rsidP="00F82684">
            <w:pPr>
              <w:pStyle w:val="BodyText"/>
            </w:pPr>
            <w:r w:rsidRPr="00F82684">
              <w:t>This unit contains Employability Skills</w:t>
            </w:r>
          </w:p>
          <w:p w:rsidR="00000000" w:rsidP="00F82684">
            <w:pPr>
              <w:pStyle w:val="BodyText"/>
              <w:rPr>
                <w:lang w:val="en-NZ"/>
              </w:rPr>
            </w:pPr>
            <w:r w:rsidRPr="00F82684">
              <w:t>The required outcomes described in this unit of competency contain applicable facets of Employability Skills</w:t>
            </w:r>
            <w:r w:rsidRPr="00F82684">
              <w:t>. The Employability Skills Summary of the qualification in which this unit of competency is packaged will assist in identifying Employability Skill requirements.</w:t>
            </w:r>
          </w:p>
        </w:tc>
      </w:tr>
      <w:tr w:rsidTr="00B053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rPr>
                <w:rStyle w:val="SpecialBold"/>
              </w:rPr>
              <w:t>4</w:t>
            </w:r>
            <w:r w:rsidRPr="00F82684">
              <w:t>)</w:t>
            </w:r>
          </w:p>
        </w:tc>
      </w:tr>
      <w:tr w:rsidTr="00B053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8268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4</w:t>
            </w:r>
            <w:r w:rsidRPr="00F82684">
              <w:t>.</w:t>
            </w:r>
            <w:r w:rsidRPr="00F82684">
              <w:rPr>
                <w:rStyle w:val="SpecialBold"/>
              </w:rPr>
              <w:t>1</w:t>
            </w:r>
            <w:r w:rsidRPr="00F82684">
              <w:t xml:space="preserve">) </w:t>
            </w:r>
            <w:r w:rsidRPr="00F82684">
              <w:rPr>
                <w:rStyle w:val="SpecialBold"/>
              </w:rPr>
              <w:t>General Application</w:t>
            </w:r>
            <w:r w:rsidRPr="00F82684">
              <w:t xml:space="preserve"> </w:t>
            </w:r>
          </w:p>
          <w:p w:rsidR="00000000" w:rsidRPr="00F82684" w:rsidP="00F82684">
            <w:pPr>
              <w:pStyle w:val="BodyText"/>
            </w:pPr>
            <w:r w:rsidRPr="00F82684">
              <w:t xml:space="preserve">This unit applies to all qualifications, competencies and/or Skill Sets which require an electrical licence. </w:t>
            </w:r>
          </w:p>
          <w:p w:rsidR="00000000" w:rsidRPr="00F82684" w:rsidP="00F82684">
            <w:pPr>
              <w:pStyle w:val="BodyText"/>
            </w:pPr>
            <w:r w:rsidRPr="00F82684">
              <w:rPr>
                <w:rStyle w:val="SpecialBold"/>
              </w:rPr>
              <w:t>4</w:t>
            </w:r>
            <w:r w:rsidRPr="00F82684">
              <w:t>.</w:t>
            </w:r>
            <w:r w:rsidRPr="00F82684">
              <w:rPr>
                <w:rStyle w:val="SpecialBold"/>
              </w:rPr>
              <w:t>2</w:t>
            </w:r>
            <w:r w:rsidRPr="00F82684">
              <w:t xml:space="preserve">) </w:t>
            </w:r>
            <w:r w:rsidRPr="00F82684">
              <w:rPr>
                <w:rStyle w:val="SpecialBold"/>
              </w:rPr>
              <w:t>Importation</w:t>
            </w:r>
            <w:r w:rsidRPr="00F82684">
              <w:t xml:space="preserve"> </w:t>
            </w:r>
          </w:p>
          <w:p w:rsidR="00000000" w:rsidRPr="00F82684" w:rsidP="00F82684">
            <w:pPr>
              <w:pStyle w:val="BodyText"/>
            </w:pPr>
            <w:r w:rsidRPr="00F82684">
              <w:t>RTOs wishing to import this unit into any qualification under the flexibility provisions of NQC Training Package Policy</w:t>
            </w:r>
          </w:p>
        </w:tc>
      </w:tr>
    </w:tbl>
    <w:p w:rsidR="00B05367" w:rsidP="00F82684">
      <w:pPr>
        <w:pStyle w:val="BodyText"/>
      </w:pPr>
    </w:p>
    <w:p w:rsidR="00B05367" w:rsidP="00F82684">
      <w:pPr>
        <w:pStyle w:val="BodyText"/>
      </w:pPr>
    </w:p>
    <w:p w:rsidR="00000000" w:rsidRPr="00F82684" w:rsidP="00F82684">
      <w:pPr>
        <w:pStyle w:val="Heading1"/>
      </w:pPr>
      <w:bookmarkStart w:id="7" w:name="O_584911"/>
      <w:bookmarkEnd w:id="7"/>
      <w:r w:rsidRPr="00F82684">
        <w:t>Elements and Performance Criteria Pre-Content</w:t>
      </w:r>
    </w:p>
    <w:tbl>
      <w:tblPr>
        <w:tblW w:w="0" w:type="auto"/>
        <w:tblLayout w:type="fixed"/>
        <w:tblCellMar>
          <w:left w:w="62" w:type="dxa"/>
          <w:right w:w="62" w:type="dxa"/>
        </w:tblCellMar>
        <w:tblLook w:val="0000"/>
      </w:tblPr>
      <w:tblGrid>
        <w:gridCol w:w="2416"/>
        <w:gridCol w:w="6375"/>
      </w:tblGrid>
      <w:tr w:rsidTr="00B05367">
        <w:tblPrEx>
          <w:tblW w:w="0" w:type="auto"/>
          <w:tblLayout w:type="fixed"/>
          <w:tblCellMar>
            <w:left w:w="62" w:type="dxa"/>
            <w:right w:w="62" w:type="dxa"/>
          </w:tblCellMar>
          <w:tblLook w:val="0000"/>
        </w:tblPrEx>
        <w:tc>
          <w:tcPr>
            <w:tcW w:w="2416"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rPr>
                <w:rStyle w:val="SpecialBold"/>
              </w:rPr>
              <w:t>6</w:t>
            </w:r>
            <w:r w:rsidRPr="00F82684">
              <w:t>) Elements describe the essential outcomes of a unit of competency</w:t>
            </w:r>
          </w:p>
        </w:tc>
        <w:tc>
          <w:tcPr>
            <w:tcW w:w="6375"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t>Performance criteria describe the required performance needed to demonstrate achievement of the Element. Assessment of perform</w:t>
            </w:r>
            <w:r w:rsidRPr="00F82684">
              <w:t>ance is to be consistent with the evidence guide.</w:t>
            </w:r>
          </w:p>
        </w:tc>
      </w:tr>
    </w:tbl>
    <w:p w:rsidR="00000000" w:rsidRPr="00F82684" w:rsidP="00F82684">
      <w:pPr>
        <w:pStyle w:val="BodyText"/>
      </w:pPr>
    </w:p>
    <w:p w:rsidR="00000000" w:rsidRPr="00F82684" w:rsidP="00F82684">
      <w:pPr>
        <w:pStyle w:val="AllowPageBreak"/>
      </w:pPr>
    </w:p>
    <w:p w:rsidR="00000000" w:rsidRPr="00F82684" w:rsidP="00F82684">
      <w:pPr>
        <w:pStyle w:val="Heading1"/>
      </w:pPr>
      <w:bookmarkStart w:id="8" w:name="O_584910"/>
      <w:bookmarkEnd w:id="8"/>
      <w:r w:rsidRPr="00F82684">
        <w:t>Elements and Performance Criteria</w:t>
      </w:r>
    </w:p>
    <w:tbl>
      <w:tblPr>
        <w:tblW w:w="0" w:type="auto"/>
        <w:tblLayout w:type="fixed"/>
        <w:tblCellMar>
          <w:left w:w="62" w:type="dxa"/>
          <w:right w:w="62" w:type="dxa"/>
        </w:tblCellMar>
        <w:tblLook w:val="0000"/>
      </w:tblPr>
      <w:tblGrid>
        <w:gridCol w:w="404"/>
        <w:gridCol w:w="2012"/>
        <w:gridCol w:w="900"/>
        <w:gridCol w:w="5475"/>
      </w:tblGrid>
      <w:tr w:rsidTr="00B05367">
        <w:tblPrEx>
          <w:tblW w:w="0" w:type="auto"/>
          <w:tblLayout w:type="fixed"/>
          <w:tblCellMar>
            <w:left w:w="62" w:type="dxa"/>
            <w:right w:w="62" w:type="dxa"/>
          </w:tblCellMar>
          <w:tblLook w:val="0000"/>
        </w:tblPrEx>
        <w:trPr>
          <w:tblHeader/>
        </w:trPr>
        <w:tc>
          <w:tcPr>
            <w:tcW w:w="2416" w:type="dxa"/>
            <w:gridSpan w:val="2"/>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ELEMENT</w:t>
            </w:r>
          </w:p>
        </w:tc>
        <w:tc>
          <w:tcPr>
            <w:tcW w:w="6375" w:type="dxa"/>
            <w:gridSpan w:val="2"/>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rPr>
                <w:rStyle w:val="SpecialBold"/>
              </w:rPr>
              <w:t>PERFORMANCE CRITERIA</w:t>
            </w:r>
          </w:p>
        </w:tc>
      </w:tr>
      <w:tr w:rsidTr="00B053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1</w:t>
            </w:r>
          </w:p>
        </w:tc>
        <w:tc>
          <w:tcPr>
            <w:tcW w:w="2012" w:type="dxa"/>
            <w:vMerge w:val="restart"/>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Prepare to work on electromagnetic devices and circuits.</w:t>
            </w:r>
          </w:p>
        </w:tc>
        <w:tc>
          <w:tcPr>
            <w:tcW w:w="90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1.1</w:t>
            </w:r>
          </w:p>
        </w:tc>
        <w:tc>
          <w:tcPr>
            <w:tcW w:w="5475"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OHS procedures for a give</w:t>
            </w:r>
            <w:r w:rsidRPr="00F82684">
              <w:t>n work area are identified, obtained and understood.</w:t>
            </w:r>
          </w:p>
        </w:tc>
      </w:tr>
      <w:tr w:rsidTr="00B053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1.2</w:t>
            </w:r>
          </w:p>
        </w:tc>
        <w:tc>
          <w:tcPr>
            <w:tcW w:w="5475"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OHS risk control work preparation measures and procedures are followed.</w:t>
            </w:r>
          </w:p>
        </w:tc>
      </w:tr>
      <w:tr w:rsidTr="00B053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1.3</w:t>
            </w:r>
          </w:p>
        </w:tc>
        <w:tc>
          <w:tcPr>
            <w:tcW w:w="5475"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 xml:space="preserve">The nature of the device(s)/circuit(s) problem is obtained from documentation or from work supervisor </w:t>
            </w:r>
            <w:r w:rsidRPr="00F82684">
              <w:t>to establish the scope of work to be undertaken.</w:t>
            </w:r>
          </w:p>
        </w:tc>
      </w:tr>
      <w:tr w:rsidTr="00B053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1.4</w:t>
            </w:r>
          </w:p>
        </w:tc>
        <w:tc>
          <w:tcPr>
            <w:tcW w:w="5475"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Advice is sought from the work supervisor to ensure the work is coordinated effectively with other</w:t>
            </w:r>
            <w:r w:rsidRPr="00F82684">
              <w:t xml:space="preserve">s. </w:t>
            </w:r>
          </w:p>
        </w:tc>
      </w:tr>
      <w:tr w:rsidTr="00B053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1.5</w:t>
            </w:r>
          </w:p>
        </w:tc>
        <w:tc>
          <w:tcPr>
            <w:tcW w:w="5475"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Sources of materials that may be required for the work are established in accordance with established procedures.</w:t>
            </w:r>
          </w:p>
        </w:tc>
      </w:tr>
      <w:tr w:rsidTr="00B053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1.6</w:t>
            </w:r>
          </w:p>
        </w:tc>
        <w:tc>
          <w:tcPr>
            <w:tcW w:w="5475"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Tools, equipment and testing devices needed to carry out the work are obtained and checked for correct operation and safety.</w:t>
            </w:r>
          </w:p>
        </w:tc>
      </w:tr>
      <w:tr w:rsidTr="00B053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2</w:t>
            </w:r>
          </w:p>
        </w:tc>
        <w:tc>
          <w:tcPr>
            <w:tcW w:w="2012" w:type="dxa"/>
            <w:vMerge w:val="restart"/>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Solve electromagnetic devices/circuit problems.</w:t>
            </w:r>
          </w:p>
        </w:tc>
        <w:tc>
          <w:tcPr>
            <w:tcW w:w="90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2.1</w:t>
            </w:r>
          </w:p>
        </w:tc>
        <w:tc>
          <w:tcPr>
            <w:tcW w:w="5475"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OHS risk control work measures and procedures are followed.</w:t>
            </w:r>
          </w:p>
        </w:tc>
      </w:tr>
      <w:tr w:rsidTr="00B053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2.2</w:t>
            </w:r>
          </w:p>
        </w:tc>
        <w:tc>
          <w:tcPr>
            <w:tcW w:w="5475"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The need to test or measure live is determined in strict accordance with O</w:t>
            </w:r>
            <w:r w:rsidRPr="00F82684">
              <w:t>HS requirements and when necessary conducted within established safety procedures.</w:t>
            </w:r>
          </w:p>
        </w:tc>
      </w:tr>
      <w:tr w:rsidTr="00B053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2.3</w:t>
            </w:r>
          </w:p>
        </w:tc>
        <w:tc>
          <w:tcPr>
            <w:tcW w:w="5475"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Circuits are checked as being isolated where necessary in strict accordance OHS requirements and procedures.</w:t>
            </w:r>
          </w:p>
        </w:tc>
      </w:tr>
      <w:tr w:rsidTr="00B053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2.4</w:t>
            </w:r>
          </w:p>
        </w:tc>
        <w:tc>
          <w:tcPr>
            <w:tcW w:w="5475"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Established methods are used to solving circuit pr</w:t>
            </w:r>
            <w:r w:rsidRPr="00F82684">
              <w:t>oblems from measure and calculated values as they apply to electromagnetic devices/circuits.</w:t>
            </w:r>
          </w:p>
        </w:tc>
      </w:tr>
      <w:tr w:rsidTr="00B053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2.5</w:t>
            </w:r>
          </w:p>
        </w:tc>
        <w:tc>
          <w:tcPr>
            <w:tcW w:w="5475"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Unexpected situations are dealt with safely and with the approval of an authorised person.</w:t>
            </w:r>
          </w:p>
        </w:tc>
      </w:tr>
      <w:tr w:rsidTr="00B053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2.6</w:t>
            </w:r>
          </w:p>
        </w:tc>
        <w:tc>
          <w:tcPr>
            <w:tcW w:w="5475"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Problems are solved without damage to apparatus, circuits, the surrounding environment or services and using sustainable energy practices.</w:t>
            </w:r>
          </w:p>
        </w:tc>
      </w:tr>
      <w:tr w:rsidTr="00B053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3</w:t>
            </w:r>
          </w:p>
        </w:tc>
        <w:tc>
          <w:tcPr>
            <w:tcW w:w="2012" w:type="dxa"/>
            <w:vMerge w:val="restart"/>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3.1</w:t>
            </w:r>
          </w:p>
        </w:tc>
        <w:tc>
          <w:tcPr>
            <w:tcW w:w="5475"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OHS work completion risk control measures and procedure</w:t>
            </w:r>
            <w:r w:rsidRPr="00F82684">
              <w:t>s are followed.</w:t>
            </w:r>
          </w:p>
        </w:tc>
      </w:tr>
      <w:tr w:rsidTr="00B053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3.2</w:t>
            </w:r>
          </w:p>
        </w:tc>
        <w:tc>
          <w:tcPr>
            <w:tcW w:w="5475"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Work site is cleaned and made safe in accordance with established procedures.</w:t>
            </w:r>
          </w:p>
        </w:tc>
      </w:tr>
      <w:tr w:rsidTr="00B053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3.3</w:t>
            </w:r>
          </w:p>
        </w:tc>
        <w:tc>
          <w:tcPr>
            <w:tcW w:w="5475"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Justification for solutions used to solve circuit problems is documented.</w:t>
            </w:r>
          </w:p>
        </w:tc>
      </w:tr>
      <w:tr w:rsidTr="00B053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3.4</w:t>
            </w:r>
          </w:p>
        </w:tc>
        <w:tc>
          <w:tcPr>
            <w:tcW w:w="5475"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t>Work completion is documented and an appropriate person or persons notified in accordance with established procedures.</w:t>
            </w:r>
          </w:p>
        </w:tc>
      </w:tr>
    </w:tbl>
    <w:p w:rsidR="00B05367" w:rsidP="00F82684">
      <w:pPr>
        <w:pStyle w:val="BodyText"/>
      </w:pPr>
    </w:p>
    <w:p w:rsidR="00B05367" w:rsidP="00F82684">
      <w:pPr>
        <w:pStyle w:val="BodyText"/>
      </w:pPr>
    </w:p>
    <w:p w:rsidR="00000000" w:rsidRPr="00F82684" w:rsidP="00F82684">
      <w:pPr>
        <w:pStyle w:val="Heading1"/>
      </w:pPr>
      <w:bookmarkStart w:id="9" w:name="O_584909"/>
      <w:bookmarkEnd w:id="9"/>
      <w:r w:rsidRPr="00F82684">
        <w:t>Required Skills and Knowledge</w:t>
      </w:r>
    </w:p>
    <w:tbl>
      <w:tblPr>
        <w:tblW w:w="0" w:type="auto"/>
        <w:tblLayout w:type="fixed"/>
        <w:tblCellMar>
          <w:left w:w="62" w:type="dxa"/>
          <w:right w:w="62" w:type="dxa"/>
        </w:tblCellMar>
        <w:tblLook w:val="0000"/>
      </w:tblPr>
      <w:tblGrid>
        <w:gridCol w:w="8791"/>
      </w:tblGrid>
      <w:tr w:rsidTr="00B05367">
        <w:tblPrEx>
          <w:tblW w:w="0" w:type="auto"/>
          <w:tblLayout w:type="fixed"/>
          <w:tblCellMar>
            <w:left w:w="62" w:type="dxa"/>
            <w:right w:w="62" w:type="dxa"/>
          </w:tblCellMar>
          <w:tblLook w:val="0000"/>
        </w:tblPrEx>
        <w:trPr>
          <w:tblHeader/>
        </w:trPr>
        <w:tc>
          <w:tcPr>
            <w:tcW w:w="8791"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rPr>
                <w:rStyle w:val="SpecialBold"/>
              </w:rPr>
              <w:t>REQUIRED SKILLS AND KNOWLEDGE</w:t>
            </w:r>
          </w:p>
        </w:tc>
      </w:tr>
      <w:tr w:rsidTr="00B05367">
        <w:tblPrEx>
          <w:tblW w:w="0" w:type="auto"/>
          <w:tblLayout w:type="fixed"/>
          <w:tblCellMar>
            <w:left w:w="62" w:type="dxa"/>
            <w:right w:w="62" w:type="dxa"/>
          </w:tblCellMar>
          <w:tblLook w:val="0000"/>
        </w:tblPrEx>
        <w:tc>
          <w:tcPr>
            <w:tcW w:w="8791"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rPr>
                <w:rStyle w:val="SpecialBold"/>
              </w:rPr>
              <w:t xml:space="preserve">7) </w:t>
            </w:r>
            <w:r w:rsidRPr="00F82684">
              <w:t>This describes the essential skills and knowledge and their level, required for this unit.</w:t>
            </w:r>
          </w:p>
        </w:tc>
      </w:tr>
      <w:tr w:rsidTr="00B05367">
        <w:tblPrEx>
          <w:tblW w:w="0" w:type="auto"/>
          <w:tblLayout w:type="fixed"/>
          <w:tblCellMar>
            <w:left w:w="62" w:type="dxa"/>
            <w:right w:w="62" w:type="dxa"/>
          </w:tblCellMar>
          <w:tblLook w:val="0000"/>
        </w:tblPrEx>
        <w:tc>
          <w:tcPr>
            <w:tcW w:w="8791"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t>Evidence shall show that knowledge has been acquired of safe working practices and solving problems in electromagnetic devices and related circuits.</w:t>
            </w:r>
          </w:p>
          <w:p w:rsidR="00000000" w:rsidRPr="00F82684" w:rsidP="00F82684">
            <w:pPr>
              <w:pStyle w:val="BodyText"/>
            </w:pPr>
            <w:r w:rsidRPr="00F82684">
              <w:t>The knowledge a</w:t>
            </w:r>
            <w:r w:rsidRPr="00F82684">
              <w:t xml:space="preserve">nd skills shall be contextualised to current industry standards, technologies and practices. </w:t>
            </w:r>
          </w:p>
          <w:p w:rsidR="00000000" w:rsidRPr="00F82684" w:rsidP="00F82684">
            <w:pPr>
              <w:pStyle w:val="BodyText"/>
            </w:pPr>
            <w:r w:rsidRPr="00F82684">
              <w:rPr>
                <w:rStyle w:val="SpecialBold"/>
              </w:rPr>
              <w:t>KS01-EG101A</w:t>
            </w:r>
            <w:r w:rsidRPr="00F82684">
              <w:rPr>
                <w:rStyle w:val="SpecialBold"/>
              </w:rPr>
              <w:tab/>
              <w:t xml:space="preserve">              Electromagnetic devices and circuits</w:t>
            </w:r>
          </w:p>
          <w:p w:rsidR="00000000" w:rsidRPr="00F82684" w:rsidP="00F82684">
            <w:pPr>
              <w:pStyle w:val="BodyText"/>
            </w:pPr>
            <w:r w:rsidRPr="00F82684">
              <w:t>Evidence shall show an understanding of electromagnetic devices and circuits to an extent indicated</w:t>
            </w:r>
            <w:r w:rsidRPr="00F82684">
              <w:t xml:space="preserve"> by the following aspects:</w:t>
            </w:r>
          </w:p>
          <w:p w:rsidR="00000000" w:rsidRPr="00F82684" w:rsidP="00F82684">
            <w:pPr>
              <w:pStyle w:val="BodyText"/>
            </w:pPr>
            <w:r w:rsidRPr="00F82684">
              <w:t>T1</w:t>
            </w:r>
            <w:r w:rsidRPr="00F82684">
              <w:tab/>
              <w:t>Magnetism encompassing:</w:t>
            </w:r>
          </w:p>
          <w:p w:rsidR="00000000" w:rsidRPr="00F82684" w:rsidP="00F82684">
            <w:pPr>
              <w:pStyle w:val="ListBullet"/>
            </w:pPr>
            <w:r w:rsidRPr="00F82684">
              <w:t>magnetic field pattern of bar and horse-shoe magnets.</w:t>
            </w:r>
          </w:p>
          <w:p w:rsidR="00000000" w:rsidRPr="00F82684" w:rsidP="00F82684">
            <w:pPr>
              <w:pStyle w:val="ListBullet"/>
            </w:pPr>
            <w:r w:rsidRPr="00F82684">
              <w:t>magnets attraction and repulsion when brought in contact with each other.</w:t>
            </w:r>
          </w:p>
          <w:p w:rsidR="00000000" w:rsidRPr="00F82684" w:rsidP="00F82684">
            <w:pPr>
              <w:pStyle w:val="ListBullet"/>
            </w:pPr>
            <w:r w:rsidRPr="00F82684">
              <w:t>common magnetic and non-magnetic materials and groupings (diamagnetic, paramagnetic and ferromagnetic materials).</w:t>
            </w:r>
          </w:p>
          <w:p w:rsidR="00000000" w:rsidRPr="00F82684" w:rsidP="00F82684">
            <w:pPr>
              <w:pStyle w:val="ListBullet"/>
            </w:pPr>
            <w:r w:rsidRPr="00F82684">
              <w:t>principle of magnetic screening (shielding) and its applications.</w:t>
            </w:r>
          </w:p>
          <w:p w:rsidR="00000000" w:rsidRPr="00F82684" w:rsidP="00F82684">
            <w:pPr>
              <w:pStyle w:val="ListBullet"/>
            </w:pPr>
            <w:r w:rsidRPr="00F82684">
              <w:t>practical applications of magnets</w:t>
            </w:r>
          </w:p>
          <w:p w:rsidR="00000000" w:rsidRPr="00F82684" w:rsidP="00F82684">
            <w:pPr>
              <w:pStyle w:val="ListBullet"/>
            </w:pPr>
            <w:r w:rsidRPr="00F82684">
              <w:t>construction, operation and applications o</w:t>
            </w:r>
            <w:r w:rsidRPr="00F82684">
              <w:t>f reed switches.</w:t>
            </w:r>
          </w:p>
          <w:p w:rsidR="00000000" w:rsidRPr="00F82684" w:rsidP="00F82684">
            <w:pPr>
              <w:pStyle w:val="BodyText"/>
            </w:pPr>
            <w:r w:rsidRPr="00F82684">
              <w:t>T2</w:t>
            </w:r>
            <w:r w:rsidRPr="00F82684">
              <w:tab/>
              <w:t>Electromagnetism encompassing:</w:t>
            </w:r>
          </w:p>
          <w:p w:rsidR="00000000" w:rsidRPr="00F82684" w:rsidP="00F82684">
            <w:pPr>
              <w:pStyle w:val="ListBullet"/>
            </w:pPr>
            <w:r w:rsidRPr="00F82684">
              <w:t>conventions representing direction of current flow in a conductor.</w:t>
            </w:r>
          </w:p>
          <w:p w:rsidR="00000000" w:rsidRPr="00F82684" w:rsidP="00F82684">
            <w:pPr>
              <w:pStyle w:val="ListBullet"/>
            </w:pPr>
            <w:r w:rsidRPr="00F82684">
              <w:t>magnetic field pattern around a single conductor and two adjacent conductors carrying current.</w:t>
            </w:r>
          </w:p>
          <w:p w:rsidR="00000000" w:rsidRPr="00F82684" w:rsidP="00F82684">
            <w:pPr>
              <w:pStyle w:val="ListBullet"/>
            </w:pPr>
            <w:r w:rsidRPr="00F82684">
              <w:t>Using the “right hand rule” to determine t</w:t>
            </w:r>
            <w:r w:rsidRPr="00F82684">
              <w:t>he direction of magnetic field around a current carrying conductor.</w:t>
            </w:r>
          </w:p>
          <w:p w:rsidR="00000000" w:rsidRPr="00F82684" w:rsidP="00F82684">
            <w:pPr>
              <w:pStyle w:val="ListBullet"/>
            </w:pPr>
            <w:r w:rsidRPr="00F82684">
              <w:t>direction of force between adjacent current carrying conductors.</w:t>
            </w:r>
          </w:p>
          <w:p w:rsidR="00000000" w:rsidRPr="00F82684" w:rsidP="00F82684">
            <w:pPr>
              <w:pStyle w:val="ListBullet"/>
            </w:pPr>
            <w:r w:rsidRPr="00F82684">
              <w:t>effect of current, length and distance apart on the force between conductors (including forces on bus bars during fault con</w:t>
            </w:r>
            <w:r w:rsidRPr="00F82684">
              <w:t>ditions).</w:t>
            </w:r>
          </w:p>
          <w:p w:rsidR="00000000" w:rsidRPr="00F82684" w:rsidP="00F82684">
            <w:pPr>
              <w:pStyle w:val="ListBullet"/>
            </w:pPr>
            <w:r w:rsidRPr="00F82684">
              <w:t>magnetic field around an electromagnet.</w:t>
            </w:r>
          </w:p>
          <w:p w:rsidR="00000000" w:rsidRPr="00F82684" w:rsidP="00F82684">
            <w:pPr>
              <w:pStyle w:val="ListBullet"/>
            </w:pPr>
            <w:r w:rsidRPr="00F82684">
              <w:t>Using the “right hand rule” to determine the direction of magnetic field around a current carrying coil.</w:t>
            </w:r>
          </w:p>
          <w:p w:rsidR="00000000" w:rsidRPr="00F82684" w:rsidP="00F82684">
            <w:pPr>
              <w:pStyle w:val="ListBullet"/>
            </w:pPr>
            <w:r w:rsidRPr="00F82684">
              <w:t>magnetomotive force (m.m.f.) and its relationship to the number of turns in a coil and the current fl</w:t>
            </w:r>
            <w:r w:rsidRPr="00F82684">
              <w:t xml:space="preserve">owing in the coil. </w:t>
            </w:r>
          </w:p>
          <w:p w:rsidR="00000000" w:rsidRPr="00F82684" w:rsidP="00F82684">
            <w:pPr>
              <w:pStyle w:val="ListBullet"/>
            </w:pPr>
            <w:r w:rsidRPr="00F82684">
              <w:t>practical applications of electromagnets.</w:t>
            </w:r>
          </w:p>
          <w:p w:rsidR="00000000" w:rsidRPr="00F82684" w:rsidP="00F82684">
            <w:pPr>
              <w:pStyle w:val="BodyText"/>
            </w:pPr>
            <w:r w:rsidRPr="00F82684">
              <w:t>T3</w:t>
            </w:r>
            <w:r w:rsidRPr="00F82684">
              <w:tab/>
              <w:t>Magnetic circuits encompassing:</w:t>
            </w:r>
          </w:p>
          <w:p w:rsidR="00000000" w:rsidRPr="00F82684" w:rsidP="00F82684">
            <w:pPr>
              <w:pStyle w:val="ListBullet"/>
            </w:pPr>
            <w:r w:rsidRPr="00F82684">
              <w:t>magnetic characteristic curve for various materials and identify the various regions.</w:t>
            </w:r>
          </w:p>
          <w:p w:rsidR="00000000" w:rsidRPr="00F82684" w:rsidP="00F82684">
            <w:pPr>
              <w:pStyle w:val="ListBullet"/>
            </w:pPr>
            <w:r w:rsidRPr="00F82684">
              <w:t>Identify the various conditions of a magnetic material from its Hysteres</w:t>
            </w:r>
            <w:r w:rsidRPr="00F82684">
              <w:t>is loop.</w:t>
            </w:r>
          </w:p>
          <w:p w:rsidR="00000000" w:rsidRPr="00F82684" w:rsidP="00F82684">
            <w:pPr>
              <w:pStyle w:val="ListBullet"/>
            </w:pPr>
            <w:r w:rsidRPr="00F82684">
              <w:t>factors which determine losses in magnetic material.</w:t>
            </w:r>
          </w:p>
          <w:p w:rsidR="00000000" w:rsidRPr="00F82684" w:rsidP="00F82684">
            <w:pPr>
              <w:pStyle w:val="ListBullet"/>
            </w:pPr>
            <w:r w:rsidRPr="00F82684">
              <w:t>methods used to reduce electrical losses in a magnetic circuit.</w:t>
            </w:r>
          </w:p>
          <w:p w:rsidR="00000000" w:rsidRPr="00F82684" w:rsidP="00F82684">
            <w:pPr>
              <w:pStyle w:val="ListBullet"/>
            </w:pPr>
            <w:r w:rsidRPr="00F82684">
              <w:t>magnetic flux (definition, unit and symbol).</w:t>
            </w:r>
          </w:p>
          <w:p w:rsidR="00000000" w:rsidRPr="00F82684" w:rsidP="00F82684">
            <w:pPr>
              <w:pStyle w:val="ListBullet"/>
            </w:pPr>
            <w:r w:rsidRPr="00F82684">
              <w:t>reluctance as the opposition to the establishment of magnetic flux.</w:t>
            </w:r>
          </w:p>
          <w:p w:rsidR="00000000" w:rsidRPr="00F82684" w:rsidP="00F82684">
            <w:pPr>
              <w:pStyle w:val="ListBullet"/>
            </w:pPr>
            <w:r w:rsidRPr="00F82684">
              <w:t>permeability (definition, symbol and unit).</w:t>
            </w:r>
          </w:p>
          <w:p w:rsidR="00000000" w:rsidRPr="00F82684" w:rsidP="00F82684">
            <w:pPr>
              <w:pStyle w:val="ListBullet"/>
            </w:pPr>
            <w:r w:rsidRPr="00F82684">
              <w:t>difference for magnetic and non-magnetic materials in regards to reluctance and permeability.</w:t>
            </w:r>
          </w:p>
          <w:p w:rsidR="00000000" w:rsidRPr="00F82684" w:rsidP="00F82684">
            <w:pPr>
              <w:pStyle w:val="ListBullet"/>
            </w:pPr>
            <w:r w:rsidRPr="00F82684">
              <w:t>calculation of m.m.f., flux or reluctance given any two values.</w:t>
            </w:r>
          </w:p>
          <w:p w:rsidR="00000000" w:rsidRPr="00F82684" w:rsidP="00F82684">
            <w:pPr>
              <w:pStyle w:val="ListBullet"/>
            </w:pPr>
            <w:r w:rsidRPr="00F82684">
              <w:t>flux density (definition, symbol, unit and calculation</w:t>
            </w:r>
            <w:r w:rsidRPr="00F82684">
              <w:t>).</w:t>
            </w:r>
          </w:p>
          <w:p w:rsidR="00000000" w:rsidRPr="00F82684" w:rsidP="00F82684">
            <w:pPr>
              <w:pStyle w:val="ListBullet"/>
            </w:pPr>
            <w:r w:rsidRPr="00F82684">
              <w:t>magnetising force (definition, symbol, unit and calculation).</w:t>
            </w:r>
          </w:p>
          <w:p w:rsidR="00000000" w:rsidRPr="00F82684" w:rsidP="00F82684">
            <w:pPr>
              <w:pStyle w:val="ListBullet"/>
            </w:pPr>
            <w:r w:rsidRPr="00F82684">
              <w:t>common magnetic circuit types.</w:t>
            </w:r>
          </w:p>
          <w:p w:rsidR="00000000" w:rsidRPr="00F82684" w:rsidP="00F82684">
            <w:pPr>
              <w:pStyle w:val="ListBullet"/>
            </w:pPr>
            <w:r w:rsidRPr="00F82684">
              <w:t>effect of an air gap in a magnetic circuit.</w:t>
            </w:r>
          </w:p>
          <w:p w:rsidR="00000000" w:rsidRPr="00F82684" w:rsidP="00F82684">
            <w:pPr>
              <w:pStyle w:val="ListBullet"/>
            </w:pPr>
            <w:r w:rsidRPr="00F82684">
              <w:t>terms “magnetic leakage” and “magnetic fringing”.</w:t>
            </w:r>
          </w:p>
          <w:p w:rsidR="00000000" w:rsidRPr="00F82684" w:rsidP="00F82684">
            <w:pPr>
              <w:pStyle w:val="BodyText"/>
            </w:pPr>
            <w:r w:rsidRPr="00F82684">
              <w:t>T4</w:t>
            </w:r>
            <w:r w:rsidRPr="00F82684">
              <w:tab/>
              <w:t xml:space="preserve">Electromagnetic induction encompassing: </w:t>
            </w:r>
          </w:p>
          <w:p w:rsidR="00000000" w:rsidRPr="00F82684" w:rsidP="00F82684">
            <w:pPr>
              <w:pStyle w:val="ListBullet"/>
            </w:pPr>
            <w:r w:rsidRPr="00F82684">
              <w:t>principle of electrom</w:t>
            </w:r>
            <w:r w:rsidRPr="00F82684">
              <w:t>agnetic induction (Faraday’s law of electromagnetic induction).</w:t>
            </w:r>
          </w:p>
          <w:p w:rsidR="00000000" w:rsidRPr="00F82684" w:rsidP="00F82684">
            <w:pPr>
              <w:pStyle w:val="ListBullet"/>
            </w:pPr>
            <w:r w:rsidRPr="00F82684">
              <w:t>applying “Fleming’s right hand rule” to a current a carrying conductor under the influence of a magnetic field.</w:t>
            </w:r>
          </w:p>
          <w:p w:rsidR="00000000" w:rsidRPr="00F82684" w:rsidP="00F82684">
            <w:pPr>
              <w:pStyle w:val="ListBullet"/>
            </w:pPr>
            <w:r w:rsidRPr="00F82684">
              <w:t>calculation of induced e.m.f. in a conductor given the conductor length, flux de</w:t>
            </w:r>
            <w:r w:rsidRPr="00F82684">
              <w:t>nsity and velocity of the conductor.</w:t>
            </w:r>
          </w:p>
          <w:p w:rsidR="00000000" w:rsidRPr="00F82684" w:rsidP="00F82684">
            <w:pPr>
              <w:pStyle w:val="ListBullet"/>
            </w:pPr>
            <w:r w:rsidRPr="00F82684">
              <w:t>calculation of induced e.m.f. in a coil given the number of turns in a coil and the rate of change of flux.</w:t>
            </w:r>
          </w:p>
          <w:p w:rsidR="00000000" w:rsidRPr="00F82684" w:rsidP="00F82684">
            <w:pPr>
              <w:pStyle w:val="ListBullet"/>
            </w:pPr>
            <w:r w:rsidRPr="00F82684">
              <w:t>calculation of force on a conductor given the flux density of the magnetic field, length of the conductor and t</w:t>
            </w:r>
            <w:r w:rsidRPr="00F82684">
              <w:t>he current being carried by the conductor.</w:t>
            </w:r>
          </w:p>
          <w:p w:rsidR="00000000" w:rsidRPr="00F82684" w:rsidP="00F82684">
            <w:pPr>
              <w:pStyle w:val="ListBullet"/>
            </w:pPr>
            <w:r w:rsidRPr="00F82684">
              <w:t>Lenz’s law</w:t>
            </w:r>
          </w:p>
          <w:p w:rsidR="00000000" w:rsidRPr="00F82684" w:rsidP="00F82684">
            <w:pPr>
              <w:pStyle w:val="ListBullet"/>
            </w:pPr>
            <w:r w:rsidRPr="00F82684">
              <w:t>applications of electromagnetic induction</w:t>
            </w:r>
          </w:p>
          <w:p w:rsidR="00000000" w:rsidRPr="00F82684" w:rsidP="00F82684">
            <w:pPr>
              <w:pStyle w:val="BodyText"/>
            </w:pPr>
            <w:r w:rsidRPr="00F82684">
              <w:t>T5</w:t>
            </w:r>
            <w:r w:rsidRPr="00F82684">
              <w:tab/>
              <w:t xml:space="preserve">Inductance encompassing: </w:t>
            </w:r>
          </w:p>
          <w:p w:rsidR="00000000" w:rsidRPr="00F82684" w:rsidP="00F82684">
            <w:pPr>
              <w:pStyle w:val="ListBullet"/>
            </w:pPr>
            <w:r w:rsidRPr="00F82684">
              <w:t>construction of an inductor, including a bifilar winding inductor.</w:t>
            </w:r>
          </w:p>
          <w:p w:rsidR="00000000" w:rsidRPr="00F82684" w:rsidP="00F82684">
            <w:pPr>
              <w:pStyle w:val="ListBullet"/>
            </w:pPr>
            <w:r w:rsidRPr="00F82684">
              <w:t>Australian Stan</w:t>
            </w:r>
            <w:r w:rsidRPr="00F82684">
              <w:t>dard circuit diagram symbol for the four types of inductor.</w:t>
            </w:r>
          </w:p>
          <w:p w:rsidR="00000000" w:rsidRPr="00F82684" w:rsidP="00F82684">
            <w:pPr>
              <w:pStyle w:val="ListBullet"/>
            </w:pPr>
            <w:r w:rsidRPr="00F82684">
              <w:t>effect of physical parameters on the inductance of an inductor.</w:t>
            </w:r>
          </w:p>
          <w:p w:rsidR="00000000" w:rsidRPr="00F82684" w:rsidP="00F82684">
            <w:pPr>
              <w:pStyle w:val="ListBullet"/>
            </w:pPr>
            <w:r w:rsidRPr="00F82684">
              <w:t>common types of inductor cores.</w:t>
            </w:r>
          </w:p>
          <w:p w:rsidR="00000000" w:rsidRPr="00F82684" w:rsidP="00F82684">
            <w:pPr>
              <w:pStyle w:val="ListBullet"/>
            </w:pPr>
            <w:r w:rsidRPr="00F82684">
              <w:t>applications of the different types of inductors.</w:t>
            </w:r>
          </w:p>
          <w:p w:rsidR="00000000" w:rsidRPr="00F82684" w:rsidP="00F82684">
            <w:pPr>
              <w:pStyle w:val="ListBullet"/>
            </w:pPr>
            <w:r w:rsidRPr="00F82684">
              <w:t>definition of terms self induction, inductance and</w:t>
            </w:r>
            <w:r w:rsidRPr="00F82684">
              <w:t xml:space="preserve"> mutual inductance.</w:t>
            </w:r>
          </w:p>
          <w:p w:rsidR="00000000" w:rsidRPr="00F82684" w:rsidP="00F82684">
            <w:pPr>
              <w:pStyle w:val="ListBullet"/>
            </w:pPr>
            <w:r w:rsidRPr="00F82684">
              <w:t>calculation of value of self induced e.m.f. in a coil.</w:t>
            </w:r>
          </w:p>
          <w:p w:rsidR="00000000" w:rsidRPr="00F82684" w:rsidP="00F82684">
            <w:pPr>
              <w:pStyle w:val="ListBullet"/>
            </w:pPr>
            <w:r w:rsidRPr="00F82684">
              <w:t>mutual induction occurs between two coils.</w:t>
            </w:r>
          </w:p>
          <w:p w:rsidR="00000000" w:rsidRPr="00F82684" w:rsidP="00F82684">
            <w:pPr>
              <w:pStyle w:val="ListBullet"/>
            </w:pPr>
            <w:r w:rsidRPr="00F82684">
              <w:t>graphical relationship between load voltage, current and self induced e.m.f. in a single d.c. circuit having inductance.</w:t>
            </w:r>
          </w:p>
          <w:p w:rsidR="00000000" w:rsidRPr="00F82684" w:rsidP="00F82684">
            <w:pPr>
              <w:pStyle w:val="ListBullet"/>
            </w:pPr>
            <w:r w:rsidRPr="00F82684">
              <w:t>practical applica</w:t>
            </w:r>
            <w:r w:rsidRPr="00F82684">
              <w:t>tions for the effects of self and mutual induction.</w:t>
            </w:r>
          </w:p>
          <w:p w:rsidR="00000000" w:rsidRPr="00F82684" w:rsidP="00F82684">
            <w:pPr>
              <w:pStyle w:val="ListBullet"/>
            </w:pPr>
            <w:r w:rsidRPr="00F82684">
              <w:t>undesirable effects of self and mutual induction.</w:t>
            </w:r>
          </w:p>
          <w:p w:rsidR="00000000" w:rsidRPr="00F82684" w:rsidP="00F82684">
            <w:pPr>
              <w:pStyle w:val="ListBullet"/>
            </w:pPr>
            <w:r w:rsidRPr="00F82684">
              <w:t>definition of term “time constant” and draw the characteristic curve as applied to a series circuit containing an inductor and a resistor.  (LR circuit)Ca</w:t>
            </w:r>
            <w:r w:rsidRPr="00F82684">
              <w:t>lculation of value of the time constant for an LR circuit given the values of the components.</w:t>
            </w:r>
          </w:p>
          <w:p w:rsidR="00000000" w:rsidRPr="00F82684" w:rsidP="00F82684">
            <w:pPr>
              <w:pStyle w:val="ListBullet"/>
            </w:pPr>
            <w:r w:rsidRPr="00F82684">
              <w:t>time constants required for the current in an LR circuit to reach its final value.</w:t>
            </w:r>
          </w:p>
          <w:p w:rsidR="00000000" w:rsidRPr="00F82684" w:rsidP="00F82684">
            <w:pPr>
              <w:pStyle w:val="ListBullet"/>
            </w:pPr>
            <w:r w:rsidRPr="00F82684">
              <w:t>determining of instantaneous values of voltage and current in an LR circuit usi</w:t>
            </w:r>
            <w:r w:rsidRPr="00F82684">
              <w:t>ng a universal time constant chart.</w:t>
            </w:r>
          </w:p>
          <w:p w:rsidR="00000000" w:rsidRPr="00F82684" w:rsidP="00F82684">
            <w:pPr>
              <w:pStyle w:val="BodyText"/>
            </w:pPr>
            <w:r w:rsidRPr="00F82684">
              <w:t>T6</w:t>
            </w:r>
            <w:r w:rsidRPr="00F82684">
              <w:tab/>
              <w:t xml:space="preserve">Measurement Instruments encompassing: </w:t>
            </w:r>
          </w:p>
          <w:p w:rsidR="00000000" w:rsidRPr="00F82684" w:rsidP="00F82684">
            <w:pPr>
              <w:pStyle w:val="ListBullet"/>
            </w:pPr>
            <w:r w:rsidRPr="00F82684">
              <w:t>moving coil, moving iron, dynamometer meter movements and clamp testers.</w:t>
            </w:r>
          </w:p>
          <w:p w:rsidR="00000000" w:rsidRPr="00F82684" w:rsidP="00F82684">
            <w:pPr>
              <w:pStyle w:val="ListBullet"/>
            </w:pPr>
            <w:r w:rsidRPr="00F82684">
              <w:t>practical applications for moving coil, moving iron and dynamometer meter movements.</w:t>
            </w:r>
          </w:p>
          <w:p w:rsidR="00000000" w:rsidRPr="00F82684" w:rsidP="00F82684">
            <w:pPr>
              <w:pStyle w:val="ListBullet"/>
            </w:pPr>
            <w:r w:rsidRPr="00F82684">
              <w:t>Calculation of resi</w:t>
            </w:r>
            <w:r w:rsidRPr="00F82684">
              <w:t>stance of shunts and multipliers to extend the range of ammeters and voltmeters.</w:t>
            </w:r>
          </w:p>
          <w:p w:rsidR="00000000" w:rsidRPr="00F82684" w:rsidP="00F82684">
            <w:pPr>
              <w:pStyle w:val="ListBullet"/>
            </w:pPr>
            <w:r w:rsidRPr="00F82684">
              <w:t>factors to be considered in selecting meters for a particular application.</w:t>
            </w:r>
          </w:p>
          <w:p w:rsidR="00000000" w:rsidRPr="00F82684" w:rsidP="00F82684">
            <w:pPr>
              <w:pStyle w:val="ListBullet"/>
            </w:pPr>
            <w:r w:rsidRPr="00F82684">
              <w:t>safety category of meters and their associated applications.</w:t>
            </w:r>
          </w:p>
          <w:p w:rsidR="00000000" w:rsidRPr="00F82684" w:rsidP="00F82684">
            <w:pPr>
              <w:pStyle w:val="ListBullet"/>
            </w:pPr>
            <w:r w:rsidRPr="00F82684">
              <w:t xml:space="preserve">steps and procedures for the safe use, </w:t>
            </w:r>
            <w:r w:rsidRPr="00F82684">
              <w:t>care and storage of electrical instruments.</w:t>
            </w:r>
          </w:p>
          <w:p w:rsidR="00000000" w:rsidRPr="00F82684" w:rsidP="00F82684">
            <w:pPr>
              <w:pStyle w:val="BodyText"/>
            </w:pPr>
            <w:r w:rsidRPr="00F82684">
              <w:t>T7</w:t>
            </w:r>
            <w:r w:rsidRPr="00F82684">
              <w:tab/>
              <w:t xml:space="preserve">Magnetic devices encompassing: </w:t>
            </w:r>
          </w:p>
          <w:p w:rsidR="00000000" w:rsidRPr="00F82684" w:rsidP="00F82684">
            <w:pPr>
              <w:pStyle w:val="ListBullet"/>
            </w:pPr>
            <w:r w:rsidRPr="00F82684">
              <w:t>construction, operation and applications of relays.</w:t>
            </w:r>
          </w:p>
          <w:p w:rsidR="00000000" w:rsidRPr="00F82684" w:rsidP="00F82684">
            <w:pPr>
              <w:pStyle w:val="ListBullet"/>
            </w:pPr>
            <w:r w:rsidRPr="00F82684">
              <w:t>construction, operation and applications of contactors.</w:t>
            </w:r>
          </w:p>
          <w:p w:rsidR="00000000" w:rsidRPr="00F82684" w:rsidP="00F82684">
            <w:pPr>
              <w:pStyle w:val="ListBullet"/>
            </w:pPr>
            <w:r w:rsidRPr="00F82684">
              <w:t>magnetic methods used to extinguish the arc between opening contacts.</w:t>
            </w:r>
          </w:p>
          <w:p w:rsidR="00000000" w:rsidRPr="00F82684" w:rsidP="00F82684">
            <w:pPr>
              <w:pStyle w:val="ListBullet"/>
            </w:pPr>
            <w:r w:rsidRPr="00F82684">
              <w:t>construction, operation and applications of Hall Effect devices.</w:t>
            </w:r>
          </w:p>
          <w:p w:rsidR="00000000" w:rsidRPr="00F82684" w:rsidP="00F82684">
            <w:pPr>
              <w:pStyle w:val="ListBullet"/>
            </w:pPr>
            <w:r w:rsidRPr="00F82684">
              <w:t>operation and applications of magnetostriction equipment.</w:t>
            </w:r>
          </w:p>
          <w:p w:rsidR="00000000" w:rsidRPr="00F82684" w:rsidP="00F82684">
            <w:pPr>
              <w:pStyle w:val="ListBullet"/>
            </w:pPr>
            <w:r w:rsidRPr="00F82684">
              <w:t>construction, operation and application of magnetic sensing dev</w:t>
            </w:r>
            <w:r w:rsidRPr="00F82684">
              <w:t>ices.</w:t>
            </w:r>
          </w:p>
          <w:p w:rsidR="00000000" w:rsidRPr="00F82684" w:rsidP="00F82684">
            <w:pPr>
              <w:pStyle w:val="BodyText"/>
            </w:pPr>
            <w:r w:rsidRPr="00F82684">
              <w:t>T8</w:t>
            </w:r>
            <w:r w:rsidRPr="00F82684">
              <w:tab/>
              <w:t xml:space="preserve">Machine principles encompassing: </w:t>
            </w:r>
          </w:p>
          <w:p w:rsidR="00000000" w:rsidRPr="00F82684" w:rsidP="00F82684">
            <w:pPr>
              <w:pStyle w:val="ListBullet"/>
            </w:pPr>
            <w:r w:rsidRPr="00F82684">
              <w:t>basic operating principle of a generator.</w:t>
            </w:r>
          </w:p>
          <w:p w:rsidR="00000000" w:rsidRPr="00F82684" w:rsidP="00F82684">
            <w:pPr>
              <w:pStyle w:val="ListBullet"/>
            </w:pPr>
            <w:r w:rsidRPr="00F82684">
              <w:t>applying Fleming’s right hand rule for generators.</w:t>
            </w:r>
          </w:p>
          <w:p w:rsidR="00000000" w:rsidRPr="00F82684" w:rsidP="00F82684">
            <w:pPr>
              <w:pStyle w:val="ListBullet"/>
            </w:pPr>
            <w:r w:rsidRPr="00F82684">
              <w:t>basic operating principle of a motor.</w:t>
            </w:r>
          </w:p>
          <w:p w:rsidR="00000000" w:rsidRPr="00F82684" w:rsidP="00F82684">
            <w:pPr>
              <w:pStyle w:val="ListBullet"/>
            </w:pPr>
            <w:r w:rsidRPr="00F82684">
              <w:t>applying Fleming’s left hand rule for motors.</w:t>
            </w:r>
          </w:p>
          <w:p w:rsidR="00000000" w:rsidRPr="00F82684" w:rsidP="00F82684">
            <w:pPr>
              <w:pStyle w:val="ListBullet"/>
            </w:pPr>
            <w:r w:rsidRPr="00F82684">
              <w:t>calculation of force and torque dev</w:t>
            </w:r>
            <w:r w:rsidRPr="00F82684">
              <w:t>eloped by a motor.</w:t>
            </w:r>
          </w:p>
          <w:p w:rsidR="00000000" w:rsidRPr="00F82684" w:rsidP="00F82684">
            <w:pPr>
              <w:pStyle w:val="BodyText"/>
            </w:pPr>
            <w:r w:rsidRPr="00F82684">
              <w:t>T9</w:t>
            </w:r>
            <w:r w:rsidRPr="00F82684">
              <w:tab/>
              <w:t xml:space="preserve">Rotating machine construction, testing and maintenance encompassing: </w:t>
            </w:r>
          </w:p>
          <w:p w:rsidR="00000000" w:rsidRPr="00F82684" w:rsidP="00F82684">
            <w:pPr>
              <w:pStyle w:val="ListBullet"/>
            </w:pPr>
            <w:r w:rsidRPr="00F82684">
              <w:t>components of a d.c. machine.</w:t>
            </w:r>
          </w:p>
          <w:p w:rsidR="00000000" w:rsidRPr="00F82684" w:rsidP="00F82684">
            <w:pPr>
              <w:pStyle w:val="ListBullet"/>
            </w:pPr>
            <w:r w:rsidRPr="00F82684">
              <w:t>difference between a generator and a motor in terms of energy conversion.</w:t>
            </w:r>
          </w:p>
          <w:p w:rsidR="00000000" w:rsidRPr="00F82684" w:rsidP="00F82684">
            <w:pPr>
              <w:pStyle w:val="ListBullet"/>
            </w:pPr>
            <w:r w:rsidRPr="00F82684">
              <w:t>nameplate of a machine.</w:t>
            </w:r>
          </w:p>
          <w:p w:rsidR="00000000" w:rsidRPr="00F82684" w:rsidP="00F82684">
            <w:pPr>
              <w:pStyle w:val="ListBullet"/>
            </w:pPr>
            <w:r w:rsidRPr="00F82684">
              <w:t xml:space="preserve">using electrical equipment to make </w:t>
            </w:r>
            <w:r w:rsidRPr="00F82684">
              <w:t>electrical measurements and comparison of readings with nameplate ratings.</w:t>
            </w:r>
          </w:p>
          <w:p w:rsidR="00000000" w:rsidRPr="00F82684" w:rsidP="00F82684">
            <w:pPr>
              <w:pStyle w:val="ListBullet"/>
            </w:pPr>
            <w:r w:rsidRPr="00F82684">
              <w:t>Identification of faults in a machine from electrical measurements.</w:t>
            </w:r>
          </w:p>
          <w:p w:rsidR="00000000" w:rsidRPr="00F82684" w:rsidP="00F82684">
            <w:pPr>
              <w:pStyle w:val="ListBullet"/>
            </w:pPr>
            <w:r w:rsidRPr="00F82684">
              <w:t>care and maintenance processes for rotating machines</w:t>
            </w:r>
          </w:p>
          <w:p w:rsidR="00000000" w:rsidRPr="00F82684" w:rsidP="00F82684">
            <w:pPr>
              <w:pStyle w:val="ListBullet"/>
            </w:pPr>
            <w:r w:rsidRPr="00F82684">
              <w:t>safety risks associated with using rotating machinery.</w:t>
            </w:r>
          </w:p>
          <w:p w:rsidR="00000000" w:rsidRPr="00F82684" w:rsidP="00F82684">
            <w:pPr>
              <w:pStyle w:val="BodyText"/>
            </w:pPr>
            <w:r w:rsidRPr="00F82684">
              <w:t>T10</w:t>
            </w:r>
            <w:r w:rsidRPr="00F82684">
              <w:tab/>
            </w:r>
            <w:r w:rsidRPr="00F82684">
              <w:t xml:space="preserve">Generators encompassing: </w:t>
            </w:r>
          </w:p>
          <w:p w:rsidR="00000000" w:rsidRPr="00F82684" w:rsidP="00F82684">
            <w:pPr>
              <w:pStyle w:val="ListBullet"/>
            </w:pPr>
            <w:r w:rsidRPr="00F82684">
              <w:t>basic operation of a d.c generator.</w:t>
            </w:r>
          </w:p>
          <w:p w:rsidR="00000000" w:rsidRPr="00F82684" w:rsidP="00F82684">
            <w:pPr>
              <w:pStyle w:val="ListBullet"/>
            </w:pPr>
            <w:r w:rsidRPr="00F82684">
              <w:t>calculation of generated and terminal voltage of a d.c. shunt generator</w:t>
            </w:r>
          </w:p>
          <w:p w:rsidR="00000000" w:rsidRPr="00F82684" w:rsidP="00F82684">
            <w:pPr>
              <w:pStyle w:val="ListBullet"/>
            </w:pPr>
            <w:r w:rsidRPr="00F82684">
              <w:t>prime movers, energy sources and energy flow used to generate electricity.</w:t>
            </w:r>
          </w:p>
          <w:p w:rsidR="00000000" w:rsidRPr="00F82684" w:rsidP="00F82684">
            <w:pPr>
              <w:pStyle w:val="ListBullet"/>
            </w:pPr>
            <w:r w:rsidRPr="00F82684">
              <w:t>types of d.c. generators and their application</w:t>
            </w:r>
            <w:r w:rsidRPr="00F82684">
              <w:t>s.</w:t>
            </w:r>
          </w:p>
          <w:p w:rsidR="00000000" w:rsidRPr="00F82684" w:rsidP="00F82684">
            <w:pPr>
              <w:pStyle w:val="ListBullet"/>
            </w:pPr>
            <w:r w:rsidRPr="00F82684">
              <w:t>methods of excitation used for d.c generators.</w:t>
            </w:r>
          </w:p>
          <w:p w:rsidR="00000000" w:rsidRPr="00F82684" w:rsidP="00F82684">
            <w:pPr>
              <w:pStyle w:val="ListBullet"/>
            </w:pPr>
            <w:r w:rsidRPr="00F82684">
              <w:t>equivalent circuit for a d.c. generator.</w:t>
            </w:r>
          </w:p>
          <w:p w:rsidR="00000000" w:rsidRPr="00F82684" w:rsidP="00F82684">
            <w:pPr>
              <w:pStyle w:val="ListBullet"/>
            </w:pPr>
            <w:r w:rsidRPr="00F82684">
              <w:t>importance of residual magnetism for a self excited generator.</w:t>
            </w:r>
          </w:p>
          <w:p w:rsidR="00000000" w:rsidRPr="00F82684" w:rsidP="00F82684">
            <w:pPr>
              <w:pStyle w:val="ListBullet"/>
            </w:pPr>
            <w:r w:rsidRPr="00F82684">
              <w:t>open circuit characteristics of d.c. generators.</w:t>
            </w:r>
          </w:p>
          <w:p w:rsidR="00000000" w:rsidRPr="00F82684" w:rsidP="00F82684">
            <w:pPr>
              <w:pStyle w:val="ListBullet"/>
            </w:pPr>
            <w:r w:rsidRPr="00F82684">
              <w:t>load characteristics of a d.c generator.</w:t>
            </w:r>
          </w:p>
          <w:p w:rsidR="00000000" w:rsidRPr="00F82684" w:rsidP="00F82684">
            <w:pPr>
              <w:pStyle w:val="ListBullet"/>
            </w:pPr>
            <w:r w:rsidRPr="00F82684">
              <w:t>reversing th</w:t>
            </w:r>
            <w:r w:rsidRPr="00F82684">
              <w:t>e polarity of a d.c. generator</w:t>
            </w:r>
          </w:p>
          <w:p w:rsidR="00000000" w:rsidRPr="00F82684" w:rsidP="00F82684">
            <w:pPr>
              <w:pStyle w:val="ListBullet"/>
            </w:pPr>
            <w:r w:rsidRPr="00F82684">
              <w:t>Connect and test a d.c generator on no-load and load</w:t>
            </w:r>
          </w:p>
          <w:p w:rsidR="00000000" w:rsidRPr="00F82684" w:rsidP="00F82684">
            <w:pPr>
              <w:pStyle w:val="ListBullet"/>
            </w:pPr>
            <w:r w:rsidRPr="00F82684">
              <w:t>Identify safety risks associated with using generators.</w:t>
            </w:r>
          </w:p>
          <w:p w:rsidR="00000000" w:rsidRPr="00F82684" w:rsidP="00F82684">
            <w:pPr>
              <w:pStyle w:val="BodyText"/>
            </w:pPr>
            <w:r w:rsidRPr="00F82684">
              <w:t>T11</w:t>
            </w:r>
            <w:r w:rsidRPr="00F82684">
              <w:tab/>
              <w:t xml:space="preserve">Motors encompassing: </w:t>
            </w:r>
          </w:p>
          <w:p w:rsidR="00000000" w:rsidRPr="00F82684" w:rsidP="00F82684">
            <w:pPr>
              <w:pStyle w:val="ListBullet"/>
            </w:pPr>
            <w:r w:rsidRPr="00F82684">
              <w:t>operation of a motor and its energy flow.</w:t>
            </w:r>
          </w:p>
          <w:p w:rsidR="00000000" w:rsidRPr="00F82684" w:rsidP="00F82684">
            <w:pPr>
              <w:pStyle w:val="ListBullet"/>
            </w:pPr>
            <w:r w:rsidRPr="00F82684">
              <w:t>effect of back e.m.f. in d.c. motors</w:t>
            </w:r>
          </w:p>
          <w:p w:rsidR="00000000" w:rsidRPr="00F82684" w:rsidP="00F82684">
            <w:pPr>
              <w:pStyle w:val="ListBullet"/>
            </w:pPr>
            <w:r w:rsidRPr="00F82684">
              <w:t xml:space="preserve">torque as </w:t>
            </w:r>
            <w:r w:rsidRPr="00F82684">
              <w:t>the product of the force on the conductors and the radius of the armature/rotor.</w:t>
            </w:r>
          </w:p>
          <w:p w:rsidR="00000000" w:rsidRPr="00F82684" w:rsidP="00F82684">
            <w:pPr>
              <w:pStyle w:val="ListBullet"/>
            </w:pPr>
            <w:r w:rsidRPr="00F82684">
              <w:t>types of d.c. motors and their applications.</w:t>
            </w:r>
          </w:p>
          <w:p w:rsidR="00000000" w:rsidRPr="00F82684" w:rsidP="00F82684">
            <w:pPr>
              <w:pStyle w:val="ListBullet"/>
            </w:pPr>
            <w:r w:rsidRPr="00F82684">
              <w:t>circuit diagrams for the types of d.c. motors.</w:t>
            </w:r>
          </w:p>
          <w:p w:rsidR="00000000" w:rsidRPr="00F82684" w:rsidP="00F82684">
            <w:pPr>
              <w:pStyle w:val="ListBullet"/>
            </w:pPr>
            <w:r w:rsidRPr="00F82684">
              <w:t>equivalent circuit for the types of d.c. motors.</w:t>
            </w:r>
          </w:p>
          <w:p w:rsidR="00000000" w:rsidRPr="00F82684" w:rsidP="00F82684">
            <w:pPr>
              <w:pStyle w:val="ListBullet"/>
            </w:pPr>
            <w:r w:rsidRPr="00F82684">
              <w:t>calculation of power output of a motor.</w:t>
            </w:r>
          </w:p>
          <w:p w:rsidR="00000000" w:rsidRPr="00F82684" w:rsidP="00F82684">
            <w:pPr>
              <w:pStyle w:val="ListBullet"/>
            </w:pPr>
            <w:r w:rsidRPr="00F82684">
              <w:t>characteristics of the different types of d.c. motors.</w:t>
            </w:r>
          </w:p>
          <w:p w:rsidR="00000000" w:rsidRPr="00F82684" w:rsidP="00F82684">
            <w:pPr>
              <w:pStyle w:val="ListBullet"/>
            </w:pPr>
            <w:r w:rsidRPr="00F82684">
              <w:t>connection and testing a d.c. shunt motor on no-load and load</w:t>
            </w:r>
          </w:p>
          <w:p w:rsidR="00000000" w:rsidRPr="00F82684" w:rsidP="00F82684">
            <w:pPr>
              <w:pStyle w:val="ListBullet"/>
            </w:pPr>
            <w:r w:rsidRPr="00F82684">
              <w:t>reversing the direction of rotation of a d.c. motor.</w:t>
            </w:r>
          </w:p>
          <w:p w:rsidR="00000000" w:rsidRPr="00F82684" w:rsidP="00F82684">
            <w:pPr>
              <w:pStyle w:val="ListBullet"/>
            </w:pPr>
            <w:r w:rsidRPr="00F82684">
              <w:t>safety risks associated with using motors (inc</w:t>
            </w:r>
            <w:r w:rsidRPr="00F82684">
              <w:t>lude risks of series d.c. motors).</w:t>
            </w:r>
          </w:p>
          <w:p w:rsidR="00000000" w:rsidRPr="00F82684" w:rsidP="00F82684">
            <w:pPr>
              <w:pStyle w:val="BodyText"/>
            </w:pPr>
            <w:r w:rsidRPr="00F82684">
              <w:t>T12</w:t>
            </w:r>
            <w:r w:rsidRPr="00F82684">
              <w:tab/>
              <w:t xml:space="preserve">Machine efficiency encompassing: </w:t>
            </w:r>
          </w:p>
          <w:p w:rsidR="00000000" w:rsidRPr="00F82684" w:rsidP="00F82684">
            <w:pPr>
              <w:pStyle w:val="ListBullet"/>
            </w:pPr>
            <w:r w:rsidRPr="00F82684">
              <w:t>losses that occur in a d.c machine.</w:t>
            </w:r>
          </w:p>
          <w:p w:rsidR="00000000" w:rsidRPr="00F82684" w:rsidP="00F82684">
            <w:pPr>
              <w:pStyle w:val="ListBullet"/>
            </w:pPr>
            <w:r w:rsidRPr="00F82684">
              <w:t>methods used to determine the losses in a d.c. machine.</w:t>
            </w:r>
          </w:p>
          <w:p w:rsidR="00000000" w:rsidRPr="00F82684" w:rsidP="00F82684">
            <w:pPr>
              <w:pStyle w:val="ListBullet"/>
            </w:pPr>
            <w:r w:rsidRPr="00F82684">
              <w:t>calculation of losses and efficiency of a d.c machine.</w:t>
            </w:r>
          </w:p>
          <w:p w:rsidR="00000000" w:rsidRPr="00F82684" w:rsidP="00F82684">
            <w:pPr>
              <w:pStyle w:val="ListBullet"/>
            </w:pPr>
            <w:r w:rsidRPr="00F82684">
              <w:t>efficiency characteristic of a d.c.</w:t>
            </w:r>
            <w:r w:rsidRPr="00F82684">
              <w:t xml:space="preserve"> machine and the conditions for maximum efficiency.</w:t>
            </w:r>
          </w:p>
          <w:p w:rsidR="00000000" w:rsidRPr="00F82684" w:rsidP="00F82684">
            <w:pPr>
              <w:pStyle w:val="ListBullet"/>
            </w:pPr>
            <w:r w:rsidRPr="00F82684">
              <w:t>application of Minimum Energy Performance standards (MEPS).</w:t>
            </w:r>
          </w:p>
          <w:p w:rsidR="00000000" w:rsidRPr="00F82684" w:rsidP="00F82684">
            <w:pPr>
              <w:pStyle w:val="ListBullet"/>
            </w:pPr>
            <w:r w:rsidRPr="00F82684">
              <w:t>methods used to maintain high efficiency.</w:t>
            </w:r>
          </w:p>
        </w:tc>
      </w:tr>
    </w:tbl>
    <w:p w:rsidR="00B05367" w:rsidP="00F82684">
      <w:pPr>
        <w:pStyle w:val="BodyText"/>
      </w:pPr>
    </w:p>
    <w:p w:rsidR="00B05367" w:rsidP="00F82684">
      <w:pPr>
        <w:pStyle w:val="BodyText"/>
      </w:pPr>
    </w:p>
    <w:p w:rsidR="00000000" w:rsidRPr="00F82684" w:rsidP="00F82684">
      <w:pPr>
        <w:pStyle w:val="Heading1"/>
      </w:pPr>
      <w:bookmarkStart w:id="10" w:name="O_584908"/>
      <w:bookmarkEnd w:id="10"/>
      <w:r w:rsidRPr="00F82684">
        <w:t>Evidence Guide</w:t>
      </w:r>
    </w:p>
    <w:tbl>
      <w:tblPr>
        <w:tblW w:w="0" w:type="auto"/>
        <w:tblLayout w:type="fixed"/>
        <w:tblCellMar>
          <w:left w:w="62" w:type="dxa"/>
          <w:right w:w="62" w:type="dxa"/>
        </w:tblCellMar>
        <w:tblLook w:val="0000"/>
      </w:tblPr>
      <w:tblGrid>
        <w:gridCol w:w="2160"/>
        <w:gridCol w:w="436"/>
        <w:gridCol w:w="540"/>
        <w:gridCol w:w="5655"/>
      </w:tblGrid>
      <w:tr w:rsidTr="00B05367">
        <w:tblPrEx>
          <w:tblW w:w="0" w:type="auto"/>
          <w:tblLayout w:type="fixed"/>
          <w:tblCellMar>
            <w:left w:w="62" w:type="dxa"/>
            <w:right w:w="62" w:type="dxa"/>
          </w:tblCellMar>
          <w:tblLook w:val="0000"/>
        </w:tblPrEx>
        <w:trPr>
          <w:tblHeader/>
        </w:trPr>
        <w:tc>
          <w:tcPr>
            <w:tcW w:w="8791" w:type="dxa"/>
            <w:gridSpan w:val="4"/>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rPr>
                <w:rStyle w:val="SpecialBold"/>
              </w:rPr>
              <w:t>EVIDENCE GUIDE</w:t>
            </w:r>
          </w:p>
        </w:tc>
      </w:tr>
      <w:tr w:rsidTr="00B05367">
        <w:tblPrEx>
          <w:tblW w:w="0" w:type="auto"/>
          <w:tblLayout w:type="fixed"/>
          <w:tblCellMar>
            <w:left w:w="62" w:type="dxa"/>
            <w:right w:w="62" w:type="dxa"/>
          </w:tblCellMar>
          <w:tblLook w:val="0000"/>
        </w:tblPrEx>
        <w:tc>
          <w:tcPr>
            <w:tcW w:w="8791" w:type="dxa"/>
            <w:gridSpan w:val="4"/>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9</w:t>
            </w:r>
            <w:r w:rsidRPr="00F82684">
              <w:t xml:space="preserve">) The evidence guide provides advice on assessment and must be read in conjunction with the Performance Criteria, Required Skills and Knowledge, the Range Statement and the Assessment Guidelines for this Training Package. </w:t>
            </w:r>
          </w:p>
          <w:p w:rsidR="00000000" w:rsidP="00F82684">
            <w:pPr>
              <w:pStyle w:val="BodyText"/>
              <w:rPr>
                <w:lang w:val="en-NZ"/>
              </w:rPr>
            </w:pPr>
            <w:r w:rsidRPr="00F82684">
              <w:t>The Evidence Guide forms an integ</w:t>
            </w:r>
            <w:r w:rsidRPr="00F82684">
              <w:t>ral part of this unit. It must be used in conjunction with all parts of this unit and performed in accordance with the Assessment Guidelines of this Training Package.</w:t>
            </w:r>
          </w:p>
        </w:tc>
      </w:tr>
      <w:tr w:rsidTr="00B053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Overview of Assessment</w:t>
            </w:r>
          </w:p>
        </w:tc>
        <w:tc>
          <w:tcPr>
            <w:tcW w:w="6631" w:type="dxa"/>
            <w:gridSpan w:val="3"/>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9</w:t>
            </w:r>
            <w:r w:rsidRPr="00F82684">
              <w:t>.</w:t>
            </w:r>
            <w:r w:rsidRPr="00F82684">
              <w:rPr>
                <w:rStyle w:val="SpecialBold"/>
              </w:rPr>
              <w:t>1</w:t>
            </w:r>
            <w:r w:rsidRPr="00F82684">
              <w:t xml:space="preserve">) </w:t>
            </w:r>
          </w:p>
          <w:p w:rsidR="00000000" w:rsidRPr="00F82684" w:rsidP="00F82684">
            <w:pPr>
              <w:pStyle w:val="BodyText"/>
            </w:pPr>
            <w:r w:rsidRPr="00F82684">
              <w:t>Longitudinal competency development approaches to assessment, such as Profiling, require data to be reliably gathered in a form that can be consistently interpreted over time. This approach is best utilised in Apprenticeship programs and reduces assessment</w:t>
            </w:r>
            <w:r w:rsidRPr="00F82684">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82684">
              <w:t>tency in a realistically simulated work environment. It is recognised that, in some circumstances, assessment in part or full can occur outside the workplace. However, it must be in accordance with industry and regulatory policy.</w:t>
            </w:r>
          </w:p>
          <w:p w:rsidR="00000000" w:rsidRPr="00F82684" w:rsidP="00F82684">
            <w:pPr>
              <w:pStyle w:val="BodyText"/>
            </w:pPr>
            <w:r w:rsidRPr="00F82684">
              <w:t>Methods chosen for a parti</w:t>
            </w:r>
            <w:r w:rsidRPr="00F82684">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F82684">
              <w:t>the critical nature of the competencies being assessed.</w:t>
            </w:r>
          </w:p>
          <w:p w:rsidR="00000000" w:rsidRPr="00F82684" w:rsidP="00F82684">
            <w:pPr>
              <w:pStyle w:val="BodyText"/>
            </w:pPr>
            <w:r w:rsidRPr="00F82684">
              <w:t>The critical safety nature of working with electricity, electrical equipment, gas or any other hazardous substance/material carries risk in deeming a person competent. Sources of evidence need to be '</w:t>
            </w:r>
            <w:r w:rsidRPr="00F82684">
              <w:t>rich' in nature to minimise error in judgment.</w:t>
            </w:r>
          </w:p>
          <w:p w:rsidR="00000000" w:rsidP="00F82684">
            <w:pPr>
              <w:pStyle w:val="BodyText"/>
              <w:rPr>
                <w:lang w:val="en-NZ"/>
              </w:rPr>
            </w:pPr>
            <w:r w:rsidRPr="00F82684">
              <w:t xml:space="preserve">Activities associated with normal every day work have a bearing on the decision as to how much and how detailed the data gathered will contribute to its 'richness'. Some skills are more critical to safety and </w:t>
            </w:r>
            <w:r w:rsidRPr="00F82684">
              <w:t>operational requirements while the same skills may be more or less frequently practised. These points are raised for the assessors to consider when choosing an assessment method and developing assessment instruments. Sample assessment instruments are inclu</w:t>
            </w:r>
            <w:r w:rsidRPr="00F82684">
              <w:t>ded for Assessors in the Assessment Guidelines of this Training Package.</w:t>
            </w:r>
          </w:p>
        </w:tc>
      </w:tr>
      <w:tr w:rsidTr="00B0536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 xml:space="preserve">Critical aspects of evidence required to demonstrate competency </w:t>
            </w:r>
            <w:r w:rsidRPr="00F82684">
              <w:rPr>
                <w:rStyle w:val="SpecialBold"/>
              </w:rPr>
              <w:t>in this unit</w:t>
            </w:r>
          </w:p>
        </w:tc>
        <w:tc>
          <w:tcPr>
            <w:tcW w:w="6631" w:type="dxa"/>
            <w:gridSpan w:val="3"/>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9</w:t>
            </w:r>
            <w:r w:rsidRPr="00F82684">
              <w:t>.</w:t>
            </w:r>
            <w:r w:rsidRPr="00F82684">
              <w:rPr>
                <w:rStyle w:val="SpecialBold"/>
              </w:rPr>
              <w:t>2</w:t>
            </w:r>
            <w:r w:rsidRPr="00F82684">
              <w:t xml:space="preserve">) </w:t>
            </w:r>
          </w:p>
          <w:p w:rsidR="00000000" w:rsidP="00F82684">
            <w:pPr>
              <w:pStyle w:val="BodyText"/>
              <w:rPr>
                <w:lang w:val="en-NZ"/>
              </w:rPr>
            </w:pPr>
            <w:r w:rsidRPr="00F82684">
              <w:t>Before the critical aspects of evidence are considered all prerequisites shall be met.</w:t>
            </w:r>
          </w:p>
        </w:tc>
      </w:tr>
      <w:tr w:rsidTr="00B0536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82684">
            <w:pPr>
              <w:pStyle w:val="ListBullet"/>
              <w:rPr>
                <w:lang w:val="en-NZ"/>
              </w:rPr>
            </w:pPr>
            <w:r w:rsidRPr="00F82684">
              <w:t>A representative body of work performance demonstrated within the timeframes typically expected of the discipline, work function and industrial environment. In particular this shall incorporate evidence that shows a candidate is able to:</w:t>
            </w:r>
          </w:p>
        </w:tc>
      </w:tr>
      <w:tr w:rsidTr="00B053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RPr="00F82684" w:rsidP="00F82684">
            <w:pPr>
              <w:pStyle w:val="ListBullet2"/>
            </w:pPr>
            <w:r w:rsidRPr="00F82684">
              <w:t>Implement Oc</w:t>
            </w:r>
            <w:r w:rsidRPr="00F82684">
              <w:t>cupational Health and Safety workplace procedures and practices including the use of risk control measures as specified in the performance criteria and range statement</w:t>
            </w:r>
          </w:p>
          <w:p w:rsidR="00000000" w:rsidRPr="00F82684" w:rsidP="00F82684">
            <w:pPr>
              <w:pStyle w:val="ListBullet2"/>
            </w:pPr>
            <w:r w:rsidRPr="00F82684">
              <w:t>Apply sustainable energy principles and practices as specified in the performance criteria and range statement</w:t>
            </w:r>
          </w:p>
          <w:p w:rsidR="00000000" w:rsidRPr="00F82684" w:rsidP="00F82684">
            <w:pPr>
              <w:pStyle w:val="ListBullet2"/>
            </w:pPr>
            <w:r w:rsidRPr="00F82684">
              <w:t>Demonstrate an understanding of the essential knowledge and associated skills as described in this unit.  It may be required by some jurisdiction</w:t>
            </w:r>
            <w:r w:rsidRPr="00F82684">
              <w:t xml:space="preserve">s that RTOs provide a percentile graded result for the purpose of regulatory or licensing requirements.   </w:t>
            </w:r>
          </w:p>
          <w:p w:rsidR="00000000" w:rsidRPr="00F82684" w:rsidP="00F82684">
            <w:pPr>
              <w:pStyle w:val="ListBullet2"/>
            </w:pPr>
            <w:r w:rsidRPr="00F82684">
              <w:t>Demonstrate an appropriate level of skills enabling employment</w:t>
            </w:r>
          </w:p>
          <w:p w:rsidR="00000000" w:rsidP="00F82684">
            <w:pPr>
              <w:pStyle w:val="ListBullet2"/>
              <w:rPr>
                <w:lang w:val="en-NZ"/>
              </w:rPr>
            </w:pPr>
            <w:r w:rsidRPr="00F82684">
              <w:t>Conduct work observing the relevant Anti Discrimination legislation, regulations, poli</w:t>
            </w:r>
            <w:r w:rsidRPr="00F82684">
              <w:t>ces and workplace procedures</w:t>
            </w:r>
          </w:p>
        </w:tc>
      </w:tr>
      <w:tr w:rsidTr="00B053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P="00F82684">
            <w:pPr>
              <w:pStyle w:val="ListBullet"/>
              <w:rPr>
                <w:lang w:val="en-NZ"/>
              </w:rPr>
            </w:pPr>
            <w:r w:rsidRPr="00F82684">
              <w:t>Demonstrated consistent performance across a representative range of contexts from the prescribed items below:</w:t>
            </w:r>
          </w:p>
        </w:tc>
      </w:tr>
      <w:tr w:rsidTr="00B053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P="00F82684">
            <w:pPr>
              <w:pStyle w:val="ListBullet2"/>
              <w:rPr>
                <w:lang w:val="en-NZ"/>
              </w:rPr>
            </w:pPr>
            <w:r w:rsidRPr="00F82684">
              <w:t>Solve problems in electromagnetic circuits as described as described in 8) and including:</w:t>
            </w:r>
          </w:p>
        </w:tc>
      </w:tr>
      <w:tr w:rsidTr="00B053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A</w:t>
            </w:r>
          </w:p>
        </w:tc>
        <w:tc>
          <w:tcPr>
            <w:tcW w:w="5655"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 xml:space="preserve">Using methodological techniques to solve problems in circuits with an electromagnetic device from measure and calculated values </w:t>
            </w:r>
          </w:p>
        </w:tc>
      </w:tr>
      <w:tr w:rsidTr="00B053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B</w:t>
            </w:r>
          </w:p>
        </w:tc>
        <w:tc>
          <w:tcPr>
            <w:tcW w:w="5655"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Determining the operating parameters of an existing circuit with an electromagnetic device.</w:t>
            </w:r>
          </w:p>
        </w:tc>
      </w:tr>
      <w:tr w:rsidTr="00B053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C</w:t>
            </w:r>
          </w:p>
        </w:tc>
        <w:tc>
          <w:tcPr>
            <w:tcW w:w="5655"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Alternating an existing circuit with an electromagnetic device to comply with specified operating parameters.</w:t>
            </w:r>
          </w:p>
        </w:tc>
      </w:tr>
      <w:tr w:rsidTr="00B053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D</w:t>
            </w:r>
          </w:p>
        </w:tc>
        <w:tc>
          <w:tcPr>
            <w:tcW w:w="5655"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Developing circuits with electromagnetic devices to comply with a specified function and operating parameters.</w:t>
            </w:r>
          </w:p>
        </w:tc>
      </w:tr>
      <w:tr w:rsidTr="00B053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E</w:t>
            </w:r>
          </w:p>
        </w:tc>
        <w:tc>
          <w:tcPr>
            <w:tcW w:w="5655"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Dealing with unplanned ev</w:t>
            </w:r>
            <w:r w:rsidRPr="00F82684">
              <w:t xml:space="preserve">ents </w:t>
            </w:r>
          </w:p>
        </w:tc>
      </w:tr>
      <w:tr w:rsidTr="00B053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Context of and specific resources for assessment</w:t>
            </w:r>
          </w:p>
        </w:tc>
        <w:tc>
          <w:tcPr>
            <w:tcW w:w="6631" w:type="dxa"/>
            <w:gridSpan w:val="3"/>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9</w:t>
            </w:r>
            <w:r w:rsidRPr="00F82684">
              <w:t>.</w:t>
            </w:r>
            <w:r w:rsidRPr="00F82684">
              <w:rPr>
                <w:rStyle w:val="SpecialBold"/>
              </w:rPr>
              <w:t>3</w:t>
            </w:r>
            <w:r w:rsidRPr="00F82684">
              <w:t xml:space="preserve">) </w:t>
            </w:r>
          </w:p>
          <w:p w:rsidR="00000000" w:rsidRPr="00F82684" w:rsidP="00F82684">
            <w:pPr>
              <w:pStyle w:val="BodyText"/>
            </w:pPr>
            <w:r w:rsidRPr="00F82684">
              <w:t>This unit should be assessed as it relates to normal work practice using procedures, information and resources typical of a workplace. This should include:</w:t>
            </w:r>
          </w:p>
          <w:p w:rsidR="00000000" w:rsidRPr="00F82684" w:rsidP="00F82684">
            <w:pPr>
              <w:pStyle w:val="ListBullet"/>
            </w:pPr>
            <w:r w:rsidRPr="00F82684">
              <w:t>OHS policy and work procedures and instructions.</w:t>
            </w:r>
          </w:p>
          <w:p w:rsidR="00000000" w:rsidRPr="00F82684" w:rsidP="00F82684">
            <w:pPr>
              <w:pStyle w:val="ListBullet"/>
            </w:pPr>
            <w:r w:rsidRPr="00F82684">
              <w:t>Suitable work environment, facilities, equipment and materials to undertake actual work as prescribed by this unit.</w:t>
            </w:r>
          </w:p>
          <w:p w:rsidR="00000000" w:rsidRPr="00F82684" w:rsidP="00F82684">
            <w:pPr>
              <w:pStyle w:val="BodyText"/>
            </w:pPr>
            <w:r w:rsidRPr="00F82684">
              <w:t>These should be part of the formal learning/assessment environment.</w:t>
            </w:r>
          </w:p>
          <w:p w:rsidR="00000000" w:rsidRPr="00F82684" w:rsidP="00F82684">
            <w:pPr>
              <w:pStyle w:val="BodyText"/>
            </w:pPr>
            <w:r w:rsidRPr="00F82684">
              <w:t xml:space="preserve">Note: </w:t>
            </w:r>
          </w:p>
          <w:p w:rsidR="00000000" w:rsidP="00F82684">
            <w:pPr>
              <w:pStyle w:val="BodyText"/>
              <w:rPr>
                <w:lang w:val="en-NZ"/>
              </w:rPr>
            </w:pPr>
            <w:r w:rsidRPr="00F82684">
              <w:t>Where simulation</w:t>
            </w:r>
            <w:r w:rsidRPr="00F82684">
              <w:t xml:space="preserve"> is considered a suitable strategy for assessment, conditions must be authentic and as far as possible reproduce and replicate the workplace and be consistent with the approved industry simulation policy.</w:t>
            </w:r>
          </w:p>
        </w:tc>
      </w:tr>
      <w:tr w:rsidTr="00B053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The resources used for assessment should reflec</w:t>
            </w:r>
            <w:r w:rsidRPr="00F82684">
              <w:t>t current industry practices in relation to solving problems in electromagnetic devices and related circuits.</w:t>
            </w:r>
          </w:p>
        </w:tc>
      </w:tr>
      <w:tr w:rsidTr="00B053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Method of assessment</w:t>
            </w:r>
          </w:p>
        </w:tc>
        <w:tc>
          <w:tcPr>
            <w:tcW w:w="6631" w:type="dxa"/>
            <w:gridSpan w:val="3"/>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9</w:t>
            </w:r>
            <w:r w:rsidRPr="00F82684">
              <w:t>.</w:t>
            </w:r>
            <w:r w:rsidRPr="00F82684">
              <w:rPr>
                <w:rStyle w:val="SpecialBold"/>
              </w:rPr>
              <w:t>4</w:t>
            </w:r>
            <w:r w:rsidRPr="00F82684">
              <w:t xml:space="preserve">) </w:t>
            </w:r>
          </w:p>
          <w:p w:rsidR="00000000" w:rsidRPr="00F82684" w:rsidP="00F82684">
            <w:pPr>
              <w:pStyle w:val="BodyText"/>
            </w:pPr>
            <w:r w:rsidRPr="00F82684">
              <w:t>This unit shall be assessed by methods given in Volume 1, Part 3 'Assessment Guidelines'.</w:t>
            </w:r>
          </w:p>
          <w:p w:rsidR="00000000" w:rsidP="00F82684">
            <w:pPr>
              <w:pStyle w:val="BodyText"/>
              <w:rPr>
                <w:lang w:val="en-NZ"/>
              </w:rPr>
            </w:pPr>
            <w:r w:rsidRPr="00F82684">
              <w:t xml:space="preserve">Note: </w:t>
            </w:r>
            <w:r w:rsidRPr="00F82684">
              <w:br/>
            </w:r>
            <w:r w:rsidRPr="00F82684">
              <w:t>Competent performance with inherent safe working practices is expected in the industry to which this unit applies. This requires assessment in a structured environment which is primarily intended for learning/assessment and incorporates all necessary equip</w:t>
            </w:r>
            <w:r w:rsidRPr="00F82684">
              <w:t>ment and facilities for learners to develop and demonstrate the essential knowledge and skills described in this unit.</w:t>
            </w:r>
          </w:p>
        </w:tc>
      </w:tr>
      <w:tr w:rsidTr="00B0536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Concurrent assessment and relationship with other units</w:t>
            </w:r>
          </w:p>
        </w:tc>
        <w:tc>
          <w:tcPr>
            <w:tcW w:w="6631" w:type="dxa"/>
            <w:gridSpan w:val="3"/>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rPr>
                <w:rStyle w:val="SpecialBold"/>
              </w:rPr>
              <w:t>9</w:t>
            </w:r>
            <w:r w:rsidRPr="00F82684">
              <w:t>.</w:t>
            </w:r>
            <w:r w:rsidRPr="00F82684">
              <w:rPr>
                <w:rStyle w:val="SpecialBold"/>
              </w:rPr>
              <w:t>5</w:t>
            </w:r>
            <w:r w:rsidRPr="00F82684">
              <w:t>)</w:t>
            </w:r>
          </w:p>
        </w:tc>
      </w:tr>
      <w:tr w:rsidTr="00B0536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t>For optimisation of training and assessment effort, competency develo</w:t>
            </w:r>
            <w:r w:rsidRPr="00F82684">
              <w:t>pment in this unit may be arranged concurrently with unit:</w:t>
            </w:r>
          </w:p>
        </w:tc>
      </w:tr>
    </w:tbl>
    <w:p w:rsidR="00B05367" w:rsidP="00F82684">
      <w:pPr>
        <w:pStyle w:val="BodyText"/>
      </w:pPr>
    </w:p>
    <w:p w:rsidR="00B05367" w:rsidP="00F82684">
      <w:pPr>
        <w:pStyle w:val="BodyText"/>
      </w:pPr>
    </w:p>
    <w:p w:rsidR="00000000" w:rsidRPr="00F82684" w:rsidP="00F82684">
      <w:pPr>
        <w:pStyle w:val="Heading1"/>
      </w:pPr>
      <w:bookmarkStart w:id="11" w:name="O_584907"/>
      <w:bookmarkEnd w:id="11"/>
      <w:r w:rsidRPr="00F82684">
        <w:t>Range Statement</w:t>
      </w:r>
    </w:p>
    <w:tbl>
      <w:tblPr>
        <w:tblW w:w="0" w:type="auto"/>
        <w:tblLayout w:type="fixed"/>
        <w:tblCellMar>
          <w:left w:w="62" w:type="dxa"/>
          <w:right w:w="62" w:type="dxa"/>
        </w:tblCellMar>
        <w:tblLook w:val="0000"/>
      </w:tblPr>
      <w:tblGrid>
        <w:gridCol w:w="1620"/>
        <w:gridCol w:w="7171"/>
      </w:tblGrid>
      <w:tr w:rsidTr="00B05367">
        <w:tblPrEx>
          <w:tblW w:w="0" w:type="auto"/>
          <w:tblLayout w:type="fixed"/>
          <w:tblCellMar>
            <w:left w:w="62" w:type="dxa"/>
            <w:right w:w="62" w:type="dxa"/>
          </w:tblCellMar>
          <w:tblLook w:val="0000"/>
        </w:tblPrEx>
        <w:trPr>
          <w:tblHeader/>
        </w:trPr>
        <w:tc>
          <w:tcPr>
            <w:tcW w:w="8791" w:type="dxa"/>
            <w:gridSpan w:val="2"/>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rPr>
                <w:rStyle w:val="SpecialBold"/>
              </w:rPr>
              <w:t>RANGE STATEMENT</w:t>
            </w:r>
          </w:p>
        </w:tc>
      </w:tr>
      <w:tr w:rsidTr="00B05367">
        <w:tblPrEx>
          <w:tblW w:w="0" w:type="auto"/>
          <w:tblLayout w:type="fixed"/>
          <w:tblCellMar>
            <w:left w:w="62" w:type="dxa"/>
            <w:right w:w="62" w:type="dxa"/>
          </w:tblCellMar>
          <w:tblLook w:val="0000"/>
        </w:tblPrEx>
        <w:tc>
          <w:tcPr>
            <w:tcW w:w="8791" w:type="dxa"/>
            <w:gridSpan w:val="2"/>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rPr>
                <w:rStyle w:val="SpecialBold"/>
              </w:rPr>
              <w:t>8</w:t>
            </w:r>
            <w:r w:rsidRPr="00F82684">
              <w:t xml:space="preserve">) This relates to the unit as a whole providing the range of contexts and conditions to which the performance </w:t>
            </w:r>
            <w:r w:rsidRPr="00F82684">
              <w:t>criteria apply. It allows for different work environments and situations that will affect performance.</w:t>
            </w:r>
          </w:p>
        </w:tc>
      </w:tr>
      <w:tr w:rsidTr="00B05367">
        <w:tblPrEx>
          <w:tblW w:w="0" w:type="auto"/>
          <w:tblLayout w:type="fixed"/>
          <w:tblCellMar>
            <w:left w:w="62" w:type="dxa"/>
            <w:right w:w="62" w:type="dxa"/>
          </w:tblCellMar>
          <w:tblLook w:val="0000"/>
        </w:tblPrEx>
        <w:tc>
          <w:tcPr>
            <w:tcW w:w="8791" w:type="dxa"/>
            <w:gridSpan w:val="2"/>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This unit shall be demonstrated in relation to solving problems in electromagnetic devices and related circuits by:</w:t>
            </w:r>
          </w:p>
        </w:tc>
      </w:tr>
      <w:tr w:rsidTr="00B05367">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p>
        </w:tc>
        <w:tc>
          <w:tcPr>
            <w:tcW w:w="7171" w:type="dxa"/>
            <w:tcBorders>
              <w:top w:val="nil"/>
              <w:left w:val="nil"/>
              <w:bottom w:val="nil"/>
              <w:right w:val="nil"/>
            </w:tcBorders>
            <w:tcMar>
              <w:top w:w="0" w:type="dxa"/>
              <w:left w:w="62" w:type="dxa"/>
              <w:bottom w:w="0" w:type="dxa"/>
              <w:right w:w="62" w:type="dxa"/>
            </w:tcMar>
          </w:tcPr>
          <w:p w:rsidR="00000000" w:rsidRPr="00F82684" w:rsidP="00F82684">
            <w:pPr>
              <w:pStyle w:val="ListBullet"/>
            </w:pPr>
            <w:r w:rsidRPr="00F82684">
              <w:t>Determining the operating parameters of an existing circuits with electromagnetic devices</w:t>
            </w:r>
          </w:p>
          <w:p w:rsidR="00000000" w:rsidRPr="00F82684" w:rsidP="00F82684">
            <w:pPr>
              <w:pStyle w:val="ListBullet"/>
            </w:pPr>
            <w:r w:rsidRPr="00F82684">
              <w:t>Altering an existing circuit with an electromagnetic device to comply with specified operating parameters</w:t>
            </w:r>
          </w:p>
          <w:p w:rsidR="00000000" w:rsidRPr="00F82684" w:rsidP="00F82684">
            <w:pPr>
              <w:pStyle w:val="ListBullet"/>
            </w:pPr>
            <w:r w:rsidRPr="00F82684">
              <w:t xml:space="preserve">Developing circuit with an electromagnetic device to comply </w:t>
            </w:r>
            <w:r w:rsidRPr="00F82684">
              <w:t>with a specified function and operating parameters</w:t>
            </w:r>
          </w:p>
          <w:p w:rsidR="00000000" w:rsidP="00F82684">
            <w:pPr>
              <w:pStyle w:val="BodyText"/>
              <w:rPr>
                <w:lang w:val="en-NZ"/>
              </w:rPr>
            </w:pPr>
            <w:r w:rsidRPr="00F82684">
              <w:t>AND</w:t>
            </w:r>
          </w:p>
        </w:tc>
      </w:tr>
      <w:tr w:rsidTr="00B05367">
        <w:tblPrEx>
          <w:tblW w:w="0" w:type="auto"/>
          <w:tblLayout w:type="fixed"/>
          <w:tblCellMar>
            <w:left w:w="62" w:type="dxa"/>
            <w:right w:w="62" w:type="dxa"/>
          </w:tblCellMar>
          <w:tblLook w:val="0000"/>
        </w:tblPrEx>
        <w:tc>
          <w:tcPr>
            <w:tcW w:w="8791" w:type="dxa"/>
            <w:gridSpan w:val="2"/>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In relation to the following on more than one occasions:</w:t>
            </w:r>
          </w:p>
        </w:tc>
      </w:tr>
      <w:tr w:rsidTr="00B05367">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RPr="00F82684">
            <w:pPr>
              <w:pStyle w:val="BodyText"/>
              <w:keepNext w:val="0"/>
              <w:keepLines w:val="0"/>
              <w:contextualSpacing w:val="0"/>
            </w:pPr>
          </w:p>
        </w:tc>
        <w:tc>
          <w:tcPr>
            <w:tcW w:w="7171"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Solving problems</w:t>
            </w:r>
          </w:p>
          <w:p w:rsidR="00000000" w:rsidRPr="00F82684" w:rsidP="00F82684">
            <w:pPr>
              <w:pStyle w:val="ListBullet"/>
            </w:pPr>
            <w:r w:rsidRPr="00F82684">
              <w:t>Connecting circuits,</w:t>
            </w:r>
          </w:p>
          <w:p w:rsidR="00000000" w:rsidRPr="00F82684" w:rsidP="00F82684">
            <w:pPr>
              <w:pStyle w:val="ListBullet"/>
            </w:pPr>
            <w:r w:rsidRPr="00F82684">
              <w:t xml:space="preserve">Using methodological problem solving techniques, </w:t>
            </w:r>
          </w:p>
          <w:p w:rsidR="00000000" w:rsidRPr="00F82684" w:rsidP="00F82684">
            <w:pPr>
              <w:pStyle w:val="ListBullet"/>
            </w:pPr>
            <w:r w:rsidRPr="00F82684">
              <w:t>Solving electromagnetic device problems,</w:t>
            </w:r>
          </w:p>
          <w:p w:rsidR="00000000" w:rsidRPr="00F82684" w:rsidP="00F82684">
            <w:pPr>
              <w:pStyle w:val="ListBullet"/>
            </w:pPr>
            <w:r w:rsidRPr="00F82684">
              <w:t>Demonstrate an understanding of the behaviour of current and voltage in circuits with electromagnetic devices</w:t>
            </w:r>
          </w:p>
          <w:p w:rsidR="00000000" w:rsidRPr="00F82684" w:rsidP="00F82684">
            <w:pPr>
              <w:pStyle w:val="ListBullet"/>
            </w:pPr>
            <w:r w:rsidRPr="00F82684">
              <w:t>Calculating circuit parameters accurately,</w:t>
            </w:r>
          </w:p>
          <w:p w:rsidR="00000000" w:rsidRPr="00F82684" w:rsidP="00F82684">
            <w:pPr>
              <w:pStyle w:val="BodyText"/>
            </w:pPr>
            <w:r w:rsidRPr="00F82684">
              <w:rPr>
                <w:rStyle w:val="SpecialBold"/>
              </w:rPr>
              <w:t>Circuit and device testing</w:t>
            </w:r>
          </w:p>
          <w:p w:rsidR="00000000" w:rsidRPr="00F82684" w:rsidP="00F82684">
            <w:pPr>
              <w:pStyle w:val="ListBullet"/>
            </w:pPr>
            <w:r w:rsidRPr="00F82684">
              <w:t>Choose correct instruments and ranges for testing,</w:t>
            </w:r>
          </w:p>
          <w:p w:rsidR="00000000" w:rsidRPr="00F82684" w:rsidP="00F82684">
            <w:pPr>
              <w:pStyle w:val="ListBullet"/>
            </w:pPr>
            <w:r w:rsidRPr="00F82684">
              <w:t>Connect meters to measure parameters in circuits with electromagnetic devices,</w:t>
            </w:r>
          </w:p>
          <w:p w:rsidR="00000000" w:rsidP="00F82684">
            <w:pPr>
              <w:pStyle w:val="BodyText"/>
              <w:rPr>
                <w:lang w:val="en-NZ"/>
              </w:rPr>
            </w:pPr>
            <w:r w:rsidRPr="00F82684">
              <w:t>and</w:t>
            </w:r>
          </w:p>
        </w:tc>
      </w:tr>
      <w:tr w:rsidTr="00B05367">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RPr="00F82684">
            <w:pPr>
              <w:pStyle w:val="BodyText"/>
              <w:keepNext w:val="0"/>
              <w:keepLines w:val="0"/>
              <w:contextualSpacing w:val="0"/>
            </w:pPr>
          </w:p>
        </w:tc>
        <w:tc>
          <w:tcPr>
            <w:tcW w:w="7171"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At least four of the following electromagnetic devices</w:t>
            </w:r>
          </w:p>
          <w:p w:rsidR="00000000" w:rsidRPr="00F82684" w:rsidP="00F82684">
            <w:pPr>
              <w:pStyle w:val="ListBullet"/>
            </w:pPr>
            <w:r w:rsidRPr="00F82684">
              <w:t>Reed switches</w:t>
            </w:r>
          </w:p>
          <w:p w:rsidR="00000000" w:rsidRPr="00F82684" w:rsidP="00F82684">
            <w:pPr>
              <w:pStyle w:val="ListBullet"/>
            </w:pPr>
            <w:r w:rsidRPr="00F82684">
              <w:t>Solenoids</w:t>
            </w:r>
          </w:p>
          <w:p w:rsidR="00000000" w:rsidRPr="00F82684" w:rsidP="00F82684">
            <w:pPr>
              <w:pStyle w:val="ListBullet"/>
            </w:pPr>
            <w:r w:rsidRPr="00F82684">
              <w:t>Relays</w:t>
            </w:r>
          </w:p>
          <w:p w:rsidR="00000000" w:rsidRPr="00F82684" w:rsidP="00F82684">
            <w:pPr>
              <w:pStyle w:val="ListBullet"/>
            </w:pPr>
            <w:r w:rsidRPr="00F82684">
              <w:t>Contactors</w:t>
            </w:r>
          </w:p>
          <w:p w:rsidR="00000000" w:rsidRPr="00F82684" w:rsidP="00F82684">
            <w:pPr>
              <w:pStyle w:val="ListBullet"/>
            </w:pPr>
            <w:r w:rsidRPr="00F82684">
              <w:t>Inductive limit switches</w:t>
            </w:r>
          </w:p>
          <w:p w:rsidR="00000000" w:rsidRPr="00F82684" w:rsidP="00F82684">
            <w:pPr>
              <w:pStyle w:val="ListBullet"/>
            </w:pPr>
            <w:r w:rsidRPr="00F82684">
              <w:t>Bells</w:t>
            </w:r>
          </w:p>
          <w:p w:rsidR="00000000" w:rsidRPr="00F82684" w:rsidP="00F82684">
            <w:pPr>
              <w:pStyle w:val="ListBullet"/>
            </w:pPr>
            <w:r w:rsidRPr="00F82684">
              <w:t>Lifting magnets</w:t>
            </w:r>
          </w:p>
          <w:p w:rsidR="00000000" w:rsidRPr="00F82684" w:rsidP="00F82684">
            <w:pPr>
              <w:pStyle w:val="ListBullet"/>
            </w:pPr>
            <w:r w:rsidRPr="00F82684">
              <w:t>Core balance devices</w:t>
            </w:r>
          </w:p>
          <w:p w:rsidR="00000000" w:rsidRPr="00F82684" w:rsidP="00F82684">
            <w:pPr>
              <w:pStyle w:val="ListBullet"/>
            </w:pPr>
            <w:r w:rsidRPr="00F82684">
              <w:t>Magnetic overloads</w:t>
            </w:r>
          </w:p>
          <w:p w:rsidR="00000000" w:rsidRPr="00F82684" w:rsidP="00F82684">
            <w:pPr>
              <w:pStyle w:val="ListBullet"/>
            </w:pPr>
            <w:r w:rsidRPr="00F82684">
              <w:t>Motors</w:t>
            </w:r>
          </w:p>
          <w:p w:rsidR="00000000" w:rsidRPr="00F82684" w:rsidP="00F82684">
            <w:pPr>
              <w:pStyle w:val="ListBullet"/>
            </w:pPr>
            <w:r w:rsidRPr="00F82684">
              <w:t>Generators</w:t>
            </w:r>
          </w:p>
          <w:p w:rsidR="00000000" w:rsidRPr="00F82684" w:rsidP="00F82684">
            <w:pPr>
              <w:pStyle w:val="ListBullet"/>
            </w:pPr>
            <w:r w:rsidRPr="00F82684">
              <w:t>Magnetic brakes</w:t>
            </w:r>
          </w:p>
          <w:p w:rsidR="00000000" w:rsidP="00F82684">
            <w:pPr>
              <w:pStyle w:val="ListBullet"/>
              <w:rPr>
                <w:lang w:val="en-NZ"/>
              </w:rPr>
            </w:pPr>
            <w:r w:rsidRPr="00F82684">
              <w:t>Magnetic circuit breakers</w:t>
            </w:r>
          </w:p>
        </w:tc>
      </w:tr>
      <w:tr w:rsidTr="00B05367">
        <w:tblPrEx>
          <w:tblW w:w="0" w:type="auto"/>
          <w:tblLayout w:type="fixed"/>
          <w:tblCellMar>
            <w:left w:w="62" w:type="dxa"/>
            <w:right w:w="62" w:type="dxa"/>
          </w:tblCellMar>
          <w:tblLook w:val="0000"/>
        </w:tblPrEx>
        <w:tc>
          <w:tcPr>
            <w:tcW w:w="8791" w:type="dxa"/>
            <w:gridSpan w:val="2"/>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t>Generic terms used throughout this Vocational Standard shall be regarded as part of the Range Statement in which competency is demonstrated. The definition of these and other t</w:t>
            </w:r>
            <w:r w:rsidRPr="00F82684">
              <w:t>erms that apply are given in Volume 2, Part 2.1.</w:t>
            </w:r>
          </w:p>
        </w:tc>
      </w:tr>
    </w:tbl>
    <w:p w:rsidR="00B05367" w:rsidP="00F82684">
      <w:pPr>
        <w:pStyle w:val="BodyText"/>
      </w:pPr>
    </w:p>
    <w:p w:rsidR="00B05367" w:rsidP="00F82684">
      <w:pPr>
        <w:pStyle w:val="BodyText"/>
      </w:pPr>
    </w:p>
    <w:p w:rsidR="00000000" w:rsidRPr="00F82684" w:rsidP="00F82684">
      <w:pPr>
        <w:pStyle w:val="Heading1"/>
      </w:pPr>
      <w:bookmarkStart w:id="12" w:name="O_584906"/>
      <w:bookmarkEnd w:id="12"/>
      <w:r w:rsidRPr="00F82684">
        <w:t>Unit Sector(s)</w:t>
      </w:r>
    </w:p>
    <w:p w:rsidR="00000000" w:rsidRPr="00F82684" w:rsidP="00F82684">
      <w:pPr>
        <w:pStyle w:val="BodyText"/>
      </w:pPr>
      <w:r w:rsidRPr="00F82684">
        <w:t>Not Applicable</w:t>
      </w:r>
    </w:p>
    <w:p w:rsidR="00000000" w:rsidRPr="00F82684" w:rsidP="00F82684">
      <w:pPr>
        <w:pStyle w:val="AllowPageBreak"/>
      </w:pPr>
    </w:p>
    <w:p w:rsidR="00000000" w:rsidRPr="00F82684" w:rsidP="00F82684">
      <w:pPr>
        <w:pStyle w:val="Heading1"/>
      </w:pPr>
      <w:bookmarkStart w:id="13" w:name="O_584905"/>
      <w:bookmarkEnd w:id="13"/>
      <w:r w:rsidRPr="00F8268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0536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2</w:t>
            </w:r>
            <w:r w:rsidRPr="00F82684">
              <w:t>.</w:t>
            </w:r>
            <w:r w:rsidRPr="00F82684">
              <w:rPr>
                <w:rStyle w:val="SpecialBold"/>
              </w:rPr>
              <w:t>2</w:t>
            </w:r>
            <w:r w:rsidRPr="00F82684">
              <w:t xml:space="preserve">) </w:t>
            </w:r>
            <w:r w:rsidRPr="00F82684">
              <w:rPr>
                <w:rStyle w:val="SpecialBold"/>
              </w:rPr>
              <w:t>Literacy and numeracy skills</w:t>
            </w:r>
          </w:p>
          <w:p w:rsidR="00000000" w:rsidP="00F82684">
            <w:pPr>
              <w:pStyle w:val="BodyText"/>
              <w:rPr>
                <w:lang w:val="en-NZ"/>
              </w:rPr>
            </w:pPr>
            <w:r w:rsidRPr="00F82684">
              <w:t>Participants are best equipped to achieve competency in this unit if they have reading, writing and numeracy skills indicated by the following scales. Description of each scale is given in Volume 2, Part 3 'Literacy and Numeracy'</w:t>
            </w:r>
          </w:p>
        </w:tc>
      </w:tr>
      <w:tr w:rsidTr="00B0536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Reading</w:t>
            </w:r>
          </w:p>
        </w:tc>
        <w:tc>
          <w:tcPr>
            <w:tcW w:w="1182"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4</w:t>
            </w:r>
          </w:p>
        </w:tc>
        <w:tc>
          <w:tcPr>
            <w:tcW w:w="1739"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Writing</w:t>
            </w:r>
          </w:p>
        </w:tc>
        <w:tc>
          <w:tcPr>
            <w:tcW w:w="1182"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4</w:t>
            </w:r>
          </w:p>
        </w:tc>
        <w:tc>
          <w:tcPr>
            <w:tcW w:w="1721"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t>Numeracy</w:t>
            </w:r>
          </w:p>
        </w:tc>
        <w:tc>
          <w:tcPr>
            <w:tcW w:w="1182"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t>4</w:t>
            </w:r>
          </w:p>
        </w:tc>
      </w:tr>
    </w:tbl>
    <w:p w:rsidR="00B05367" w:rsidP="00F82684">
      <w:pPr>
        <w:pStyle w:val="BodyText"/>
      </w:pPr>
    </w:p>
    <w:p w:rsidR="00B05367" w:rsidP="00F82684">
      <w:pPr>
        <w:pStyle w:val="BodyText"/>
      </w:pPr>
    </w:p>
    <w:p w:rsidR="00000000" w:rsidRPr="00F82684" w:rsidP="00F82684">
      <w:pPr>
        <w:pStyle w:val="Heading1"/>
      </w:pPr>
      <w:bookmarkStart w:id="14" w:name="O_584904"/>
      <w:bookmarkEnd w:id="14"/>
      <w:r w:rsidRPr="00F82684">
        <w:t>2.2) Literacy and numeracy skills</w:t>
      </w:r>
    </w:p>
    <w:tbl>
      <w:tblPr>
        <w:tblW w:w="0" w:type="auto"/>
        <w:tblLayout w:type="fixed"/>
        <w:tblCellMar>
          <w:left w:w="62" w:type="dxa"/>
          <w:right w:w="62" w:type="dxa"/>
        </w:tblCellMar>
        <w:tblLook w:val="0000"/>
      </w:tblPr>
      <w:tblGrid>
        <w:gridCol w:w="2700"/>
        <w:gridCol w:w="5760"/>
      </w:tblGrid>
      <w:tr w:rsidTr="00B053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82684">
            <w:pPr>
              <w:pStyle w:val="BodyText"/>
              <w:rPr>
                <w:lang w:val="en-NZ"/>
              </w:rPr>
            </w:pPr>
            <w:r w:rsidRPr="00F82684">
              <w:rPr>
                <w:rStyle w:val="SpecialBold"/>
              </w:rPr>
              <w:t>5</w:t>
            </w:r>
            <w:r w:rsidRPr="00F82684">
              <w:t>)</w:t>
            </w:r>
          </w:p>
        </w:tc>
      </w:tr>
      <w:tr w:rsidTr="00B053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2684" w:rsidP="00F82684">
            <w:pPr>
              <w:pStyle w:val="BodyText"/>
            </w:pPr>
            <w:r w:rsidRPr="00F82684">
              <w:t>Electrical</w:t>
            </w:r>
          </w:p>
        </w:tc>
      </w:tr>
    </w:tbl>
    <w:p w:rsidR="00B05367" w:rsidP="00F82684">
      <w:pPr>
        <w:pStyle w:val="BodyText"/>
      </w:pPr>
    </w:p>
    <w:p w:rsidR="00B05367" w:rsidP="00F82684">
      <w:pPr>
        <w:pStyle w:val="BodyText"/>
      </w:pPr>
    </w:p>
    <w:p w:rsidR="00000000" w:rsidRPr="00F82684" w:rsidP="00F82684"/>
    <w:sectPr w:rsidSect="00F826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84" w:rsidRPr="00B05367" w:rsidP="00B053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67" w:rsidP="00F826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05367" w:rsidP="00F8268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05367" w:rsidP="00F826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84" w:rsidRPr="00B05367" w:rsidP="00B053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67" w:rsidRPr="002D2AF8" w:rsidP="00F82684">
    <w:pPr>
      <w:pStyle w:val="Header"/>
      <w:framePr w:wrap="around"/>
    </w:pPr>
    <w:r>
      <w:fldChar w:fldCharType="begin"/>
    </w:r>
    <w:r>
      <w:instrText xml:space="preserve"> TITLE   \* MERGEFORMAT </w:instrText>
    </w:r>
    <w:r>
      <w:fldChar w:fldCharType="separate"/>
    </w:r>
    <w:r>
      <w:t>UEENEEG101A Solve problems in electromagnetic devices and related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B05367" w:rsidP="00F826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BEB3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F2EF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E083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6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684"/>
    <w:pPr>
      <w:spacing w:before="360" w:after="60"/>
      <w:outlineLvl w:val="0"/>
    </w:pPr>
    <w:rPr>
      <w:sz w:val="32"/>
    </w:rPr>
  </w:style>
  <w:style w:type="paragraph" w:styleId="Heading2">
    <w:name w:val="heading 2"/>
    <w:basedOn w:val="HeadingBase"/>
    <w:next w:val="BodyText"/>
    <w:link w:val="Heading2Char"/>
    <w:qFormat/>
    <w:rsid w:val="00F82684"/>
    <w:pPr>
      <w:keepLines/>
      <w:spacing w:before="240" w:after="120"/>
      <w:outlineLvl w:val="1"/>
    </w:pPr>
    <w:rPr>
      <w:sz w:val="28"/>
      <w:szCs w:val="40"/>
    </w:rPr>
  </w:style>
  <w:style w:type="paragraph" w:styleId="Heading3">
    <w:name w:val="heading 3"/>
    <w:basedOn w:val="HeadingBase"/>
    <w:next w:val="BodyText"/>
    <w:link w:val="Heading3Char"/>
    <w:qFormat/>
    <w:rsid w:val="00F82684"/>
    <w:pPr>
      <w:spacing w:before="180" w:after="120"/>
      <w:outlineLvl w:val="2"/>
    </w:pPr>
    <w:rPr>
      <w:spacing w:val="-10"/>
      <w:kern w:val="32"/>
    </w:rPr>
  </w:style>
  <w:style w:type="paragraph" w:styleId="Heading4">
    <w:name w:val="heading 4"/>
    <w:basedOn w:val="HeadingBase"/>
    <w:next w:val="BodyText"/>
    <w:link w:val="Heading4Char"/>
    <w:qFormat/>
    <w:rsid w:val="00F82684"/>
    <w:pPr>
      <w:spacing w:before="160" w:after="120"/>
      <w:outlineLvl w:val="3"/>
    </w:pPr>
    <w:rPr>
      <w:sz w:val="22"/>
    </w:rPr>
  </w:style>
  <w:style w:type="paragraph" w:styleId="Heading5">
    <w:name w:val="heading 5"/>
    <w:basedOn w:val="HeadingBase"/>
    <w:next w:val="Normal"/>
    <w:link w:val="Heading5Char"/>
    <w:qFormat/>
    <w:rsid w:val="00F82684"/>
    <w:pPr>
      <w:spacing w:before="80"/>
      <w:outlineLvl w:val="4"/>
    </w:pPr>
    <w:rPr>
      <w:color w:val="918585"/>
      <w:sz w:val="20"/>
    </w:rPr>
  </w:style>
  <w:style w:type="paragraph" w:styleId="Heading6">
    <w:name w:val="heading 6"/>
    <w:basedOn w:val="HeadingBase"/>
    <w:next w:val="Normal"/>
    <w:link w:val="Heading6Char"/>
    <w:qFormat/>
    <w:rsid w:val="00F82684"/>
    <w:pPr>
      <w:spacing w:before="60"/>
      <w:outlineLvl w:val="5"/>
    </w:pPr>
    <w:rPr>
      <w:color w:val="918585"/>
      <w:sz w:val="20"/>
    </w:rPr>
  </w:style>
  <w:style w:type="paragraph" w:styleId="Heading7">
    <w:name w:val="heading 7"/>
    <w:basedOn w:val="Normal"/>
    <w:next w:val="Normal"/>
    <w:link w:val="Heading7Char"/>
    <w:qFormat/>
    <w:rsid w:val="00F82684"/>
    <w:pPr>
      <w:ind w:left="720"/>
      <w:outlineLvl w:val="6"/>
    </w:pPr>
    <w:rPr>
      <w:i/>
    </w:rPr>
  </w:style>
  <w:style w:type="paragraph" w:styleId="Heading8">
    <w:name w:val="heading 8"/>
    <w:basedOn w:val="Normal"/>
    <w:next w:val="Normal"/>
    <w:link w:val="Heading8Char"/>
    <w:qFormat/>
    <w:rsid w:val="00F82684"/>
    <w:pPr>
      <w:ind w:left="720"/>
      <w:outlineLvl w:val="7"/>
    </w:pPr>
    <w:rPr>
      <w:i/>
    </w:rPr>
  </w:style>
  <w:style w:type="paragraph" w:styleId="Heading9">
    <w:name w:val="heading 9"/>
    <w:basedOn w:val="Normal"/>
    <w:next w:val="Normal"/>
    <w:link w:val="Heading9Char"/>
    <w:qFormat/>
    <w:rsid w:val="00F82684"/>
    <w:pPr>
      <w:ind w:left="720"/>
      <w:outlineLvl w:val="8"/>
    </w:pPr>
    <w:rPr>
      <w:i/>
    </w:rPr>
  </w:style>
  <w:style w:type="character" w:default="1" w:styleId="DefaultParagraphFont">
    <w:name w:val="Default Paragraph Font"/>
    <w:uiPriority w:val="1"/>
    <w:unhideWhenUsed/>
    <w:rsid w:val="00F826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684"/>
  </w:style>
  <w:style w:type="character" w:customStyle="1" w:styleId="Heading1Char">
    <w:name w:val="Heading 1 Char"/>
    <w:basedOn w:val="DefaultParagraphFont"/>
    <w:link w:val="Heading1"/>
    <w:rsid w:val="00F82684"/>
    <w:rPr>
      <w:rFonts w:ascii="Times New Roman" w:eastAsia="Times New Roman" w:hAnsi="Times New Roman" w:cs="Times New Roman"/>
      <w:b/>
      <w:sz w:val="32"/>
      <w:szCs w:val="20"/>
      <w:lang w:eastAsia="en-US"/>
    </w:rPr>
  </w:style>
  <w:style w:type="paragraph" w:styleId="BodyText">
    <w:name w:val="Body Text"/>
    <w:basedOn w:val="Normal"/>
    <w:link w:val="BodyTextChar"/>
    <w:rsid w:val="00F826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2684"/>
    <w:rPr>
      <w:rFonts w:ascii="Times New Roman" w:eastAsia="Times New Roman" w:hAnsi="Times New Roman" w:cs="Times New Roman"/>
      <w:sz w:val="24"/>
      <w:lang w:eastAsia="en-US"/>
    </w:rPr>
  </w:style>
  <w:style w:type="paragraph" w:styleId="ListBullet">
    <w:name w:val="List Bullet"/>
    <w:basedOn w:val="List"/>
    <w:rsid w:val="00F82684"/>
    <w:pPr>
      <w:numPr>
        <w:numId w:val="13"/>
      </w:numPr>
      <w:tabs>
        <w:tab w:val="clear" w:pos="340"/>
      </w:tabs>
      <w:spacing w:before="40" w:after="40"/>
    </w:pPr>
  </w:style>
  <w:style w:type="character" w:customStyle="1" w:styleId="SpecialBold">
    <w:name w:val="Special Bold"/>
    <w:basedOn w:val="DefaultParagraphFont"/>
    <w:rsid w:val="00F82684"/>
    <w:rPr>
      <w:b/>
      <w:spacing w:val="0"/>
    </w:rPr>
  </w:style>
  <w:style w:type="paragraph" w:styleId="ListBullet2">
    <w:name w:val="List Bullet 2"/>
    <w:basedOn w:val="List2"/>
    <w:rsid w:val="00F82684"/>
    <w:pPr>
      <w:numPr>
        <w:numId w:val="14"/>
      </w:numPr>
      <w:tabs>
        <w:tab w:val="clear" w:pos="680"/>
      </w:tabs>
    </w:pPr>
  </w:style>
  <w:style w:type="paragraph" w:customStyle="1" w:styleId="SuperHeading">
    <w:name w:val="SuperHeading"/>
    <w:basedOn w:val="Normal"/>
    <w:rsid w:val="00F82684"/>
    <w:pPr>
      <w:spacing w:before="240" w:after="120"/>
      <w:outlineLvl w:val="0"/>
    </w:pPr>
    <w:rPr>
      <w:rFonts w:ascii="Times New Roman" w:hAnsi="Times New Roman"/>
      <w:b/>
      <w:sz w:val="32"/>
    </w:rPr>
  </w:style>
  <w:style w:type="paragraph" w:customStyle="1" w:styleId="AllowPageBreak">
    <w:name w:val="AllowPageBreak"/>
    <w:rsid w:val="00F826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26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6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6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6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6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6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6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684"/>
    <w:rPr>
      <w:rFonts w:ascii="Courier New" w:eastAsia="Times New Roman" w:hAnsi="Courier New" w:cs="Times New Roman"/>
      <w:i/>
      <w:szCs w:val="20"/>
      <w:lang w:eastAsia="en-US"/>
    </w:rPr>
  </w:style>
  <w:style w:type="paragraph" w:customStyle="1" w:styleId="HeadingBase">
    <w:name w:val="Heading Base"/>
    <w:rsid w:val="00F826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684"/>
    <w:pPr>
      <w:tabs>
        <w:tab w:val="right" w:leader="dot" w:pos="9072"/>
      </w:tabs>
      <w:ind w:left="567"/>
    </w:pPr>
    <w:rPr>
      <w:szCs w:val="22"/>
    </w:rPr>
  </w:style>
  <w:style w:type="paragraph" w:customStyle="1" w:styleId="TOCBase">
    <w:name w:val="TOC Base"/>
    <w:rsid w:val="00F826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684"/>
    <w:pPr>
      <w:tabs>
        <w:tab w:val="right" w:leader="dot" w:pos="9072"/>
      </w:tabs>
      <w:spacing w:before="40" w:after="40"/>
      <w:ind w:left="284"/>
    </w:pPr>
    <w:rPr>
      <w:rFonts w:ascii="Times New Roman" w:hAnsi="Times New Roman"/>
    </w:rPr>
  </w:style>
  <w:style w:type="paragraph" w:styleId="TOC1">
    <w:name w:val="toc 1"/>
    <w:basedOn w:val="TOCBase"/>
    <w:next w:val="Normal"/>
    <w:rsid w:val="00F826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6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684"/>
    <w:rPr>
      <w:rFonts w:ascii="Times New Roman" w:eastAsia="Times New Roman" w:hAnsi="Times New Roman" w:cs="Times New Roman"/>
      <w:sz w:val="16"/>
      <w:lang w:eastAsia="en-US"/>
    </w:rPr>
  </w:style>
  <w:style w:type="paragraph" w:styleId="Title">
    <w:name w:val="Title"/>
    <w:basedOn w:val="HeadingBase"/>
    <w:link w:val="TitleChar"/>
    <w:qFormat/>
    <w:rsid w:val="00F82684"/>
    <w:pPr>
      <w:spacing w:before="5040"/>
      <w:jc w:val="center"/>
    </w:pPr>
    <w:rPr>
      <w:sz w:val="48"/>
      <w:szCs w:val="72"/>
      <w:lang w:val="en-US"/>
    </w:rPr>
  </w:style>
  <w:style w:type="character" w:customStyle="1" w:styleId="TitleChar">
    <w:name w:val="Title Char"/>
    <w:basedOn w:val="DefaultParagraphFont"/>
    <w:link w:val="Title"/>
    <w:rsid w:val="00F826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684"/>
    <w:pPr>
      <w:tabs>
        <w:tab w:val="left" w:pos="3600"/>
        <w:tab w:val="left" w:pos="3958"/>
      </w:tabs>
    </w:pPr>
  </w:style>
  <w:style w:type="paragraph" w:styleId="List">
    <w:name w:val="List"/>
    <w:basedOn w:val="BodyText"/>
    <w:next w:val="BodyText"/>
    <w:rsid w:val="00F82684"/>
    <w:pPr>
      <w:tabs>
        <w:tab w:val="left" w:pos="340"/>
      </w:tabs>
      <w:spacing w:before="60" w:after="60"/>
      <w:ind w:left="340" w:hanging="340"/>
    </w:pPr>
  </w:style>
  <w:style w:type="paragraph" w:customStyle="1" w:styleId="Note">
    <w:name w:val="Note"/>
    <w:basedOn w:val="BodyText"/>
    <w:rsid w:val="00F826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684"/>
    <w:pPr>
      <w:framePr w:wrap="auto" w:hAnchor="text" w:y="6049"/>
    </w:pPr>
    <w:rPr>
      <w:color w:val="000000"/>
      <w:sz w:val="40"/>
    </w:rPr>
  </w:style>
  <w:style w:type="paragraph" w:customStyle="1" w:styleId="TOCTitle">
    <w:name w:val="TOCTitle"/>
    <w:basedOn w:val="Heading1"/>
    <w:rsid w:val="00F82684"/>
    <w:pPr>
      <w:spacing w:after="240"/>
      <w:jc w:val="center"/>
      <w:outlineLvl w:val="9"/>
    </w:pPr>
    <w:rPr>
      <w:caps/>
    </w:rPr>
  </w:style>
  <w:style w:type="paragraph" w:customStyle="1" w:styleId="Version">
    <w:name w:val="Version"/>
    <w:rsid w:val="00F826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2684"/>
    <w:pPr>
      <w:keepNext w:val="0"/>
      <w:tabs>
        <w:tab w:val="right" w:pos="4176"/>
      </w:tabs>
      <w:ind w:left="198" w:hanging="198"/>
    </w:pPr>
    <w:rPr>
      <w:rFonts w:ascii="Garamond" w:hAnsi="Garamond"/>
    </w:rPr>
  </w:style>
  <w:style w:type="paragraph" w:styleId="IndexHeading">
    <w:name w:val="index heading"/>
    <w:basedOn w:val="Normal"/>
    <w:next w:val="Index1"/>
    <w:semiHidden/>
    <w:rsid w:val="00F82684"/>
    <w:pPr>
      <w:spacing w:before="120" w:after="120"/>
    </w:pPr>
    <w:rPr>
      <w:rFonts w:ascii="Arial" w:hAnsi="Arial"/>
      <w:b/>
      <w:color w:val="918585"/>
      <w:sz w:val="24"/>
    </w:rPr>
  </w:style>
  <w:style w:type="paragraph" w:styleId="Header">
    <w:name w:val="header"/>
    <w:basedOn w:val="Normal"/>
    <w:link w:val="HeaderChar"/>
    <w:rsid w:val="00F826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684"/>
    <w:rPr>
      <w:rFonts w:ascii="Times New Roman" w:eastAsia="Times New Roman" w:hAnsi="Times New Roman" w:cs="Times New Roman"/>
      <w:sz w:val="16"/>
      <w:szCs w:val="20"/>
      <w:lang w:val="en-GB" w:eastAsia="en-US"/>
    </w:rPr>
  </w:style>
  <w:style w:type="paragraph" w:customStyle="1" w:styleId="Chapter">
    <w:name w:val="Chapter"/>
    <w:basedOn w:val="Normal"/>
    <w:rsid w:val="00F82684"/>
    <w:pPr>
      <w:spacing w:before="240"/>
    </w:pPr>
    <w:rPr>
      <w:rFonts w:ascii="Times New Roman" w:hAnsi="Times New Roman"/>
      <w:smallCaps/>
      <w:spacing w:val="80"/>
      <w:sz w:val="28"/>
    </w:rPr>
  </w:style>
  <w:style w:type="paragraph" w:customStyle="1" w:styleId="InChapter">
    <w:name w:val="InChapter"/>
    <w:basedOn w:val="Heading3"/>
    <w:rsid w:val="00F82684"/>
    <w:pPr>
      <w:spacing w:after="240"/>
      <w:outlineLvl w:val="9"/>
    </w:pPr>
    <w:rPr>
      <w:noProof/>
    </w:rPr>
  </w:style>
  <w:style w:type="paragraph" w:styleId="Index2">
    <w:name w:val="index 2"/>
    <w:basedOn w:val="Normal"/>
    <w:next w:val="Normal"/>
    <w:semiHidden/>
    <w:rsid w:val="00F82684"/>
    <w:pPr>
      <w:tabs>
        <w:tab w:val="right" w:pos="4176"/>
      </w:tabs>
      <w:ind w:left="568" w:hanging="284"/>
    </w:pPr>
    <w:rPr>
      <w:rFonts w:ascii="Garamond" w:hAnsi="Garamond"/>
    </w:rPr>
  </w:style>
  <w:style w:type="paragraph" w:customStyle="1" w:styleId="Byline">
    <w:name w:val="Byline"/>
    <w:rsid w:val="00F826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684"/>
    <w:pPr>
      <w:tabs>
        <w:tab w:val="clear" w:pos="3600"/>
        <w:tab w:val="clear" w:pos="3958"/>
      </w:tabs>
      <w:jc w:val="right"/>
    </w:pPr>
  </w:style>
  <w:style w:type="character" w:styleId="Emphasis">
    <w:name w:val="Emphasis"/>
    <w:basedOn w:val="DefaultParagraphFont"/>
    <w:qFormat/>
    <w:rsid w:val="00F82684"/>
    <w:rPr>
      <w:i/>
    </w:rPr>
  </w:style>
  <w:style w:type="paragraph" w:styleId="Caption">
    <w:name w:val="caption"/>
    <w:basedOn w:val="BodyText"/>
    <w:next w:val="Normal"/>
    <w:qFormat/>
    <w:rsid w:val="00F82684"/>
    <w:pPr>
      <w:framePr w:w="2268" w:hSpace="181" w:vSpace="181" w:wrap="around" w:vAnchor="text" w:hAnchor="page" w:x="1135" w:y="285" w:anchorLock="1"/>
    </w:pPr>
    <w:rPr>
      <w:i/>
    </w:rPr>
  </w:style>
  <w:style w:type="paragraph" w:customStyle="1" w:styleId="MiniTOCTitle">
    <w:name w:val="MiniTOCTitle"/>
    <w:basedOn w:val="Heading4"/>
    <w:rsid w:val="00F82684"/>
    <w:pPr>
      <w:spacing w:before="240"/>
      <w:outlineLvl w:val="9"/>
    </w:pPr>
    <w:rPr>
      <w:noProof/>
      <w:sz w:val="24"/>
    </w:rPr>
  </w:style>
  <w:style w:type="paragraph" w:customStyle="1" w:styleId="MiniTOCItem">
    <w:name w:val="MiniTOCItem"/>
    <w:basedOn w:val="ListBullet"/>
    <w:rsid w:val="00F82684"/>
    <w:pPr>
      <w:numPr>
        <w:numId w:val="0"/>
      </w:numPr>
      <w:tabs>
        <w:tab w:val="right" w:leader="dot" w:pos="6521"/>
      </w:tabs>
      <w:spacing w:before="0" w:after="0"/>
    </w:pPr>
  </w:style>
  <w:style w:type="paragraph" w:customStyle="1" w:styleId="TOFTitle">
    <w:name w:val="TOFTitle"/>
    <w:basedOn w:val="TOCTitle"/>
    <w:rsid w:val="00F82684"/>
  </w:style>
  <w:style w:type="paragraph" w:styleId="TableofFigures">
    <w:name w:val="table of figures"/>
    <w:basedOn w:val="Normal"/>
    <w:next w:val="Normal"/>
    <w:semiHidden/>
    <w:rsid w:val="00F82684"/>
    <w:pPr>
      <w:tabs>
        <w:tab w:val="right" w:leader="dot" w:pos="9072"/>
      </w:tabs>
      <w:ind w:left="970" w:hanging="403"/>
    </w:pPr>
    <w:rPr>
      <w:rFonts w:ascii="Times New Roman" w:hAnsi="Times New Roman"/>
      <w:b/>
    </w:rPr>
  </w:style>
  <w:style w:type="paragraph" w:styleId="ListNumber">
    <w:name w:val="List Number"/>
    <w:basedOn w:val="List"/>
    <w:rsid w:val="00F82684"/>
    <w:pPr>
      <w:numPr>
        <w:numId w:val="11"/>
      </w:numPr>
    </w:pPr>
  </w:style>
  <w:style w:type="character" w:customStyle="1" w:styleId="WingdingSymbols">
    <w:name w:val="Wingding Symbols"/>
    <w:rsid w:val="00F82684"/>
    <w:rPr>
      <w:rFonts w:ascii="Wingdings" w:hAnsi="Wingdings"/>
    </w:rPr>
  </w:style>
  <w:style w:type="paragraph" w:customStyle="1" w:styleId="TableHeading">
    <w:name w:val="Table Heading"/>
    <w:basedOn w:val="HeadingBase"/>
    <w:rsid w:val="00F82684"/>
    <w:pPr>
      <w:keepLines/>
      <w:pBdr>
        <w:bottom w:val="single" w:sz="6" w:space="1" w:color="918585"/>
      </w:pBdr>
      <w:spacing w:before="240"/>
    </w:pPr>
  </w:style>
  <w:style w:type="character" w:customStyle="1" w:styleId="HotSpot">
    <w:name w:val="HotSpot"/>
    <w:rsid w:val="00F82684"/>
    <w:rPr>
      <w:color w:val="0033CC"/>
      <w:u w:val="none"/>
    </w:rPr>
  </w:style>
  <w:style w:type="paragraph" w:customStyle="1" w:styleId="BodyTextRight">
    <w:name w:val="Body Text Right"/>
    <w:basedOn w:val="BodyText"/>
    <w:rsid w:val="00F82684"/>
    <w:pPr>
      <w:spacing w:before="0" w:after="0"/>
      <w:jc w:val="right"/>
    </w:pPr>
  </w:style>
  <w:style w:type="paragraph" w:styleId="Index3">
    <w:name w:val="index 3"/>
    <w:basedOn w:val="ListNumber2"/>
    <w:next w:val="Normal"/>
    <w:semiHidden/>
    <w:rsid w:val="00F82684"/>
    <w:pPr>
      <w:numPr>
        <w:numId w:val="0"/>
      </w:numPr>
      <w:tabs>
        <w:tab w:val="right" w:leader="dot" w:pos="4176"/>
      </w:tabs>
    </w:pPr>
  </w:style>
  <w:style w:type="paragraph" w:styleId="ListNumber2">
    <w:name w:val="List Number 2"/>
    <w:basedOn w:val="List2"/>
    <w:rsid w:val="00F82684"/>
    <w:pPr>
      <w:numPr>
        <w:numId w:val="10"/>
      </w:numPr>
      <w:tabs>
        <w:tab w:val="clear" w:pos="1060"/>
      </w:tabs>
    </w:pPr>
  </w:style>
  <w:style w:type="paragraph" w:customStyle="1" w:styleId="MarginNote">
    <w:name w:val="Margin Note"/>
    <w:basedOn w:val="BodyText"/>
    <w:rsid w:val="00F826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6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6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684"/>
    <w:rPr>
      <w:sz w:val="32"/>
    </w:rPr>
  </w:style>
  <w:style w:type="paragraph" w:customStyle="1" w:styleId="HeadingProcedure">
    <w:name w:val="Heading Procedure"/>
    <w:basedOn w:val="HeadingBase"/>
    <w:next w:val="Normal"/>
    <w:rsid w:val="00F82684"/>
    <w:pPr>
      <w:tabs>
        <w:tab w:val="left" w:pos="0"/>
      </w:tabs>
      <w:spacing w:before="120" w:after="60"/>
    </w:pPr>
    <w:rPr>
      <w:i/>
      <w:color w:val="918585"/>
      <w:sz w:val="22"/>
    </w:rPr>
  </w:style>
  <w:style w:type="paragraph" w:customStyle="1" w:styleId="TableBodyText">
    <w:name w:val="Table Body Text"/>
    <w:basedOn w:val="BodyText"/>
    <w:rsid w:val="00F82684"/>
    <w:pPr>
      <w:spacing w:before="60" w:after="60"/>
    </w:pPr>
  </w:style>
  <w:style w:type="paragraph" w:styleId="ListContinue">
    <w:name w:val="List Continue"/>
    <w:basedOn w:val="List"/>
    <w:rsid w:val="00F82684"/>
    <w:pPr>
      <w:ind w:firstLine="0"/>
    </w:pPr>
  </w:style>
  <w:style w:type="paragraph" w:customStyle="1" w:styleId="ListNote">
    <w:name w:val="List Note"/>
    <w:basedOn w:val="List"/>
    <w:rsid w:val="00F82684"/>
    <w:pPr>
      <w:pBdr>
        <w:top w:val="single" w:sz="6" w:space="2" w:color="918585"/>
        <w:bottom w:val="single" w:sz="6" w:space="2" w:color="918585"/>
      </w:pBdr>
      <w:tabs>
        <w:tab w:val="left" w:pos="1021"/>
      </w:tabs>
      <w:ind w:firstLine="0"/>
    </w:pPr>
  </w:style>
  <w:style w:type="paragraph" w:customStyle="1" w:styleId="Warning">
    <w:name w:val="Warning"/>
    <w:basedOn w:val="BodyText"/>
    <w:rsid w:val="00F82684"/>
    <w:pPr>
      <w:shd w:val="clear" w:color="auto" w:fill="D9D9D9"/>
      <w:tabs>
        <w:tab w:val="left" w:pos="992"/>
      </w:tabs>
      <w:ind w:left="119" w:right="119"/>
    </w:pPr>
    <w:rPr>
      <w:sz w:val="20"/>
    </w:rPr>
  </w:style>
  <w:style w:type="paragraph" w:customStyle="1" w:styleId="MarginIcons">
    <w:name w:val="Margin Icons"/>
    <w:basedOn w:val="BodyText"/>
    <w:rsid w:val="00F826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684"/>
    <w:rPr>
      <w:rFonts w:ascii="Courier New" w:hAnsi="Courier New"/>
    </w:rPr>
  </w:style>
  <w:style w:type="paragraph" w:customStyle="1" w:styleId="NoteBullet">
    <w:name w:val="Note Bullet"/>
    <w:basedOn w:val="Note"/>
    <w:rsid w:val="00F82684"/>
    <w:pPr>
      <w:tabs>
        <w:tab w:val="clear" w:pos="680"/>
      </w:tabs>
      <w:spacing w:before="60" w:after="60"/>
    </w:pPr>
  </w:style>
  <w:style w:type="paragraph" w:customStyle="1" w:styleId="SubHeading2">
    <w:name w:val="SubHeading2"/>
    <w:basedOn w:val="HeadingBase"/>
    <w:rsid w:val="00F82684"/>
    <w:pPr>
      <w:spacing w:before="240" w:after="60"/>
    </w:pPr>
    <w:rPr>
      <w:sz w:val="20"/>
    </w:rPr>
  </w:style>
  <w:style w:type="paragraph" w:customStyle="1" w:styleId="SubHeading1">
    <w:name w:val="SubHeading1"/>
    <w:basedOn w:val="HeadingBase"/>
    <w:rsid w:val="00F82684"/>
    <w:pPr>
      <w:spacing w:before="240" w:after="60"/>
    </w:pPr>
    <w:rPr>
      <w:color w:val="918585"/>
      <w:sz w:val="22"/>
    </w:rPr>
  </w:style>
  <w:style w:type="paragraph" w:customStyle="1" w:styleId="SideHeading">
    <w:name w:val="Side Heading"/>
    <w:basedOn w:val="HeadingBase"/>
    <w:rsid w:val="00F826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684"/>
    <w:pPr>
      <w:numPr>
        <w:numId w:val="12"/>
      </w:numPr>
    </w:pPr>
  </w:style>
  <w:style w:type="paragraph" w:styleId="PlainText">
    <w:name w:val="Plain Text"/>
    <w:basedOn w:val="Normal"/>
    <w:link w:val="PlainTextChar"/>
    <w:rsid w:val="00F82684"/>
    <w:rPr>
      <w:sz w:val="20"/>
    </w:rPr>
  </w:style>
  <w:style w:type="character" w:customStyle="1" w:styleId="PlainTextChar">
    <w:name w:val="Plain Text Char"/>
    <w:basedOn w:val="DefaultParagraphFont"/>
    <w:link w:val="PlainText"/>
    <w:rsid w:val="00F82684"/>
    <w:rPr>
      <w:rFonts w:ascii="Courier New" w:eastAsia="Times New Roman" w:hAnsi="Courier New" w:cs="Times New Roman"/>
      <w:sz w:val="20"/>
      <w:szCs w:val="20"/>
      <w:lang w:eastAsia="en-US"/>
    </w:rPr>
  </w:style>
  <w:style w:type="character" w:customStyle="1" w:styleId="MenuOption">
    <w:name w:val="Menu Option"/>
    <w:basedOn w:val="DefaultParagraphFont"/>
    <w:rsid w:val="00F82684"/>
    <w:rPr>
      <w:b/>
      <w:smallCaps/>
    </w:rPr>
  </w:style>
  <w:style w:type="paragraph" w:customStyle="1" w:styleId="TableListNumber">
    <w:name w:val="Table List Number"/>
    <w:basedOn w:val="ListNumber"/>
    <w:rsid w:val="00F82684"/>
    <w:pPr>
      <w:numPr>
        <w:numId w:val="0"/>
      </w:numPr>
    </w:pPr>
  </w:style>
  <w:style w:type="paragraph" w:styleId="TOC4">
    <w:name w:val="toc 4"/>
    <w:basedOn w:val="TOCBase"/>
    <w:next w:val="Normal"/>
    <w:semiHidden/>
    <w:rsid w:val="00F82684"/>
    <w:pPr>
      <w:tabs>
        <w:tab w:val="right" w:leader="dot" w:pos="9071"/>
      </w:tabs>
      <w:ind w:left="1701"/>
    </w:pPr>
  </w:style>
  <w:style w:type="paragraph" w:customStyle="1" w:styleId="ListAlpha">
    <w:name w:val="List Alpha"/>
    <w:basedOn w:val="List"/>
    <w:rsid w:val="00F82684"/>
    <w:pPr>
      <w:numPr>
        <w:numId w:val="9"/>
      </w:numPr>
    </w:pPr>
  </w:style>
  <w:style w:type="paragraph" w:customStyle="1" w:styleId="ListAlpha2">
    <w:name w:val="List Alpha 2"/>
    <w:basedOn w:val="List2"/>
    <w:rsid w:val="00F82684"/>
    <w:pPr>
      <w:numPr>
        <w:numId w:val="8"/>
      </w:numPr>
    </w:pPr>
  </w:style>
  <w:style w:type="paragraph" w:styleId="List2">
    <w:name w:val="List 2"/>
    <w:basedOn w:val="BodyText"/>
    <w:rsid w:val="00F82684"/>
    <w:pPr>
      <w:tabs>
        <w:tab w:val="left" w:pos="680"/>
      </w:tabs>
      <w:spacing w:before="60" w:after="60"/>
      <w:ind w:left="680" w:hanging="340"/>
    </w:pPr>
  </w:style>
  <w:style w:type="paragraph" w:styleId="List3">
    <w:name w:val="List 3"/>
    <w:basedOn w:val="BodyText"/>
    <w:rsid w:val="00F82684"/>
    <w:pPr>
      <w:tabs>
        <w:tab w:val="left" w:pos="1021"/>
      </w:tabs>
      <w:spacing w:before="60" w:after="60"/>
      <w:ind w:left="1020" w:hanging="340"/>
    </w:pPr>
  </w:style>
  <w:style w:type="paragraph" w:styleId="List4">
    <w:name w:val="List 4"/>
    <w:basedOn w:val="BodyText"/>
    <w:rsid w:val="00F82684"/>
    <w:pPr>
      <w:tabs>
        <w:tab w:val="left" w:pos="1361"/>
      </w:tabs>
      <w:spacing w:before="60" w:after="60"/>
      <w:ind w:left="1361" w:hanging="340"/>
    </w:pPr>
  </w:style>
  <w:style w:type="paragraph" w:styleId="List5">
    <w:name w:val="List 5"/>
    <w:basedOn w:val="BodyText"/>
    <w:rsid w:val="00F82684"/>
    <w:pPr>
      <w:tabs>
        <w:tab w:val="left" w:pos="1701"/>
      </w:tabs>
      <w:spacing w:before="60" w:after="60"/>
      <w:ind w:left="1701" w:hanging="340"/>
    </w:pPr>
  </w:style>
  <w:style w:type="paragraph" w:styleId="ListBullet3">
    <w:name w:val="List Bullet 3"/>
    <w:basedOn w:val="List3"/>
    <w:rsid w:val="00F82684"/>
    <w:pPr>
      <w:numPr>
        <w:numId w:val="15"/>
      </w:numPr>
      <w:tabs>
        <w:tab w:val="clear" w:pos="1021"/>
      </w:tabs>
      <w:ind w:left="1037" w:hanging="357"/>
    </w:pPr>
  </w:style>
  <w:style w:type="paragraph" w:styleId="ListBullet4">
    <w:name w:val="List Bullet 4"/>
    <w:basedOn w:val="List4"/>
    <w:rsid w:val="00F82684"/>
    <w:pPr>
      <w:numPr>
        <w:numId w:val="3"/>
      </w:numPr>
    </w:pPr>
  </w:style>
  <w:style w:type="paragraph" w:styleId="ListBullet5">
    <w:name w:val="List Bullet 5"/>
    <w:basedOn w:val="List5"/>
    <w:rsid w:val="00F82684"/>
    <w:pPr>
      <w:numPr>
        <w:numId w:val="4"/>
      </w:numPr>
    </w:pPr>
  </w:style>
  <w:style w:type="paragraph" w:styleId="ListContinue2">
    <w:name w:val="List Continue 2"/>
    <w:basedOn w:val="List2"/>
    <w:rsid w:val="00F82684"/>
    <w:pPr>
      <w:ind w:firstLine="0"/>
    </w:pPr>
  </w:style>
  <w:style w:type="paragraph" w:styleId="ListContinue3">
    <w:name w:val="List Continue 3"/>
    <w:basedOn w:val="List3"/>
    <w:rsid w:val="00F82684"/>
    <w:pPr>
      <w:ind w:left="1021" w:firstLine="0"/>
    </w:pPr>
  </w:style>
  <w:style w:type="paragraph" w:styleId="ListContinue4">
    <w:name w:val="List Continue 4"/>
    <w:basedOn w:val="List4"/>
    <w:rsid w:val="00F82684"/>
    <w:pPr>
      <w:ind w:firstLine="0"/>
    </w:pPr>
  </w:style>
  <w:style w:type="paragraph" w:styleId="ListContinue5">
    <w:name w:val="List Continue 5"/>
    <w:basedOn w:val="List5"/>
    <w:rsid w:val="00F82684"/>
    <w:pPr>
      <w:ind w:firstLine="0"/>
    </w:pPr>
  </w:style>
  <w:style w:type="paragraph" w:styleId="ListNumber3">
    <w:name w:val="List Number 3"/>
    <w:basedOn w:val="List3"/>
    <w:rsid w:val="00F82684"/>
    <w:pPr>
      <w:numPr>
        <w:numId w:val="5"/>
      </w:numPr>
    </w:pPr>
  </w:style>
  <w:style w:type="paragraph" w:styleId="ListNumber4">
    <w:name w:val="List Number 4"/>
    <w:basedOn w:val="List4"/>
    <w:rsid w:val="00F82684"/>
    <w:pPr>
      <w:numPr>
        <w:numId w:val="6"/>
      </w:numPr>
    </w:pPr>
  </w:style>
  <w:style w:type="paragraph" w:styleId="ListNumber5">
    <w:name w:val="List Number 5"/>
    <w:basedOn w:val="List5"/>
    <w:rsid w:val="00F82684"/>
    <w:pPr>
      <w:numPr>
        <w:numId w:val="7"/>
      </w:numPr>
    </w:pPr>
  </w:style>
  <w:style w:type="paragraph" w:styleId="BlockText">
    <w:name w:val="Block Text"/>
    <w:basedOn w:val="Normal"/>
    <w:rsid w:val="00F82684"/>
    <w:pPr>
      <w:spacing w:after="120"/>
      <w:ind w:left="1440" w:right="1440"/>
    </w:pPr>
  </w:style>
  <w:style w:type="character" w:customStyle="1" w:styleId="Subscript">
    <w:name w:val="Subscript"/>
    <w:basedOn w:val="DefaultParagraphFont"/>
    <w:rsid w:val="00F82684"/>
    <w:rPr>
      <w:sz w:val="16"/>
      <w:vertAlign w:val="subscript"/>
    </w:rPr>
  </w:style>
  <w:style w:type="character" w:customStyle="1" w:styleId="Superscript">
    <w:name w:val="Superscript"/>
    <w:basedOn w:val="DefaultParagraphFont"/>
    <w:rsid w:val="00F82684"/>
    <w:rPr>
      <w:sz w:val="16"/>
      <w:vertAlign w:val="superscript"/>
    </w:rPr>
  </w:style>
  <w:style w:type="character" w:customStyle="1" w:styleId="Symbols">
    <w:name w:val="Symbols"/>
    <w:basedOn w:val="DefaultParagraphFont"/>
    <w:rsid w:val="00F82684"/>
    <w:rPr>
      <w:rFonts w:ascii="Symbol" w:hAnsi="Symbol"/>
    </w:rPr>
  </w:style>
  <w:style w:type="character" w:customStyle="1" w:styleId="MenuOptions">
    <w:name w:val="Menu Options"/>
    <w:basedOn w:val="DefaultParagraphFont"/>
    <w:rsid w:val="00F82684"/>
    <w:rPr>
      <w:rFonts w:ascii="Arial Narrow" w:hAnsi="Arial Narrow"/>
      <w:smallCaps/>
    </w:rPr>
  </w:style>
  <w:style w:type="character" w:customStyle="1" w:styleId="Buttons">
    <w:name w:val="Buttons"/>
    <w:basedOn w:val="DefaultParagraphFont"/>
    <w:rsid w:val="00F82684"/>
    <w:rPr>
      <w:b/>
    </w:rPr>
  </w:style>
  <w:style w:type="character" w:customStyle="1" w:styleId="Underlined">
    <w:name w:val="Underlined"/>
    <w:basedOn w:val="DefaultParagraphFont"/>
    <w:rsid w:val="00F82684"/>
    <w:rPr>
      <w:u w:val="single"/>
    </w:rPr>
  </w:style>
  <w:style w:type="paragraph" w:customStyle="1" w:styleId="TableBodyTextRight">
    <w:name w:val="Table Body Text Right"/>
    <w:basedOn w:val="TableBodyText"/>
    <w:rsid w:val="00F82684"/>
    <w:pPr>
      <w:widowControl w:val="0"/>
      <w:autoSpaceDE w:val="0"/>
      <w:autoSpaceDN w:val="0"/>
      <w:adjustRightInd w:val="0"/>
      <w:jc w:val="right"/>
    </w:pPr>
    <w:rPr>
      <w:rFonts w:cs="Arial"/>
      <w:szCs w:val="18"/>
    </w:rPr>
  </w:style>
  <w:style w:type="paragraph" w:customStyle="1" w:styleId="CopyrightText">
    <w:name w:val="Copyright Text"/>
    <w:basedOn w:val="BodyText"/>
    <w:rsid w:val="00F82684"/>
    <w:rPr>
      <w:sz w:val="18"/>
    </w:rPr>
  </w:style>
  <w:style w:type="paragraph" w:customStyle="1" w:styleId="BodySmallRight">
    <w:name w:val="Body Small Right"/>
    <w:basedOn w:val="BodyTextRight"/>
    <w:rsid w:val="00F82684"/>
    <w:rPr>
      <w:sz w:val="18"/>
      <w:szCs w:val="18"/>
    </w:rPr>
  </w:style>
  <w:style w:type="paragraph" w:customStyle="1" w:styleId="MarginEdition">
    <w:name w:val="Margin Edition"/>
    <w:basedOn w:val="MarginNote"/>
    <w:rsid w:val="00F82684"/>
    <w:pPr>
      <w:spacing w:before="0" w:after="0"/>
    </w:pPr>
    <w:rPr>
      <w:rFonts w:ascii="Times New Roman" w:hAnsi="Times New Roman"/>
      <w:color w:val="999999"/>
    </w:rPr>
  </w:style>
  <w:style w:type="paragraph" w:customStyle="1" w:styleId="Spacer">
    <w:name w:val="Spacer"/>
    <w:basedOn w:val="Normal"/>
    <w:rsid w:val="00F82684"/>
    <w:rPr>
      <w:sz w:val="2"/>
      <w:szCs w:val="2"/>
    </w:rPr>
  </w:style>
  <w:style w:type="character" w:customStyle="1" w:styleId="Small">
    <w:name w:val="Small"/>
    <w:basedOn w:val="DefaultParagraphFont"/>
    <w:rsid w:val="00F82684"/>
    <w:rPr>
      <w:sz w:val="16"/>
    </w:rPr>
  </w:style>
  <w:style w:type="paragraph" w:customStyle="1" w:styleId="WideTable">
    <w:name w:val="Wide Table"/>
    <w:basedOn w:val="Normal"/>
    <w:rsid w:val="00F82684"/>
    <w:pPr>
      <w:ind w:left="-1418"/>
    </w:pPr>
    <w:rPr>
      <w:sz w:val="2"/>
      <w:szCs w:val="2"/>
    </w:rPr>
  </w:style>
  <w:style w:type="character" w:styleId="PageNumber">
    <w:name w:val="page number"/>
    <w:basedOn w:val="DefaultParagraphFont"/>
    <w:rsid w:val="00F82684"/>
  </w:style>
  <w:style w:type="paragraph" w:styleId="Quote">
    <w:name w:val="Quote"/>
    <w:basedOn w:val="Heading1"/>
    <w:link w:val="QuoteChar"/>
    <w:qFormat/>
    <w:rsid w:val="00F82684"/>
    <w:rPr>
      <w:b w:val="0"/>
      <w:sz w:val="72"/>
      <w:szCs w:val="72"/>
      <w:lang w:val="en-NZ"/>
    </w:rPr>
  </w:style>
  <w:style w:type="character" w:customStyle="1" w:styleId="QuoteChar">
    <w:name w:val="Quote Char"/>
    <w:basedOn w:val="DefaultParagraphFont"/>
    <w:link w:val="Quote"/>
    <w:rsid w:val="00F826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684"/>
    <w:pPr>
      <w:pageBreakBefore/>
    </w:pPr>
  </w:style>
  <w:style w:type="paragraph" w:customStyle="1" w:styleId="Border">
    <w:name w:val="Border"/>
    <w:basedOn w:val="Normal"/>
    <w:qFormat/>
    <w:rsid w:val="00F826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684"/>
    <w:rPr>
      <w:b/>
      <w:bCs/>
      <w:i/>
      <w:iCs/>
      <w:color w:val="auto"/>
    </w:rPr>
  </w:style>
  <w:style w:type="paragraph" w:styleId="IntenseQuote">
    <w:name w:val="Intense Quote"/>
    <w:basedOn w:val="Normal"/>
    <w:next w:val="Normal"/>
    <w:link w:val="IntenseQuoteChar"/>
    <w:uiPriority w:val="30"/>
    <w:qFormat/>
    <w:rsid w:val="00F826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6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684"/>
    <w:rPr>
      <w:smallCaps/>
      <w:color w:val="auto"/>
      <w:u w:val="single"/>
    </w:rPr>
  </w:style>
  <w:style w:type="character" w:styleId="IntenseReference">
    <w:name w:val="Intense Reference"/>
    <w:basedOn w:val="DefaultParagraphFont"/>
    <w:uiPriority w:val="32"/>
    <w:qFormat/>
    <w:rsid w:val="00F82684"/>
    <w:rPr>
      <w:b/>
      <w:bCs/>
      <w:smallCaps/>
      <w:color w:val="auto"/>
      <w:spacing w:val="5"/>
      <w:u w:val="single"/>
    </w:rPr>
  </w:style>
  <w:style w:type="paragraph" w:customStyle="1" w:styleId="2ColumnHeading">
    <w:name w:val="2Column Heading"/>
    <w:basedOn w:val="BodyText"/>
    <w:qFormat/>
    <w:rsid w:val="00F82684"/>
    <w:pPr>
      <w:spacing w:after="60"/>
      <w:ind w:left="-2268"/>
    </w:pPr>
    <w:rPr>
      <w:b/>
    </w:rPr>
  </w:style>
  <w:style w:type="paragraph" w:customStyle="1" w:styleId="Heading1TOC">
    <w:name w:val="Heading1 TOC"/>
    <w:basedOn w:val="Normal"/>
    <w:qFormat/>
    <w:rsid w:val="00F82684"/>
    <w:pPr>
      <w:spacing w:before="240" w:after="120"/>
    </w:pPr>
    <w:rPr>
      <w:rFonts w:ascii="Times New Roman" w:hAnsi="Times New Roman"/>
      <w:b/>
      <w:sz w:val="32"/>
    </w:rPr>
  </w:style>
  <w:style w:type="paragraph" w:customStyle="1" w:styleId="Heading2TOC">
    <w:name w:val="Heading2 TOC"/>
    <w:basedOn w:val="Normal"/>
    <w:qFormat/>
    <w:rsid w:val="00F82684"/>
    <w:pPr>
      <w:spacing w:before="240" w:after="60"/>
    </w:pPr>
    <w:rPr>
      <w:rFonts w:ascii="Times New Roman" w:hAnsi="Times New Roman"/>
      <w:b/>
      <w:sz w:val="28"/>
    </w:rPr>
  </w:style>
  <w:style w:type="character" w:customStyle="1" w:styleId="Underline">
    <w:name w:val="Underline"/>
    <w:basedOn w:val="DefaultParagraphFont"/>
    <w:qFormat/>
    <w:rsid w:val="00F82684"/>
    <w:rPr>
      <w:u w:val="single"/>
    </w:rPr>
  </w:style>
  <w:style w:type="character" w:customStyle="1" w:styleId="BoldandItalics">
    <w:name w:val="Bold and Italics"/>
    <w:qFormat/>
    <w:rsid w:val="00F82684"/>
    <w:rPr>
      <w:b/>
      <w:i/>
      <w:u w:val="none"/>
    </w:rPr>
  </w:style>
  <w:style w:type="paragraph" w:styleId="BalloonText">
    <w:name w:val="Balloon Text"/>
    <w:basedOn w:val="Normal"/>
    <w:link w:val="BalloonTextChar"/>
    <w:rsid w:val="00F82684"/>
    <w:rPr>
      <w:rFonts w:ascii="Tahoma" w:hAnsi="Tahoma" w:cs="Tahoma"/>
      <w:sz w:val="16"/>
      <w:szCs w:val="16"/>
    </w:rPr>
  </w:style>
  <w:style w:type="character" w:customStyle="1" w:styleId="BalloonTextChar">
    <w:name w:val="Balloon Text Char"/>
    <w:basedOn w:val="DefaultParagraphFont"/>
    <w:link w:val="BalloonText"/>
    <w:rsid w:val="00F826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6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26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684"/>
    <w:rPr>
      <w:b/>
      <w:color w:val="660033"/>
      <w:spacing w:val="0"/>
    </w:rPr>
  </w:style>
  <w:style w:type="paragraph" w:customStyle="1" w:styleId="Nameditemlist">
    <w:name w:val="Named item list"/>
    <w:basedOn w:val="BodyText"/>
    <w:qFormat/>
    <w:rsid w:val="00F826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2927</Words>
  <Characters>17679</Characters>
  <Application>Microsoft Office Word</Application>
  <DocSecurity>0</DocSecurity>
  <Lines>564</Lines>
  <Paragraphs>300</Paragraphs>
  <ScaleCrop>false</ScaleCrop>
  <Company>Author-it Software Corporation Ltd.</Company>
  <LinksUpToDate>false</LinksUpToDate>
  <CharactersWithSpaces>20492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UEENEEG101A Solve problems in electromagnetic devices and related circuits</dc:title>
  <dc:subject>Approved</dc:subject>
  <dc:creator>E-OZ Training Standards</dc:creator>
  <cp:keywords>Release: 3</cp:keywords>
  <dc:description>Review Date: 12 April 2008</dc:description>
  <cp:lastModifiedBy>TPCMS</cp:lastModifiedBy>
  <cp:revision>3</cp:revision>
  <dcterms:created xsi:type="dcterms:W3CDTF">2013-08-14T07:21:00Z</dcterms:created>
  <dcterms:modified xsi:type="dcterms:W3CDTF">2013-08-14T07:21:00Z</dcterms:modified>
</cp:coreProperties>
</file>