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6339" w:rsidP="008F6339">
      <w:pPr>
        <w:pStyle w:val="Title"/>
      </w:pPr>
      <w:r>
        <w:fldChar w:fldCharType="begin"/>
      </w:r>
      <w:r>
        <w:instrText xml:space="preserve"> TITLE   \* MERGEFORMAT </w:instrText>
      </w:r>
      <w:r>
        <w:fldChar w:fldCharType="separate"/>
      </w:r>
      <w:r>
        <w:t>UEENEEG076A Install and replace low voltage current transformer metering</w:t>
      </w:r>
      <w:r>
        <w:fldChar w:fldCharType="end"/>
      </w:r>
    </w:p>
    <w:p w:rsidR="008F6339" w:rsidP="008F6339">
      <w:pPr>
        <w:pStyle w:val="Version"/>
        <w:sectPr w:rsidSect="00A636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63676" w:rsidP="00A63676">
      <w:pPr>
        <w:pStyle w:val="SuperHeading"/>
      </w:pPr>
      <w:r w:rsidRPr="00A63676">
        <w:t>UEENEEG076A Install and replace low voltage current transformer metering</w:t>
      </w:r>
    </w:p>
    <w:p w:rsidR="00000000" w:rsidRPr="00A63676" w:rsidP="00A63676">
      <w:pPr>
        <w:pStyle w:val="Heading1"/>
      </w:pPr>
      <w:bookmarkStart w:id="1" w:name="O_584888"/>
      <w:bookmarkEnd w:id="1"/>
      <w:r w:rsidRPr="00A63676">
        <w:t>Modification History</w:t>
      </w:r>
    </w:p>
    <w:p w:rsidR="00000000" w:rsidRPr="00A63676" w:rsidP="00A63676">
      <w:pPr>
        <w:pStyle w:val="BodyText"/>
      </w:pPr>
      <w:r w:rsidRPr="00A63676">
        <w:t>Not Applicable</w:t>
      </w:r>
    </w:p>
    <w:p w:rsidR="00000000" w:rsidRPr="00A63676" w:rsidP="00A63676">
      <w:pPr>
        <w:pStyle w:val="AllowPageBreak"/>
      </w:pPr>
    </w:p>
    <w:p w:rsidR="00000000" w:rsidRPr="00A63676" w:rsidP="00A63676">
      <w:pPr>
        <w:pStyle w:val="Heading1"/>
      </w:pPr>
      <w:bookmarkStart w:id="2" w:name="O_584887"/>
      <w:bookmarkEnd w:id="2"/>
      <w:r w:rsidRPr="00A63676">
        <w:t>Unit Descriptor</w:t>
      </w:r>
    </w:p>
    <w:tbl>
      <w:tblPr>
        <w:tblW w:w="0" w:type="auto"/>
        <w:tblLayout w:type="fixed"/>
        <w:tblCellMar>
          <w:left w:w="62" w:type="dxa"/>
          <w:right w:w="62" w:type="dxa"/>
        </w:tblCellMar>
        <w:tblLook w:val="0000"/>
      </w:tblPr>
      <w:tblGrid>
        <w:gridCol w:w="2700"/>
        <w:gridCol w:w="5760"/>
      </w:tblGrid>
      <w:tr w:rsidTr="008F633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3676" w:rsidP="00A63676">
            <w:pPr>
              <w:pStyle w:val="BodyText"/>
            </w:pPr>
            <w:r w:rsidRPr="00A6367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63676" w:rsidP="00A63676">
            <w:pPr>
              <w:pStyle w:val="BodyText"/>
            </w:pPr>
            <w:r w:rsidRPr="00A63676">
              <w:rPr>
                <w:rStyle w:val="SpecialBold"/>
              </w:rPr>
              <w:t>1</w:t>
            </w:r>
            <w:r w:rsidRPr="00A63676">
              <w:t xml:space="preserve">) </w:t>
            </w:r>
          </w:p>
          <w:p w:rsidR="00000000" w:rsidP="00A63676">
            <w:pPr>
              <w:pStyle w:val="BodyText"/>
              <w:rPr>
                <w:lang w:val="en-NZ"/>
              </w:rPr>
            </w:pPr>
            <w:r w:rsidRPr="00A63676">
              <w:rPr>
                <w:rStyle w:val="SpecialBold"/>
              </w:rPr>
              <w:t>1</w:t>
            </w:r>
            <w:r w:rsidRPr="00A63676">
              <w:t>.</w:t>
            </w:r>
            <w:r w:rsidRPr="00A63676">
              <w:rPr>
                <w:rStyle w:val="SpecialBold"/>
              </w:rPr>
              <w:t>1</w:t>
            </w:r>
            <w:r w:rsidRPr="00A63676">
              <w:t xml:space="preserve">) </w:t>
            </w:r>
            <w:r w:rsidRPr="00A63676">
              <w:rPr>
                <w:rStyle w:val="SpecialBold"/>
              </w:rPr>
              <w:t>Descriptor</w:t>
            </w:r>
          </w:p>
        </w:tc>
      </w:tr>
      <w:tr w:rsidTr="008F63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3676" w:rsidP="00A63676">
            <w:pPr>
              <w:pStyle w:val="BodyText"/>
            </w:pPr>
            <w:r w:rsidRPr="00A63676">
              <w:t>This unit covers the installation and/or replacement of low voltage CT metering for measurement of energy use by consumers under choice of supplier arrangement. It encompasses working safely and to installation and set up standards, evaluating the integrit</w:t>
            </w:r>
            <w:r w:rsidRPr="00A63676">
              <w:t>y of metering wiring and earthing systems, fixing metering, making power and communication connections, setting meter parameters and completing the necessary documentation.</w:t>
            </w:r>
          </w:p>
        </w:tc>
      </w:tr>
    </w:tbl>
    <w:p w:rsidR="008F6339" w:rsidP="00A63676">
      <w:pPr>
        <w:pStyle w:val="BodyText"/>
      </w:pPr>
    </w:p>
    <w:p w:rsidR="008F6339" w:rsidP="00A63676">
      <w:pPr>
        <w:pStyle w:val="BodyText"/>
      </w:pPr>
    </w:p>
    <w:p w:rsidR="00000000" w:rsidRPr="00A63676" w:rsidP="00A63676">
      <w:pPr>
        <w:pStyle w:val="Heading1"/>
      </w:pPr>
      <w:bookmarkStart w:id="3" w:name="O_584886"/>
      <w:bookmarkEnd w:id="3"/>
      <w:r w:rsidRPr="00A63676">
        <w:t>Application of the Unit</w:t>
      </w:r>
    </w:p>
    <w:tbl>
      <w:tblPr>
        <w:tblW w:w="0" w:type="auto"/>
        <w:tblLayout w:type="fixed"/>
        <w:tblCellMar>
          <w:left w:w="62" w:type="dxa"/>
          <w:right w:w="62" w:type="dxa"/>
        </w:tblCellMar>
        <w:tblLook w:val="0000"/>
      </w:tblPr>
      <w:tblGrid>
        <w:gridCol w:w="2700"/>
        <w:gridCol w:w="5760"/>
      </w:tblGrid>
      <w:tr w:rsidTr="008F633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3676" w:rsidP="00A63676">
            <w:pPr>
              <w:pStyle w:val="BodyText"/>
            </w:pPr>
            <w:r w:rsidRPr="00A6367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rPr>
                <w:rStyle w:val="SpecialBold"/>
              </w:rPr>
              <w:t>4</w:t>
            </w:r>
            <w:r w:rsidRPr="00A63676">
              <w:t>)</w:t>
            </w:r>
          </w:p>
        </w:tc>
      </w:tr>
      <w:tr w:rsidTr="008F63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3676" w:rsidP="00A63676">
            <w:pPr>
              <w:pStyle w:val="BodyText"/>
            </w:pPr>
            <w:r w:rsidRPr="00A63676">
              <w:t>This unit is intended as an additional competency to relevant competencies previously acquired. It is suitable for employment-based programs under an approved contract of training at the aligned AQF 4 level or higher.</w:t>
            </w:r>
          </w:p>
        </w:tc>
      </w:tr>
    </w:tbl>
    <w:p w:rsidR="008F6339" w:rsidP="00A63676">
      <w:pPr>
        <w:pStyle w:val="BodyText"/>
      </w:pPr>
    </w:p>
    <w:p w:rsidR="008F6339" w:rsidP="00A63676">
      <w:pPr>
        <w:pStyle w:val="BodyText"/>
      </w:pPr>
    </w:p>
    <w:p w:rsidR="00000000" w:rsidRPr="00A63676" w:rsidP="00A63676">
      <w:pPr>
        <w:pStyle w:val="Heading1"/>
      </w:pPr>
      <w:bookmarkStart w:id="4" w:name="O_584885"/>
      <w:bookmarkEnd w:id="4"/>
      <w:r w:rsidRPr="00A63676">
        <w:t>Licensing/Regulato</w:t>
      </w:r>
      <w:r w:rsidRPr="00A63676">
        <w:t>ry Information</w:t>
      </w:r>
    </w:p>
    <w:tbl>
      <w:tblPr>
        <w:tblW w:w="0" w:type="auto"/>
        <w:tblLayout w:type="fixed"/>
        <w:tblCellMar>
          <w:left w:w="62" w:type="dxa"/>
          <w:right w:w="62" w:type="dxa"/>
        </w:tblCellMar>
        <w:tblLook w:val="0000"/>
      </w:tblPr>
      <w:tblGrid>
        <w:gridCol w:w="8460"/>
      </w:tblGrid>
      <w:tr w:rsidTr="008F633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rPr>
                <w:rStyle w:val="SpecialBold"/>
              </w:rPr>
              <w:t>1</w:t>
            </w:r>
            <w:r w:rsidRPr="00A63676">
              <w:t>.</w:t>
            </w:r>
            <w:r w:rsidRPr="00A63676">
              <w:rPr>
                <w:rStyle w:val="SpecialBold"/>
              </w:rPr>
              <w:t>2</w:t>
            </w:r>
            <w:r w:rsidRPr="00A63676">
              <w:t xml:space="preserve">) </w:t>
            </w:r>
            <w:r w:rsidRPr="00A63676">
              <w:rPr>
                <w:rStyle w:val="SpecialBold"/>
              </w:rPr>
              <w:t>License to practice</w:t>
            </w:r>
          </w:p>
        </w:tc>
      </w:tr>
      <w:tr w:rsidTr="008F63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63676" w:rsidP="00A63676">
            <w:pPr>
              <w:pStyle w:val="BodyText"/>
            </w:pPr>
          </w:p>
          <w:p w:rsidR="00000000" w:rsidRPr="00A63676" w:rsidP="00A63676">
            <w:pPr>
              <w:pStyle w:val="BodyText"/>
            </w:pPr>
            <w:r w:rsidRPr="00A63676">
              <w:t xml:space="preserve">The skills and knowledge described in this unit require a license to practice in the workplace subject to regulations for undertaking of electrical work. </w:t>
            </w:r>
          </w:p>
          <w:p w:rsidR="00000000" w:rsidRPr="00A63676" w:rsidP="00A63676">
            <w:pPr>
              <w:pStyle w:val="BodyText"/>
            </w:pPr>
            <w:r w:rsidRPr="00A63676">
              <w:t xml:space="preserve">Practice in workplace and </w:t>
            </w:r>
            <w:r w:rsidRPr="00A63676">
              <w:t>during training is also subject to regulations directly related to occupational health and safety and where applicable, contracts of training such as apprenticeships.</w:t>
            </w:r>
          </w:p>
          <w:p w:rsidR="00000000" w:rsidRPr="00A63676" w:rsidP="00A63676">
            <w:pPr>
              <w:pStyle w:val="BodyText"/>
            </w:pPr>
          </w:p>
          <w:p w:rsidR="00000000" w:rsidRPr="00A63676" w:rsidP="00A63676">
            <w:pPr>
              <w:pStyle w:val="BodyText"/>
            </w:pPr>
            <w:r w:rsidRPr="00A63676">
              <w:t>Note.</w:t>
            </w:r>
            <w:r w:rsidRPr="00A63676">
              <w:br/>
              <w:t xml:space="preserve">Competency requirements to be granted a license to carry out installations, fault </w:t>
            </w:r>
            <w:r w:rsidRPr="00A63676">
              <w:t>finding, repair or maintenance on low voltage electrical installations is incorporated in unit UEENEEG105A and all prerequisite units it specifies</w:t>
            </w:r>
          </w:p>
        </w:tc>
      </w:tr>
    </w:tbl>
    <w:p w:rsidR="008F6339" w:rsidP="00A63676">
      <w:pPr>
        <w:pStyle w:val="BodyText"/>
      </w:pPr>
    </w:p>
    <w:p w:rsidR="008F6339" w:rsidP="00A63676">
      <w:pPr>
        <w:pStyle w:val="BodyText"/>
      </w:pPr>
    </w:p>
    <w:p w:rsidR="00000000" w:rsidRPr="00A63676" w:rsidP="00A63676">
      <w:pPr>
        <w:pStyle w:val="Heading1"/>
      </w:pPr>
      <w:bookmarkStart w:id="5" w:name="O_584884"/>
      <w:bookmarkEnd w:id="5"/>
      <w:r w:rsidRPr="00A63676">
        <w:t>Pre-Requisites</w:t>
      </w:r>
    </w:p>
    <w:tbl>
      <w:tblPr>
        <w:tblW w:w="0" w:type="auto"/>
        <w:tblLayout w:type="fixed"/>
        <w:tblCellMar>
          <w:left w:w="62" w:type="dxa"/>
          <w:right w:w="62" w:type="dxa"/>
        </w:tblCellMar>
        <w:tblLook w:val="0000"/>
      </w:tblPr>
      <w:tblGrid>
        <w:gridCol w:w="2700"/>
        <w:gridCol w:w="1620"/>
        <w:gridCol w:w="4140"/>
      </w:tblGrid>
      <w:tr w:rsidTr="008F633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3676" w:rsidP="00A63676">
            <w:pPr>
              <w:pStyle w:val="BodyText"/>
            </w:pPr>
            <w:r w:rsidRPr="00A63676">
              <w:rPr>
                <w:rStyle w:val="SpecialBold"/>
              </w:rPr>
              <w:t>Prerequisite Unit</w:t>
            </w:r>
            <w:r w:rsidRPr="00A63676">
              <w:t>(</w:t>
            </w:r>
            <w:r w:rsidRPr="00A63676">
              <w:rPr>
                <w:rStyle w:val="SpecialBold"/>
              </w:rPr>
              <w:t>s</w:t>
            </w:r>
            <w:r w:rsidRPr="00A63676">
              <w:t>)</w:t>
            </w:r>
          </w:p>
        </w:tc>
        <w:tc>
          <w:tcPr>
            <w:tcW w:w="5760" w:type="dxa"/>
            <w:gridSpan w:val="2"/>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rPr>
                <w:rStyle w:val="SpecialBold"/>
              </w:rPr>
              <w:t>2</w:t>
            </w:r>
            <w:r w:rsidRPr="00A63676">
              <w:t xml:space="preserve">) </w:t>
            </w:r>
          </w:p>
        </w:tc>
      </w:tr>
      <w:tr w:rsidTr="008F63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63676">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rPr>
                <w:rStyle w:val="SpecialBold"/>
              </w:rPr>
              <w:t>2</w:t>
            </w:r>
            <w:r w:rsidRPr="00A63676">
              <w:t>.</w:t>
            </w:r>
            <w:r w:rsidRPr="00A63676">
              <w:rPr>
                <w:rStyle w:val="SpecialBold"/>
              </w:rPr>
              <w:t>1</w:t>
            </w:r>
            <w:r w:rsidRPr="00A63676">
              <w:t xml:space="preserve">) </w:t>
            </w:r>
            <w:r w:rsidRPr="00A63676">
              <w:rPr>
                <w:rStyle w:val="SpecialBold"/>
              </w:rPr>
              <w:t>Competencies</w:t>
            </w:r>
          </w:p>
        </w:tc>
      </w:tr>
      <w:tr w:rsidTr="008F63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A63676" w:rsidP="00A63676">
            <w:pPr>
              <w:pStyle w:val="BodyText"/>
            </w:pPr>
            <w:r w:rsidRPr="00A63676">
              <w:t>Granting competency in this unit shall be made only after competency in the following unit(s) has/have been confirmed.</w:t>
            </w:r>
          </w:p>
          <w:p w:rsidR="00000000" w:rsidRPr="00A63676" w:rsidP="00A63676">
            <w:pPr>
              <w:pStyle w:val="BodyText"/>
            </w:pPr>
            <w:r w:rsidRPr="00A63676">
              <w:t>Note: Those holding an 'Unrestricted Electrician's Licence' or equivalent issued in an Australian State or Territory meet the pre-requisi</w:t>
            </w:r>
            <w:r w:rsidRPr="00A63676">
              <w:t>te requirements of this unit.</w:t>
            </w:r>
          </w:p>
          <w:p w:rsidR="00000000" w:rsidP="00A63676">
            <w:pPr>
              <w:pStyle w:val="BodyText"/>
              <w:rPr>
                <w:lang w:val="en-NZ"/>
              </w:rPr>
            </w:pPr>
          </w:p>
        </w:tc>
      </w:tr>
      <w:tr w:rsidTr="008F6339">
        <w:tblPrEx>
          <w:tblW w:w="0" w:type="auto"/>
          <w:tblLayout w:type="fixed"/>
          <w:tblCellMar>
            <w:left w:w="62" w:type="dxa"/>
            <w:right w:w="62" w:type="dxa"/>
          </w:tblCellMar>
          <w:tblLook w:val="0000"/>
        </w:tblPrEx>
        <w:trPr>
          <w:trHeight w:val="52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UEENEEE101A</w:t>
            </w:r>
          </w:p>
        </w:tc>
        <w:tc>
          <w:tcPr>
            <w:tcW w:w="414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Apply Occupational Health and Safety regulations, codes and practices in the workplace</w:t>
            </w:r>
          </w:p>
        </w:tc>
      </w:tr>
      <w:tr w:rsidTr="008F63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UEENEEE102A</w:t>
            </w:r>
          </w:p>
        </w:tc>
        <w:tc>
          <w:tcPr>
            <w:tcW w:w="414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Fabricate, dismantle, assemble of electrotechnology components</w:t>
            </w:r>
          </w:p>
        </w:tc>
      </w:tr>
      <w:tr w:rsidTr="008F63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UEENEEE104A</w:t>
            </w:r>
          </w:p>
        </w:tc>
        <w:tc>
          <w:tcPr>
            <w:tcW w:w="414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Solve problems in d.c circuits</w:t>
            </w:r>
          </w:p>
        </w:tc>
      </w:tr>
      <w:tr w:rsidTr="008F63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UEENEEE105A</w:t>
            </w:r>
          </w:p>
        </w:tc>
        <w:tc>
          <w:tcPr>
            <w:tcW w:w="414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Fix and secure electrotechnology equipment</w:t>
            </w:r>
          </w:p>
        </w:tc>
      </w:tr>
      <w:tr w:rsidTr="008F63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UEENEEE107A</w:t>
            </w:r>
          </w:p>
        </w:tc>
        <w:tc>
          <w:tcPr>
            <w:tcW w:w="414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Use drawings, diagrams, schedules, standards, codes and specifications</w:t>
            </w:r>
          </w:p>
        </w:tc>
      </w:tr>
      <w:tr w:rsidTr="008F63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UEENEEE137A</w:t>
            </w:r>
          </w:p>
        </w:tc>
        <w:tc>
          <w:tcPr>
            <w:tcW w:w="414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Document and apply measures to control OHS risks associated with electrotechnology work</w:t>
            </w:r>
          </w:p>
        </w:tc>
      </w:tr>
      <w:tr w:rsidTr="008F63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UEENEEG006A</w:t>
            </w:r>
          </w:p>
        </w:tc>
        <w:tc>
          <w:tcPr>
            <w:tcW w:w="414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Solve problems in single and three phase low voltage machines</w:t>
            </w:r>
          </w:p>
        </w:tc>
      </w:tr>
      <w:tr w:rsidTr="008F63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UEENEEG033A</w:t>
            </w:r>
          </w:p>
        </w:tc>
        <w:tc>
          <w:tcPr>
            <w:tcW w:w="414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Solve problems in single and three phase electrical apparatus and circuits</w:t>
            </w:r>
          </w:p>
        </w:tc>
      </w:tr>
      <w:tr w:rsidTr="008F63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UEENEEG063A</w:t>
            </w:r>
          </w:p>
        </w:tc>
        <w:tc>
          <w:tcPr>
            <w:tcW w:w="414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Arrange circuits, control and protection for general electrical installations</w:t>
            </w:r>
          </w:p>
        </w:tc>
      </w:tr>
      <w:tr w:rsidTr="008F63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UEENEEG101</w:t>
            </w:r>
            <w:r w:rsidRPr="00A63676">
              <w:t>A</w:t>
            </w:r>
          </w:p>
        </w:tc>
        <w:tc>
          <w:tcPr>
            <w:tcW w:w="414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Solve problems in electromagnetic devices and related circuits</w:t>
            </w:r>
          </w:p>
        </w:tc>
      </w:tr>
      <w:tr w:rsidTr="008F63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UEENEEG102A</w:t>
            </w:r>
          </w:p>
        </w:tc>
        <w:tc>
          <w:tcPr>
            <w:tcW w:w="414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Solve problems in low voltage a.c. circuit</w:t>
            </w:r>
          </w:p>
        </w:tc>
      </w:tr>
      <w:tr w:rsidTr="008F63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UEENEEG103A</w:t>
            </w:r>
          </w:p>
        </w:tc>
        <w:tc>
          <w:tcPr>
            <w:tcW w:w="414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Install low voltage wiring and accessories</w:t>
            </w:r>
          </w:p>
        </w:tc>
      </w:tr>
      <w:tr w:rsidTr="008F6339">
        <w:tblPrEx>
          <w:tblW w:w="0" w:type="auto"/>
          <w:tblLayout w:type="fixed"/>
          <w:tblCellMar>
            <w:left w:w="62" w:type="dxa"/>
            <w:right w:w="62" w:type="dxa"/>
          </w:tblCellMar>
          <w:tblLook w:val="0000"/>
        </w:tblPrEx>
        <w:trPr>
          <w:trHeight w:val="46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UEENEEG104A</w:t>
            </w:r>
          </w:p>
        </w:tc>
        <w:tc>
          <w:tcPr>
            <w:tcW w:w="414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Install appliances, switchgear and associated accessories for low voltage electrical installations</w:t>
            </w:r>
          </w:p>
        </w:tc>
      </w:tr>
      <w:tr w:rsidTr="008F63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UEENEEG106A</w:t>
            </w:r>
          </w:p>
        </w:tc>
        <w:tc>
          <w:tcPr>
            <w:tcW w:w="414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Terminate cables, cords and accessories for low voltage circuits</w:t>
            </w:r>
          </w:p>
        </w:tc>
      </w:tr>
      <w:tr w:rsidTr="008F63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UEENEEG107A</w:t>
            </w:r>
          </w:p>
        </w:tc>
        <w:tc>
          <w:tcPr>
            <w:tcW w:w="414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Select wiring systems and cables for low voltage general electrical installations</w:t>
            </w:r>
          </w:p>
        </w:tc>
      </w:tr>
      <w:tr w:rsidTr="008F63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UEENEEG108A</w:t>
            </w:r>
          </w:p>
        </w:tc>
        <w:tc>
          <w:tcPr>
            <w:tcW w:w="414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Trouble-shoot and repair faults in low voltage electrical apparatus and circuits</w:t>
            </w:r>
          </w:p>
        </w:tc>
      </w:tr>
      <w:tr w:rsidTr="008F63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UEENEEG109A</w:t>
            </w:r>
          </w:p>
        </w:tc>
        <w:tc>
          <w:tcPr>
            <w:tcW w:w="414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Develop and connect electrical control circuits</w:t>
            </w:r>
          </w:p>
        </w:tc>
      </w:tr>
      <w:tr w:rsidTr="008F63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 xml:space="preserve">UEENEEG105A </w:t>
            </w:r>
          </w:p>
        </w:tc>
        <w:tc>
          <w:tcPr>
            <w:tcW w:w="4140" w:type="dxa"/>
            <w:tcBorders>
              <w:top w:val="nil"/>
              <w:left w:val="nil"/>
              <w:bottom w:val="nil"/>
              <w:right w:val="nil"/>
            </w:tcBorders>
            <w:tcMar>
              <w:top w:w="0" w:type="dxa"/>
              <w:left w:w="62" w:type="dxa"/>
              <w:bottom w:w="0" w:type="dxa"/>
              <w:right w:w="62" w:type="dxa"/>
            </w:tcMar>
          </w:tcPr>
          <w:p w:rsidR="00000000" w:rsidRPr="00A63676" w:rsidP="00A63676">
            <w:pPr>
              <w:pStyle w:val="BodyText"/>
            </w:pPr>
            <w:r w:rsidRPr="00A63676">
              <w:t>Ve</w:t>
            </w:r>
            <w:r w:rsidRPr="00A63676">
              <w:t>rify compliance and functionality of low voltage general electrical installations</w:t>
            </w:r>
          </w:p>
        </w:tc>
      </w:tr>
    </w:tbl>
    <w:p w:rsidR="00000000" w:rsidRPr="00A63676" w:rsidP="00A63676">
      <w:pPr>
        <w:pStyle w:val="BodyText"/>
      </w:pPr>
    </w:p>
    <w:p w:rsidR="00000000" w:rsidRPr="00A63676" w:rsidP="00A63676">
      <w:pPr>
        <w:pStyle w:val="AllowPageBreak"/>
      </w:pPr>
    </w:p>
    <w:p w:rsidR="00000000" w:rsidRPr="00A63676" w:rsidP="00A63676">
      <w:pPr>
        <w:pStyle w:val="Heading1"/>
      </w:pPr>
      <w:bookmarkStart w:id="6" w:name="O_584883"/>
      <w:bookmarkEnd w:id="6"/>
      <w:r w:rsidRPr="00A63676">
        <w:t>Employability Skills Information</w:t>
      </w:r>
    </w:p>
    <w:tbl>
      <w:tblPr>
        <w:tblW w:w="0" w:type="auto"/>
        <w:tblLayout w:type="fixed"/>
        <w:tblCellMar>
          <w:left w:w="62" w:type="dxa"/>
          <w:right w:w="62" w:type="dxa"/>
        </w:tblCellMar>
        <w:tblLook w:val="0000"/>
      </w:tblPr>
      <w:tblGrid>
        <w:gridCol w:w="2700"/>
        <w:gridCol w:w="5760"/>
      </w:tblGrid>
      <w:tr w:rsidTr="008F63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63676" w:rsidP="00A63676">
            <w:pPr>
              <w:pStyle w:val="BodyText"/>
            </w:pPr>
            <w:r w:rsidRPr="00A6367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63676" w:rsidP="00A63676">
            <w:pPr>
              <w:pStyle w:val="BodyText"/>
            </w:pPr>
            <w:r w:rsidRPr="00A63676">
              <w:rPr>
                <w:rStyle w:val="SpecialBold"/>
              </w:rPr>
              <w:t>3</w:t>
            </w:r>
            <w:r w:rsidRPr="00A63676">
              <w:t>)</w:t>
            </w:r>
          </w:p>
          <w:p w:rsidR="00000000" w:rsidRPr="00A63676" w:rsidP="00A63676">
            <w:pPr>
              <w:pStyle w:val="BodyText"/>
            </w:pPr>
            <w:r w:rsidRPr="00A63676">
              <w:t>This unit contains Employability Skills</w:t>
            </w:r>
          </w:p>
          <w:p w:rsidR="00000000" w:rsidRPr="00A63676" w:rsidP="00A63676">
            <w:pPr>
              <w:pStyle w:val="BodyText"/>
            </w:pPr>
            <w:r w:rsidRPr="00A63676">
              <w:t>The required outcomes described in this unit of competency</w:t>
            </w:r>
            <w:r w:rsidRPr="00A63676">
              <w:t xml:space="preserve"> contain applicable facets of Employability Skills. The Employability Skills Summary of the qualification in which this unit of competency is packaged will assist in identifying Employability Skill requirements.</w:t>
            </w:r>
          </w:p>
        </w:tc>
      </w:tr>
    </w:tbl>
    <w:p w:rsidR="008F6339" w:rsidP="00A63676">
      <w:pPr>
        <w:pStyle w:val="BodyText"/>
      </w:pPr>
    </w:p>
    <w:p w:rsidR="008F6339" w:rsidP="00A63676">
      <w:pPr>
        <w:pStyle w:val="BodyText"/>
      </w:pPr>
    </w:p>
    <w:p w:rsidR="00000000" w:rsidRPr="00A63676" w:rsidP="00A63676">
      <w:pPr>
        <w:pStyle w:val="Heading1"/>
      </w:pPr>
      <w:bookmarkStart w:id="7" w:name="O_584882"/>
      <w:bookmarkEnd w:id="7"/>
      <w:r w:rsidRPr="00A63676">
        <w:t>Elements and Performance Criteria Pre-Content</w:t>
      </w:r>
    </w:p>
    <w:tbl>
      <w:tblPr>
        <w:tblW w:w="0" w:type="auto"/>
        <w:tblLayout w:type="fixed"/>
        <w:tblCellMar>
          <w:left w:w="62" w:type="dxa"/>
          <w:right w:w="62" w:type="dxa"/>
        </w:tblCellMar>
        <w:tblLook w:val="0000"/>
      </w:tblPr>
      <w:tblGrid>
        <w:gridCol w:w="2127"/>
        <w:gridCol w:w="6378"/>
      </w:tblGrid>
      <w:tr w:rsidTr="008F6339">
        <w:tblPrEx>
          <w:tblW w:w="0" w:type="auto"/>
          <w:tblLayout w:type="fixed"/>
          <w:tblCellMar>
            <w:left w:w="62" w:type="dxa"/>
            <w:right w:w="62" w:type="dxa"/>
          </w:tblCellMar>
          <w:tblLook w:val="0000"/>
        </w:tblPrEx>
        <w:tc>
          <w:tcPr>
            <w:tcW w:w="2127"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rPr>
                <w:rStyle w:val="SpecialBold"/>
              </w:rPr>
              <w:t>6</w:t>
            </w:r>
            <w:r w:rsidRPr="00A63676">
              <w:t>) Elements describe the essential outcomes of a unit of competency</w:t>
            </w:r>
          </w:p>
        </w:tc>
        <w:tc>
          <w:tcPr>
            <w:tcW w:w="6378" w:type="dxa"/>
            <w:tcBorders>
              <w:top w:val="nil"/>
              <w:left w:val="nil"/>
              <w:bottom w:val="nil"/>
              <w:right w:val="nil"/>
            </w:tcBorders>
            <w:tcMar>
              <w:top w:w="0" w:type="dxa"/>
              <w:left w:w="62" w:type="dxa"/>
              <w:bottom w:w="0" w:type="dxa"/>
              <w:right w:w="62" w:type="dxa"/>
            </w:tcMar>
          </w:tcPr>
          <w:p w:rsidR="00000000" w:rsidRPr="00A63676" w:rsidP="00A63676">
            <w:pPr>
              <w:pStyle w:val="BodyText"/>
            </w:pPr>
            <w:r w:rsidRPr="00A63676">
              <w:t>Performance criteria describe the required performance needed to demonstrate achievement of the Element. Assessment of performance is to be co</w:t>
            </w:r>
            <w:r w:rsidRPr="00A63676">
              <w:t>nsistent with the evidence guide.</w:t>
            </w:r>
          </w:p>
        </w:tc>
      </w:tr>
    </w:tbl>
    <w:p w:rsidR="00000000" w:rsidRPr="00A63676" w:rsidP="00A63676">
      <w:pPr>
        <w:pStyle w:val="BodyText"/>
      </w:pPr>
    </w:p>
    <w:p w:rsidR="00000000" w:rsidRPr="00A63676" w:rsidP="00A63676">
      <w:pPr>
        <w:pStyle w:val="AllowPageBreak"/>
      </w:pPr>
    </w:p>
    <w:p w:rsidR="00000000" w:rsidRPr="00A63676" w:rsidP="00A63676">
      <w:pPr>
        <w:pStyle w:val="Heading1"/>
      </w:pPr>
      <w:bookmarkStart w:id="8" w:name="O_584881"/>
      <w:bookmarkEnd w:id="8"/>
      <w:r w:rsidRPr="00A63676">
        <w:t>Elements and Performance Criteria</w:t>
      </w:r>
    </w:p>
    <w:tbl>
      <w:tblPr>
        <w:tblW w:w="0" w:type="auto"/>
        <w:tblLayout w:type="fixed"/>
        <w:tblCellMar>
          <w:left w:w="62" w:type="dxa"/>
          <w:right w:w="62" w:type="dxa"/>
        </w:tblCellMar>
        <w:tblLook w:val="0000"/>
      </w:tblPr>
      <w:tblGrid>
        <w:gridCol w:w="360"/>
        <w:gridCol w:w="1767"/>
        <w:gridCol w:w="708"/>
        <w:gridCol w:w="5670"/>
      </w:tblGrid>
      <w:tr w:rsidTr="008F6339">
        <w:tblPrEx>
          <w:tblW w:w="0" w:type="auto"/>
          <w:tblLayout w:type="fixed"/>
          <w:tblCellMar>
            <w:left w:w="62" w:type="dxa"/>
            <w:right w:w="62" w:type="dxa"/>
          </w:tblCellMar>
          <w:tblLook w:val="0000"/>
        </w:tblPrEx>
        <w:trPr>
          <w:tblHeader/>
        </w:trPr>
        <w:tc>
          <w:tcPr>
            <w:tcW w:w="2127" w:type="dxa"/>
            <w:gridSpan w:val="2"/>
            <w:tcBorders>
              <w:top w:val="nil"/>
              <w:left w:val="nil"/>
              <w:bottom w:val="nil"/>
              <w:right w:val="nil"/>
            </w:tcBorders>
            <w:tcMar>
              <w:top w:w="0" w:type="dxa"/>
              <w:left w:w="62" w:type="dxa"/>
              <w:bottom w:w="0" w:type="dxa"/>
              <w:right w:w="62" w:type="dxa"/>
            </w:tcMar>
          </w:tcPr>
          <w:p w:rsidR="00000000" w:rsidRPr="00A63676" w:rsidP="00A63676">
            <w:pPr>
              <w:pStyle w:val="BodyText"/>
            </w:pPr>
            <w:r w:rsidRPr="00A63676">
              <w:rPr>
                <w:rStyle w:val="SpecialBold"/>
              </w:rPr>
              <w:t>ELEMENT</w:t>
            </w:r>
          </w:p>
        </w:tc>
        <w:tc>
          <w:tcPr>
            <w:tcW w:w="6378" w:type="dxa"/>
            <w:gridSpan w:val="2"/>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rPr>
                <w:rStyle w:val="SpecialBold"/>
              </w:rPr>
              <w:t>PERFORMANCE CRITERIA</w:t>
            </w:r>
          </w:p>
        </w:tc>
      </w:tr>
      <w:tr w:rsidTr="008F633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1</w:t>
            </w:r>
          </w:p>
        </w:tc>
        <w:tc>
          <w:tcPr>
            <w:tcW w:w="1767" w:type="dxa"/>
            <w:vMerge w:val="restart"/>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Prepare to install or replace CT energy metering.</w:t>
            </w:r>
          </w:p>
        </w:tc>
        <w:tc>
          <w:tcPr>
            <w:tcW w:w="708"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1.1</w:t>
            </w:r>
          </w:p>
        </w:tc>
        <w:tc>
          <w:tcPr>
            <w:tcW w:w="567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 xml:space="preserve">OHS procedures for a given work area are identified, obtained and understood. </w:t>
            </w:r>
          </w:p>
        </w:tc>
      </w:tr>
      <w:tr w:rsidTr="008F633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1.2</w:t>
            </w:r>
          </w:p>
        </w:tc>
        <w:tc>
          <w:tcPr>
            <w:tcW w:w="567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Health and safety risks are identified and established risk control measures and procedures in preparation for the work are followed.</w:t>
            </w:r>
          </w:p>
        </w:tc>
      </w:tr>
      <w:tr w:rsidTr="008F633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1.3</w:t>
            </w:r>
          </w:p>
        </w:tc>
        <w:tc>
          <w:tcPr>
            <w:tcW w:w="567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 xml:space="preserve">Safety hazards that have not previously been identified are noted and established risk control measures are implemented. (Note 1: Examples of hazards likely to be encountered are asbestos reinforced switchboard panels, deteriorating switchgear and cabling </w:t>
            </w:r>
            <w:r w:rsidRPr="00A63676">
              <w:t>and location of the switchboard.)</w:t>
            </w:r>
          </w:p>
        </w:tc>
      </w:tr>
      <w:tr w:rsidTr="008F633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1.4</w:t>
            </w:r>
          </w:p>
        </w:tc>
        <w:tc>
          <w:tcPr>
            <w:tcW w:w="567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Switchboard on which the meter(s)/CTs is/are to be installed is inspected and evaluated for compliance with safety and functionality standards. (Note 2: Safety and functionality standards include the clear identific</w:t>
            </w:r>
            <w:r w:rsidRPr="00A63676">
              <w:t>ation of switchboard components and their function, sound electrical insulation of wiring and components, sound MEN and main earth connections, fire integrity and access.)</w:t>
            </w:r>
          </w:p>
        </w:tc>
      </w:tr>
      <w:tr w:rsidTr="008F633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1.5</w:t>
            </w:r>
          </w:p>
        </w:tc>
        <w:tc>
          <w:tcPr>
            <w:tcW w:w="567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Approval to rectify safety and/or functionality defects of the switchboard is</w:t>
            </w:r>
            <w:r w:rsidRPr="00A63676">
              <w:t xml:space="preserve"> sought from person of higher authority in accordance with established procedures.</w:t>
            </w:r>
          </w:p>
        </w:tc>
      </w:tr>
      <w:tr w:rsidTr="008F633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1.6</w:t>
            </w:r>
          </w:p>
        </w:tc>
        <w:tc>
          <w:tcPr>
            <w:tcW w:w="567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 xml:space="preserve">Installation of the meter and rectification work is prepared in consultation with others affected by the work and sequenced appropriately. </w:t>
            </w:r>
          </w:p>
        </w:tc>
      </w:tr>
      <w:tr w:rsidTr="008F633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1.7</w:t>
            </w:r>
          </w:p>
        </w:tc>
        <w:tc>
          <w:tcPr>
            <w:tcW w:w="567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Material needed for the work is obtained in accordance with established procedures and checked against job requirements.</w:t>
            </w:r>
          </w:p>
        </w:tc>
      </w:tr>
      <w:tr w:rsidTr="008F633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1.8</w:t>
            </w:r>
          </w:p>
        </w:tc>
        <w:tc>
          <w:tcPr>
            <w:tcW w:w="567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Tools, equipment and testing devices needed to for the work are obtained in accordance with established procedures and checked f</w:t>
            </w:r>
            <w:r w:rsidRPr="00A63676">
              <w:t>or correct operation and safety.</w:t>
            </w:r>
          </w:p>
        </w:tc>
      </w:tr>
      <w:tr w:rsidTr="008F633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2</w:t>
            </w:r>
          </w:p>
        </w:tc>
        <w:tc>
          <w:tcPr>
            <w:tcW w:w="1767" w:type="dxa"/>
            <w:vMerge w:val="restart"/>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Install or replace CT metering.</w:t>
            </w:r>
          </w:p>
        </w:tc>
        <w:tc>
          <w:tcPr>
            <w:tcW w:w="708"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2.1</w:t>
            </w:r>
          </w:p>
        </w:tc>
        <w:tc>
          <w:tcPr>
            <w:tcW w:w="567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OHS risk control measures and procedures for carrying out the work are followed.</w:t>
            </w:r>
          </w:p>
        </w:tc>
      </w:tr>
      <w:tr w:rsidTr="008F633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2.2</w:t>
            </w:r>
          </w:p>
        </w:tc>
        <w:tc>
          <w:tcPr>
            <w:tcW w:w="567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The need to test or measure live is determined in strict accordance with OHS requirements and when necessary conducted within established safety procedures.</w:t>
            </w:r>
          </w:p>
        </w:tc>
      </w:tr>
      <w:tr w:rsidTr="008F633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2.3</w:t>
            </w:r>
          </w:p>
        </w:tc>
        <w:tc>
          <w:tcPr>
            <w:tcW w:w="567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Existing metering is checked as being isolated in strict accordance OHS requirements and pro</w:t>
            </w:r>
            <w:r w:rsidRPr="00A63676">
              <w:t>cedures.</w:t>
            </w:r>
          </w:p>
        </w:tc>
      </w:tr>
      <w:tr w:rsidTr="008F633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2.4</w:t>
            </w:r>
          </w:p>
        </w:tc>
        <w:tc>
          <w:tcPr>
            <w:tcW w:w="567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Approved rectification work is carried out to comply with standards and in accordance with established procedures.</w:t>
            </w:r>
          </w:p>
        </w:tc>
      </w:tr>
      <w:tr w:rsidTr="008F633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2.5</w:t>
            </w:r>
          </w:p>
        </w:tc>
        <w:tc>
          <w:tcPr>
            <w:tcW w:w="567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 xml:space="preserve">Meters and CTs are installed/replaced to comply with technical standards and job specifications and requirements. </w:t>
            </w:r>
          </w:p>
        </w:tc>
      </w:tr>
      <w:tr w:rsidTr="008F633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2.6</w:t>
            </w:r>
          </w:p>
        </w:tc>
        <w:tc>
          <w:tcPr>
            <w:tcW w:w="567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 xml:space="preserve">Metering power and communication connections (where necessary) are made in accordance with manufacturer's specifications and functional and regulatory requirements. </w:t>
            </w:r>
          </w:p>
        </w:tc>
      </w:tr>
      <w:tr w:rsidTr="008F633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2.7</w:t>
            </w:r>
          </w:p>
        </w:tc>
        <w:tc>
          <w:tcPr>
            <w:tcW w:w="567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Meter operating parameters are set in accordance with manufacturer's specificat</w:t>
            </w:r>
            <w:r w:rsidRPr="00A63676">
              <w:t>ions and functional and regulatory requirements.</w:t>
            </w:r>
          </w:p>
        </w:tc>
      </w:tr>
      <w:tr w:rsidTr="008F633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2.8</w:t>
            </w:r>
          </w:p>
        </w:tc>
        <w:tc>
          <w:tcPr>
            <w:tcW w:w="567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Unexpected situations are dealt with safely and with the approval of an authorised person</w:t>
            </w:r>
          </w:p>
        </w:tc>
      </w:tr>
      <w:tr w:rsidTr="008F633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2.9</w:t>
            </w:r>
          </w:p>
        </w:tc>
        <w:tc>
          <w:tcPr>
            <w:tcW w:w="567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Ongoing checks of the quality of installed apparatus are undertaken in accordance with established procedures.</w:t>
            </w:r>
          </w:p>
        </w:tc>
      </w:tr>
      <w:tr w:rsidTr="008F633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2.10</w:t>
            </w:r>
          </w:p>
        </w:tc>
        <w:tc>
          <w:tcPr>
            <w:tcW w:w="567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Metering/CT installation is carried out efficiently without unnecessary waste of materials or damage to apparatus, circuits, the surround</w:t>
            </w:r>
            <w:r w:rsidRPr="00A63676">
              <w:t>ing environment or services and using sustainable energy principles.</w:t>
            </w:r>
          </w:p>
        </w:tc>
      </w:tr>
      <w:tr w:rsidTr="008F633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3</w:t>
            </w:r>
          </w:p>
        </w:tc>
        <w:tc>
          <w:tcPr>
            <w:tcW w:w="1767"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Complete and report metering installation activities.</w:t>
            </w:r>
          </w:p>
        </w:tc>
        <w:tc>
          <w:tcPr>
            <w:tcW w:w="708"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3.1</w:t>
            </w:r>
          </w:p>
        </w:tc>
        <w:tc>
          <w:tcPr>
            <w:tcW w:w="567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OHS work completion risk control measures and procedures are followed and supply is reinstated to the installation.</w:t>
            </w:r>
          </w:p>
        </w:tc>
      </w:tr>
      <w:tr w:rsidTr="008F633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3.2</w:t>
            </w:r>
          </w:p>
        </w:tc>
        <w:tc>
          <w:tcPr>
            <w:tcW w:w="567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Wor</w:t>
            </w:r>
            <w:r w:rsidRPr="00A63676">
              <w:t>k site is cleaned and made safe in accordance with established procedures.</w:t>
            </w:r>
          </w:p>
        </w:tc>
      </w:tr>
      <w:tr w:rsidTr="008F633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3.3</w:t>
            </w:r>
          </w:p>
        </w:tc>
        <w:tc>
          <w:tcPr>
            <w:tcW w:w="567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Final checks are made to that the installed metering and CTs conform to requirements.</w:t>
            </w:r>
          </w:p>
        </w:tc>
      </w:tr>
      <w:tr w:rsidTr="008F633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3.4</w:t>
            </w:r>
          </w:p>
        </w:tc>
        <w:tc>
          <w:tcPr>
            <w:tcW w:w="5670" w:type="dxa"/>
            <w:tcBorders>
              <w:top w:val="nil"/>
              <w:left w:val="nil"/>
              <w:bottom w:val="nil"/>
              <w:right w:val="nil"/>
            </w:tcBorders>
            <w:tcMar>
              <w:top w:w="0" w:type="dxa"/>
              <w:left w:w="62" w:type="dxa"/>
              <w:bottom w:w="0" w:type="dxa"/>
              <w:right w:w="62" w:type="dxa"/>
            </w:tcMar>
          </w:tcPr>
          <w:p w:rsidR="00000000" w:rsidRPr="00A63676" w:rsidP="00A63676">
            <w:pPr>
              <w:pStyle w:val="BodyText"/>
            </w:pPr>
            <w:r w:rsidRPr="00A63676">
              <w:t>'As-installed' metering and CTs and rectification work is documented and appropriate persons notified in accordance with established procedures.</w:t>
            </w:r>
          </w:p>
        </w:tc>
      </w:tr>
    </w:tbl>
    <w:p w:rsidR="008F6339" w:rsidP="00A63676">
      <w:pPr>
        <w:pStyle w:val="BodyText"/>
      </w:pPr>
    </w:p>
    <w:p w:rsidR="008F6339" w:rsidP="00A63676">
      <w:pPr>
        <w:pStyle w:val="BodyText"/>
      </w:pPr>
    </w:p>
    <w:p w:rsidR="00000000" w:rsidRPr="00A63676" w:rsidP="00A63676">
      <w:pPr>
        <w:pStyle w:val="Heading1"/>
      </w:pPr>
      <w:bookmarkStart w:id="9" w:name="O_584880"/>
      <w:bookmarkEnd w:id="9"/>
      <w:r w:rsidRPr="00A63676">
        <w:t>Required Skills and Knowledge</w:t>
      </w:r>
    </w:p>
    <w:tbl>
      <w:tblPr>
        <w:tblW w:w="0" w:type="auto"/>
        <w:tblLayout w:type="fixed"/>
        <w:tblCellMar>
          <w:left w:w="62" w:type="dxa"/>
          <w:right w:w="62" w:type="dxa"/>
        </w:tblCellMar>
        <w:tblLook w:val="0000"/>
      </w:tblPr>
      <w:tblGrid>
        <w:gridCol w:w="8505"/>
      </w:tblGrid>
      <w:tr w:rsidTr="008F6339">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rPr>
                <w:rStyle w:val="SpecialBold"/>
              </w:rPr>
              <w:t>REQUIRED SKILLS AND KNOWLEDGE</w:t>
            </w:r>
          </w:p>
        </w:tc>
      </w:tr>
      <w:tr w:rsidTr="008F633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rPr>
                <w:rStyle w:val="SpecialBold"/>
              </w:rPr>
              <w:t xml:space="preserve">7) </w:t>
            </w:r>
            <w:r w:rsidRPr="00A63676">
              <w:t>This describes the essential skills and knowledge and their level, required for this unit.</w:t>
            </w:r>
          </w:p>
        </w:tc>
      </w:tr>
      <w:tr w:rsidTr="008F633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63676" w:rsidP="00A63676">
            <w:pPr>
              <w:pStyle w:val="BodyText"/>
            </w:pPr>
            <w:r w:rsidRPr="00A63676">
              <w:t>Evidence shall show that knowledge has been acquired of safe working practices and installing and setting up interval metering.</w:t>
            </w:r>
          </w:p>
          <w:p w:rsidR="00000000" w:rsidRPr="00A63676" w:rsidP="00A63676">
            <w:pPr>
              <w:pStyle w:val="BodyText"/>
            </w:pPr>
            <w:r w:rsidRPr="00A63676">
              <w:t>All knowledge and skills detailed in</w:t>
            </w:r>
            <w:r w:rsidRPr="00A63676">
              <w:t xml:space="preserve"> this unit should be contextualised to current industry practices and technologies.</w:t>
            </w:r>
          </w:p>
          <w:p w:rsidR="00000000" w:rsidRPr="00A63676" w:rsidP="00A63676">
            <w:pPr>
              <w:pStyle w:val="BodyText"/>
            </w:pPr>
            <w:r w:rsidRPr="00A63676">
              <w:rPr>
                <w:rStyle w:val="SpecialBold"/>
              </w:rPr>
              <w:t>KS01-EG076A</w:t>
            </w:r>
            <w:r w:rsidRPr="00A63676">
              <w:rPr>
                <w:rStyle w:val="SpecialBold"/>
              </w:rPr>
              <w:tab/>
              <w:t xml:space="preserve">              Low voltage current transformer metering</w:t>
            </w:r>
          </w:p>
          <w:p w:rsidR="00000000" w:rsidRPr="00A63676" w:rsidP="00A63676">
            <w:pPr>
              <w:pStyle w:val="BodyText"/>
            </w:pPr>
            <w:r w:rsidRPr="00A63676">
              <w:t>Evidence shall show an understanding of low voltage current transformer metering to an extent indicated b</w:t>
            </w:r>
            <w:r w:rsidRPr="00A63676">
              <w:t xml:space="preserve">y the following aspects: </w:t>
            </w:r>
          </w:p>
          <w:p w:rsidR="00000000" w:rsidRPr="00A63676" w:rsidP="00A63676">
            <w:pPr>
              <w:pStyle w:val="BodyText"/>
            </w:pPr>
            <w:r w:rsidRPr="00A63676">
              <w:t>T1</w:t>
            </w:r>
            <w:r w:rsidRPr="00A63676">
              <w:tab/>
              <w:t>Current Transformers (CTs) encompassing:</w:t>
            </w:r>
          </w:p>
          <w:p w:rsidR="00000000" w:rsidRPr="00A63676" w:rsidP="00A63676">
            <w:pPr>
              <w:pStyle w:val="ListBullet"/>
            </w:pPr>
            <w:r w:rsidRPr="00A63676">
              <w:t>uses and functions</w:t>
            </w:r>
          </w:p>
          <w:p w:rsidR="00000000" w:rsidRPr="00A63676" w:rsidP="00A63676">
            <w:pPr>
              <w:pStyle w:val="ListBullet"/>
            </w:pPr>
            <w:r w:rsidRPr="00A63676">
              <w:t>AS60044.1-2007 requirements</w:t>
            </w:r>
          </w:p>
          <w:p w:rsidR="00000000" w:rsidRPr="00A63676" w:rsidP="00A63676">
            <w:pPr>
              <w:pStyle w:val="ListBullet"/>
            </w:pPr>
            <w:r w:rsidRPr="00A63676">
              <w:t>characteristics and saturation</w:t>
            </w:r>
          </w:p>
          <w:p w:rsidR="00000000" w:rsidRPr="00A63676" w:rsidP="00A63676">
            <w:pPr>
              <w:pStyle w:val="ListBullet"/>
            </w:pPr>
            <w:r w:rsidRPr="00A63676">
              <w:t>differences between metering and protection CTs</w:t>
            </w:r>
          </w:p>
          <w:p w:rsidR="00000000" w:rsidRPr="00A63676" w:rsidP="00A63676">
            <w:pPr>
              <w:pStyle w:val="ListBullet"/>
            </w:pPr>
            <w:r w:rsidRPr="00A63676">
              <w:t>standard ratios and outputs</w:t>
            </w:r>
          </w:p>
          <w:p w:rsidR="00000000" w:rsidRPr="00A63676" w:rsidP="00A63676">
            <w:pPr>
              <w:pStyle w:val="ListBullet"/>
            </w:pPr>
            <w:r w:rsidRPr="00A63676">
              <w:t>accurate range of loading</w:t>
            </w:r>
          </w:p>
          <w:p w:rsidR="00000000" w:rsidRPr="00A63676" w:rsidP="00A63676">
            <w:pPr>
              <w:pStyle w:val="ListBullet"/>
            </w:pPr>
            <w:r w:rsidRPr="00A63676">
              <w:t>thermal current limit</w:t>
            </w:r>
          </w:p>
          <w:p w:rsidR="00000000" w:rsidRPr="00A63676" w:rsidP="00A63676">
            <w:pPr>
              <w:pStyle w:val="ListBullet"/>
            </w:pPr>
            <w:r w:rsidRPr="00A63676">
              <w:t>burden and connecting cable length</w:t>
            </w:r>
          </w:p>
          <w:p w:rsidR="00000000" w:rsidRPr="00A63676" w:rsidP="00A63676">
            <w:pPr>
              <w:pStyle w:val="ListBullet"/>
            </w:pPr>
            <w:r w:rsidRPr="00A63676">
              <w:t>short circuiting secondary as a safety issue</w:t>
            </w:r>
          </w:p>
          <w:p w:rsidR="00000000" w:rsidRPr="00A63676" w:rsidP="00A63676">
            <w:pPr>
              <w:pStyle w:val="ListBullet"/>
            </w:pPr>
            <w:r w:rsidRPr="00A63676">
              <w:t xml:space="preserve">accuracy class </w:t>
            </w:r>
          </w:p>
          <w:p w:rsidR="00000000" w:rsidRPr="00A63676" w:rsidP="00A63676">
            <w:pPr>
              <w:pStyle w:val="BodyText"/>
            </w:pPr>
            <w:r w:rsidRPr="00A63676">
              <w:t>T2</w:t>
            </w:r>
            <w:r w:rsidRPr="00A63676">
              <w:tab/>
              <w:t>Revenue meter types used with CTs encompassing:</w:t>
            </w:r>
          </w:p>
          <w:p w:rsidR="00000000" w:rsidRPr="00A63676" w:rsidP="00A63676">
            <w:pPr>
              <w:pStyle w:val="BodyText"/>
            </w:pPr>
            <w:r w:rsidRPr="00A63676">
              <w:t>T3</w:t>
            </w:r>
            <w:r w:rsidRPr="00A63676">
              <w:tab/>
              <w:t>CT installations encompassing:</w:t>
            </w:r>
          </w:p>
          <w:p w:rsidR="00000000" w:rsidRPr="00A63676" w:rsidP="00A63676">
            <w:pPr>
              <w:pStyle w:val="ListBullet"/>
            </w:pPr>
            <w:r w:rsidRPr="00A63676">
              <w:t>uses in the regulated market and relevant regulation</w:t>
            </w:r>
            <w:r w:rsidRPr="00A63676">
              <w:t>s</w:t>
            </w:r>
          </w:p>
          <w:p w:rsidR="00000000" w:rsidRPr="00A63676" w:rsidP="00A63676">
            <w:pPr>
              <w:pStyle w:val="ListBullet"/>
            </w:pPr>
            <w:r w:rsidRPr="00A63676">
              <w:t>types and mounting methods</w:t>
            </w:r>
          </w:p>
          <w:p w:rsidR="00000000" w:rsidRPr="00A63676" w:rsidP="00A63676">
            <w:pPr>
              <w:pStyle w:val="ListBullet"/>
            </w:pPr>
            <w:r w:rsidRPr="00A63676">
              <w:t>switchboard layouts (various Distributors)</w:t>
            </w:r>
          </w:p>
          <w:p w:rsidR="00000000" w:rsidRPr="00A63676" w:rsidP="00A63676">
            <w:pPr>
              <w:pStyle w:val="ListBullet"/>
            </w:pPr>
            <w:r w:rsidRPr="00A63676">
              <w:t>minimum spacing of CTs</w:t>
            </w:r>
          </w:p>
          <w:p w:rsidR="00000000" w:rsidRPr="00A63676" w:rsidP="00A63676">
            <w:pPr>
              <w:pStyle w:val="ListBullet"/>
            </w:pPr>
            <w:r w:rsidRPr="00A63676">
              <w:t>connections to single and polyphase revenue meters</w:t>
            </w:r>
          </w:p>
          <w:p w:rsidR="00000000" w:rsidRPr="00A63676" w:rsidP="00A63676">
            <w:pPr>
              <w:pStyle w:val="ListBullet"/>
            </w:pPr>
            <w:r w:rsidRPr="00A63676">
              <w:t>consequence of polarity reversal in one phase of a polyphase meter</w:t>
            </w:r>
          </w:p>
        </w:tc>
      </w:tr>
    </w:tbl>
    <w:p w:rsidR="008F6339" w:rsidP="00A63676">
      <w:pPr>
        <w:pStyle w:val="BodyText"/>
      </w:pPr>
    </w:p>
    <w:p w:rsidR="008F6339" w:rsidP="00A63676">
      <w:pPr>
        <w:pStyle w:val="BodyText"/>
      </w:pPr>
    </w:p>
    <w:p w:rsidR="00000000" w:rsidRPr="00A63676" w:rsidP="00A63676">
      <w:pPr>
        <w:pStyle w:val="Heading1"/>
      </w:pPr>
      <w:bookmarkStart w:id="10" w:name="O_584879"/>
      <w:bookmarkEnd w:id="10"/>
      <w:r w:rsidRPr="00A63676">
        <w:t>Evidence Guide</w:t>
      </w:r>
    </w:p>
    <w:tbl>
      <w:tblPr>
        <w:tblW w:w="0" w:type="auto"/>
        <w:tblLayout w:type="fixed"/>
        <w:tblCellMar>
          <w:left w:w="62" w:type="dxa"/>
          <w:right w:w="62" w:type="dxa"/>
        </w:tblCellMar>
        <w:tblLook w:val="0000"/>
      </w:tblPr>
      <w:tblGrid>
        <w:gridCol w:w="1309"/>
        <w:gridCol w:w="809"/>
        <w:gridCol w:w="540"/>
        <w:gridCol w:w="5847"/>
      </w:tblGrid>
      <w:tr w:rsidTr="008F6339">
        <w:tblPrEx>
          <w:tblW w:w="0" w:type="auto"/>
          <w:tblLayout w:type="fixed"/>
          <w:tblCellMar>
            <w:left w:w="62" w:type="dxa"/>
            <w:right w:w="62" w:type="dxa"/>
          </w:tblCellMar>
          <w:tblLook w:val="0000"/>
        </w:tblPrEx>
        <w:trPr>
          <w:tblHeader/>
        </w:trPr>
        <w:tc>
          <w:tcPr>
            <w:tcW w:w="8505" w:type="dxa"/>
            <w:gridSpan w:val="4"/>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rPr>
                <w:rStyle w:val="SpecialBold"/>
              </w:rPr>
              <w:t>EVIDENCE GUIDE</w:t>
            </w:r>
          </w:p>
        </w:tc>
      </w:tr>
      <w:tr w:rsidTr="008F6339">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A63676" w:rsidP="00A63676">
            <w:pPr>
              <w:pStyle w:val="BodyText"/>
            </w:pPr>
            <w:r w:rsidRPr="00A63676">
              <w:rPr>
                <w:rStyle w:val="SpecialBold"/>
              </w:rPr>
              <w:t>9</w:t>
            </w:r>
            <w:r w:rsidRPr="00A63676">
              <w:t xml:space="preserve">) The evidence guide provides advice on assessment and must be read in conjunction with the Performance Criteria, Required Skills and Knowledge, the Range Statement and the Assessment Guidelines for this Training Package. </w:t>
            </w:r>
          </w:p>
          <w:p w:rsidR="00000000" w:rsidP="00A63676">
            <w:pPr>
              <w:pStyle w:val="BodyText"/>
              <w:rPr>
                <w:lang w:val="en-NZ"/>
              </w:rPr>
            </w:pPr>
            <w:r w:rsidRPr="00A63676">
              <w:t xml:space="preserve">The Evidence </w:t>
            </w:r>
            <w:r w:rsidRPr="00A63676">
              <w:t>Guide forms an integral part of this unit. It must be used in conjunction with all parts of this unit and performed in accordance with the Assessment Guidelines of this Training Package.</w:t>
            </w:r>
          </w:p>
        </w:tc>
      </w:tr>
      <w:tr w:rsidTr="008F6339">
        <w:tblPrEx>
          <w:tblW w:w="0" w:type="auto"/>
          <w:tblLayout w:type="fixed"/>
          <w:tblCellMar>
            <w:left w:w="62" w:type="dxa"/>
            <w:right w:w="62" w:type="dxa"/>
          </w:tblCellMar>
          <w:tblLook w:val="0000"/>
        </w:tblPrEx>
        <w:tc>
          <w:tcPr>
            <w:tcW w:w="1309" w:type="dxa"/>
            <w:tcBorders>
              <w:top w:val="nil"/>
              <w:left w:val="nil"/>
              <w:bottom w:val="nil"/>
              <w:right w:val="nil"/>
            </w:tcBorders>
            <w:tcMar>
              <w:top w:w="0" w:type="dxa"/>
              <w:left w:w="62" w:type="dxa"/>
              <w:bottom w:w="0" w:type="dxa"/>
              <w:right w:w="62" w:type="dxa"/>
            </w:tcMar>
          </w:tcPr>
          <w:p w:rsidR="00000000" w:rsidRPr="00A63676" w:rsidP="00A63676">
            <w:pPr>
              <w:pStyle w:val="BodyText"/>
            </w:pPr>
            <w:r w:rsidRPr="00A63676">
              <w:rPr>
                <w:rStyle w:val="SpecialBold"/>
              </w:rPr>
              <w:t>Overview of Assessment</w:t>
            </w:r>
          </w:p>
        </w:tc>
        <w:tc>
          <w:tcPr>
            <w:tcW w:w="7196" w:type="dxa"/>
            <w:gridSpan w:val="3"/>
            <w:tcBorders>
              <w:top w:val="nil"/>
              <w:left w:val="nil"/>
              <w:bottom w:val="nil"/>
              <w:right w:val="nil"/>
            </w:tcBorders>
            <w:tcMar>
              <w:top w:w="0" w:type="dxa"/>
              <w:left w:w="62" w:type="dxa"/>
              <w:bottom w:w="0" w:type="dxa"/>
              <w:right w:w="62" w:type="dxa"/>
            </w:tcMar>
          </w:tcPr>
          <w:p w:rsidR="00000000" w:rsidRPr="00A63676" w:rsidP="00A63676">
            <w:pPr>
              <w:pStyle w:val="BodyText"/>
            </w:pPr>
            <w:r w:rsidRPr="00A63676">
              <w:rPr>
                <w:rStyle w:val="SpecialBold"/>
              </w:rPr>
              <w:t>9</w:t>
            </w:r>
            <w:r w:rsidRPr="00A63676">
              <w:t>.</w:t>
            </w:r>
            <w:r w:rsidRPr="00A63676">
              <w:rPr>
                <w:rStyle w:val="SpecialBold"/>
              </w:rPr>
              <w:t>1</w:t>
            </w:r>
            <w:r w:rsidRPr="00A63676">
              <w:t xml:space="preserve">) </w:t>
            </w:r>
          </w:p>
          <w:p w:rsidR="00000000" w:rsidRPr="00A63676" w:rsidP="00A63676">
            <w:pPr>
              <w:pStyle w:val="BodyText"/>
            </w:pPr>
            <w:r w:rsidRPr="00A63676">
              <w:t>Longitudinal competency development approaches to assessment, such as Profiling, require data to be reliably gathered in a form that can be consistently interpreted over time. This approach is best utilised in Apprenticeship programs and reduces assessment</w:t>
            </w:r>
            <w:r w:rsidRPr="00A63676">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A63676">
              <w:t>tency in a realistically simulated work environment. It is recognised that, in some circumstances, assessment in part or full can occur outside the workplace. However, it must be in accordance with industry and regulatory policy.</w:t>
            </w:r>
          </w:p>
          <w:p w:rsidR="00000000" w:rsidRPr="00A63676" w:rsidP="00A63676">
            <w:pPr>
              <w:pStyle w:val="BodyText"/>
            </w:pPr>
            <w:r w:rsidRPr="00A63676">
              <w:t>Methods chosen for a parti</w:t>
            </w:r>
            <w:r w:rsidRPr="00A63676">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A63676">
              <w:t>the critical nature of the competencies being assessed.</w:t>
            </w:r>
          </w:p>
          <w:p w:rsidR="00000000" w:rsidRPr="00A63676" w:rsidP="00A63676">
            <w:pPr>
              <w:pStyle w:val="BodyText"/>
            </w:pPr>
            <w:r w:rsidRPr="00A63676">
              <w:t>The critical safety nature of working with electricity, electrical equipment, gas or any other hazardous substance/material carries risk in deeming a person competent. Sources of evidence need to be '</w:t>
            </w:r>
            <w:r w:rsidRPr="00A63676">
              <w:t>rich' in nature to minimise error in judgment.</w:t>
            </w:r>
          </w:p>
          <w:p w:rsidR="00000000" w:rsidP="00A63676">
            <w:pPr>
              <w:pStyle w:val="BodyText"/>
              <w:rPr>
                <w:lang w:val="en-NZ"/>
              </w:rPr>
            </w:pPr>
            <w:r w:rsidRPr="00A63676">
              <w:t xml:space="preserve">Activities associated with normal every day work have a bearing on the decision as to how much and how detailed the data gathered will contribute to its 'richness'. Some skills are more critical to safety and </w:t>
            </w:r>
            <w:r w:rsidRPr="00A63676">
              <w:t>operational requirements while the same skills may be more or less frequently practised. These points are raised for the assessors to consider when choosing an assessment method and developing assessment instruments. Sample assessment instruments are inclu</w:t>
            </w:r>
            <w:r w:rsidRPr="00A63676">
              <w:t>ded for Assessors in the Assessment Guidelines of this Training Package.</w:t>
            </w:r>
          </w:p>
        </w:tc>
      </w:tr>
      <w:tr w:rsidTr="008F6339">
        <w:tblPrEx>
          <w:tblW w:w="0" w:type="auto"/>
          <w:tblLayout w:type="fixed"/>
          <w:tblCellMar>
            <w:left w:w="62" w:type="dxa"/>
            <w:right w:w="62" w:type="dxa"/>
          </w:tblCellMar>
          <w:tblLook w:val="0000"/>
        </w:tblPrEx>
        <w:tc>
          <w:tcPr>
            <w:tcW w:w="1309" w:type="dxa"/>
            <w:vMerge w:val="restart"/>
            <w:tcBorders>
              <w:top w:val="nil"/>
              <w:left w:val="nil"/>
              <w:bottom w:val="nil"/>
              <w:right w:val="nil"/>
            </w:tcBorders>
            <w:tcMar>
              <w:top w:w="0" w:type="dxa"/>
              <w:left w:w="62" w:type="dxa"/>
              <w:bottom w:w="0" w:type="dxa"/>
              <w:right w:w="62" w:type="dxa"/>
            </w:tcMar>
          </w:tcPr>
          <w:p w:rsidR="00000000" w:rsidRPr="00A63676" w:rsidP="00A63676">
            <w:pPr>
              <w:pStyle w:val="BodyText"/>
            </w:pPr>
            <w:r w:rsidRPr="00A63676">
              <w:rPr>
                <w:rStyle w:val="SpecialBold"/>
              </w:rPr>
              <w:t xml:space="preserve">Critical aspects of evidence </w:t>
            </w:r>
            <w:r w:rsidRPr="00A63676">
              <w:rPr>
                <w:rStyle w:val="SpecialBold"/>
              </w:rPr>
              <w:t>required to demonstrate competency in this unit</w:t>
            </w:r>
          </w:p>
        </w:tc>
        <w:tc>
          <w:tcPr>
            <w:tcW w:w="7196" w:type="dxa"/>
            <w:gridSpan w:val="3"/>
            <w:tcBorders>
              <w:top w:val="nil"/>
              <w:left w:val="nil"/>
              <w:bottom w:val="nil"/>
              <w:right w:val="nil"/>
            </w:tcBorders>
            <w:tcMar>
              <w:top w:w="0" w:type="dxa"/>
              <w:left w:w="62" w:type="dxa"/>
              <w:bottom w:w="0" w:type="dxa"/>
              <w:right w:w="62" w:type="dxa"/>
            </w:tcMar>
          </w:tcPr>
          <w:p w:rsidR="00000000" w:rsidRPr="00A63676" w:rsidP="00A63676">
            <w:pPr>
              <w:pStyle w:val="BodyText"/>
            </w:pPr>
            <w:r w:rsidRPr="00A63676">
              <w:rPr>
                <w:rStyle w:val="SpecialBold"/>
              </w:rPr>
              <w:t>9</w:t>
            </w:r>
            <w:r w:rsidRPr="00A63676">
              <w:t>.</w:t>
            </w:r>
            <w:r w:rsidRPr="00A63676">
              <w:rPr>
                <w:rStyle w:val="SpecialBold"/>
              </w:rPr>
              <w:t>2</w:t>
            </w:r>
            <w:r w:rsidRPr="00A63676">
              <w:t xml:space="preserve">) </w:t>
            </w:r>
          </w:p>
          <w:p w:rsidR="00000000" w:rsidP="00A63676">
            <w:pPr>
              <w:pStyle w:val="BodyText"/>
              <w:rPr>
                <w:lang w:val="en-NZ"/>
              </w:rPr>
            </w:pPr>
            <w:r w:rsidRPr="00A63676">
              <w:t>Before the critical aspects of evidence are considered all prerequisites shall be met.</w:t>
            </w:r>
          </w:p>
        </w:tc>
      </w:tr>
      <w:tr w:rsidTr="008F6339">
        <w:tblPrEx>
          <w:tblW w:w="0" w:type="auto"/>
          <w:tblLayout w:type="fixed"/>
          <w:tblCellMar>
            <w:left w:w="62" w:type="dxa"/>
            <w:right w:w="62" w:type="dxa"/>
          </w:tblCellMar>
          <w:tblLook w:val="0000"/>
        </w:tblPrEx>
        <w:tc>
          <w:tcPr>
            <w:tcW w:w="13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6" w:type="dxa"/>
            <w:gridSpan w:val="3"/>
            <w:tcBorders>
              <w:top w:val="nil"/>
              <w:left w:val="nil"/>
              <w:bottom w:val="nil"/>
              <w:right w:val="nil"/>
            </w:tcBorders>
            <w:tcMar>
              <w:top w:w="0" w:type="dxa"/>
              <w:left w:w="62" w:type="dxa"/>
              <w:bottom w:w="0" w:type="dxa"/>
              <w:right w:w="62" w:type="dxa"/>
            </w:tcMar>
          </w:tcPr>
          <w:p w:rsidR="00000000" w:rsidRPr="00A63676" w:rsidP="00A63676">
            <w:pPr>
              <w:pStyle w:val="BodyText"/>
            </w:pPr>
            <w:r w:rsidRPr="00A63676">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A63676">
            <w:pPr>
              <w:pStyle w:val="ListBullet"/>
              <w:rPr>
                <w:lang w:val="en-NZ"/>
              </w:rPr>
            </w:pPr>
            <w:r w:rsidRPr="00A63676">
              <w:t>A representative body of work performance demonstrated within the timeframes typically expected of the discipline, work function and industrial environment. In particular this shall incorporate evidence that shows a candidate is able to:</w:t>
            </w:r>
          </w:p>
        </w:tc>
      </w:tr>
      <w:tr w:rsidTr="008F6339">
        <w:tblPrEx>
          <w:tblW w:w="0" w:type="auto"/>
          <w:tblLayout w:type="fixed"/>
          <w:tblCellMar>
            <w:left w:w="62" w:type="dxa"/>
            <w:right w:w="62" w:type="dxa"/>
          </w:tblCellMar>
          <w:tblLook w:val="0000"/>
        </w:tblPrEx>
        <w:tc>
          <w:tcPr>
            <w:tcW w:w="1309"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p>
        </w:tc>
        <w:tc>
          <w:tcPr>
            <w:tcW w:w="7196" w:type="dxa"/>
            <w:gridSpan w:val="3"/>
            <w:tcBorders>
              <w:top w:val="nil"/>
              <w:left w:val="nil"/>
              <w:bottom w:val="nil"/>
              <w:right w:val="nil"/>
            </w:tcBorders>
            <w:tcMar>
              <w:top w:w="0" w:type="dxa"/>
              <w:left w:w="62" w:type="dxa"/>
              <w:bottom w:w="0" w:type="dxa"/>
              <w:right w:w="62" w:type="dxa"/>
            </w:tcMar>
          </w:tcPr>
          <w:p w:rsidR="00000000" w:rsidRPr="00A63676" w:rsidP="00A63676">
            <w:pPr>
              <w:pStyle w:val="ListBullet2"/>
            </w:pPr>
            <w:r w:rsidRPr="00A63676">
              <w:t>Implement Occupational Health and Safety workplace procedures and practices including the use of risk control measures as specified in the performance criteria and range statement</w:t>
            </w:r>
          </w:p>
          <w:p w:rsidR="00000000" w:rsidRPr="00A63676" w:rsidP="00A63676">
            <w:pPr>
              <w:pStyle w:val="ListBullet2"/>
            </w:pPr>
            <w:r w:rsidRPr="00A63676">
              <w:t>Apply sustainable energy principles and practices as specified in the perfor</w:t>
            </w:r>
            <w:r w:rsidRPr="00A63676">
              <w:t>mance criteria and range statement</w:t>
            </w:r>
          </w:p>
          <w:p w:rsidR="00000000" w:rsidRPr="00A63676" w:rsidP="00A63676">
            <w:pPr>
              <w:pStyle w:val="ListBullet2"/>
            </w:pPr>
            <w:r w:rsidRPr="00A63676">
              <w:t>Demonstrate an understanding of the essential knowledge and associated skills as described in this unit.  It may be required by some jurisdictions that RTOs provide a percentile graded result for the purpose of regulatory</w:t>
            </w:r>
            <w:r w:rsidRPr="00A63676">
              <w:t xml:space="preserve"> or licensing requirements.   </w:t>
            </w:r>
          </w:p>
          <w:p w:rsidR="00000000" w:rsidRPr="00A63676" w:rsidP="00A63676">
            <w:pPr>
              <w:pStyle w:val="ListBullet2"/>
            </w:pPr>
            <w:r w:rsidRPr="00A63676">
              <w:t>Demonstrate an appropriate level of skills enabling employment</w:t>
            </w:r>
          </w:p>
          <w:p w:rsidR="00000000" w:rsidP="00A63676">
            <w:pPr>
              <w:pStyle w:val="ListBullet2"/>
              <w:rPr>
                <w:lang w:val="en-NZ"/>
              </w:rPr>
            </w:pPr>
            <w:r w:rsidRPr="00A63676">
              <w:t>Conduct work observing the relevant Anti Discrimination legislation, regulations, polices and workplace procedures</w:t>
            </w:r>
          </w:p>
        </w:tc>
      </w:tr>
      <w:tr w:rsidTr="008F6339">
        <w:tblPrEx>
          <w:tblW w:w="0" w:type="auto"/>
          <w:tblLayout w:type="fixed"/>
          <w:tblCellMar>
            <w:left w:w="62" w:type="dxa"/>
            <w:right w:w="62" w:type="dxa"/>
          </w:tblCellMar>
          <w:tblLook w:val="0000"/>
        </w:tblPrEx>
        <w:tc>
          <w:tcPr>
            <w:tcW w:w="1309"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p>
        </w:tc>
        <w:tc>
          <w:tcPr>
            <w:tcW w:w="7196" w:type="dxa"/>
            <w:gridSpan w:val="3"/>
            <w:tcBorders>
              <w:top w:val="nil"/>
              <w:left w:val="nil"/>
              <w:bottom w:val="nil"/>
              <w:right w:val="nil"/>
            </w:tcBorders>
            <w:tcMar>
              <w:top w:w="0" w:type="dxa"/>
              <w:left w:w="62" w:type="dxa"/>
              <w:bottom w:w="0" w:type="dxa"/>
              <w:right w:w="62" w:type="dxa"/>
            </w:tcMar>
          </w:tcPr>
          <w:p w:rsidR="00000000" w:rsidP="00A63676">
            <w:pPr>
              <w:pStyle w:val="ListBullet"/>
              <w:rPr>
                <w:lang w:val="en-NZ"/>
              </w:rPr>
            </w:pPr>
            <w:r w:rsidRPr="00A63676">
              <w:t>Demonstrated consistent performance across</w:t>
            </w:r>
            <w:r w:rsidRPr="00A63676">
              <w:t xml:space="preserve"> a representative range of contexts from the prescribed items below:</w:t>
            </w:r>
          </w:p>
        </w:tc>
      </w:tr>
      <w:tr w:rsidTr="008F6339">
        <w:tblPrEx>
          <w:tblW w:w="0" w:type="auto"/>
          <w:tblLayout w:type="fixed"/>
          <w:tblCellMar>
            <w:left w:w="62" w:type="dxa"/>
            <w:right w:w="62" w:type="dxa"/>
          </w:tblCellMar>
          <w:tblLook w:val="0000"/>
        </w:tblPrEx>
        <w:tc>
          <w:tcPr>
            <w:tcW w:w="1309"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p>
        </w:tc>
        <w:tc>
          <w:tcPr>
            <w:tcW w:w="7196" w:type="dxa"/>
            <w:gridSpan w:val="3"/>
            <w:tcBorders>
              <w:top w:val="nil"/>
              <w:left w:val="nil"/>
              <w:bottom w:val="nil"/>
              <w:right w:val="nil"/>
            </w:tcBorders>
            <w:tcMar>
              <w:top w:w="0" w:type="dxa"/>
              <w:left w:w="62" w:type="dxa"/>
              <w:bottom w:w="0" w:type="dxa"/>
              <w:right w:w="62" w:type="dxa"/>
            </w:tcMar>
          </w:tcPr>
          <w:p w:rsidR="00000000" w:rsidP="00A63676">
            <w:pPr>
              <w:pStyle w:val="ListBullet2"/>
              <w:rPr>
                <w:lang w:val="en-NZ"/>
              </w:rPr>
            </w:pPr>
            <w:r w:rsidRPr="00A63676">
              <w:t>Install /replace low voltage CT metering as described in 8) and including:</w:t>
            </w:r>
          </w:p>
        </w:tc>
      </w:tr>
      <w:tr w:rsidTr="008F6339">
        <w:tblPrEx>
          <w:tblW w:w="0" w:type="auto"/>
          <w:tblLayout w:type="fixed"/>
          <w:tblCellMar>
            <w:left w:w="62" w:type="dxa"/>
            <w:right w:w="62" w:type="dxa"/>
          </w:tblCellMar>
          <w:tblLook w:val="0000"/>
        </w:tblPrEx>
        <w:tc>
          <w:tcPr>
            <w:tcW w:w="1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A</w:t>
            </w:r>
          </w:p>
        </w:tc>
        <w:tc>
          <w:tcPr>
            <w:tcW w:w="5847"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Inspecting and evaluating safety and functionality compliance of the switchboard accurately.</w:t>
            </w:r>
          </w:p>
        </w:tc>
      </w:tr>
      <w:tr w:rsidTr="008F6339">
        <w:tblPrEx>
          <w:tblW w:w="0" w:type="auto"/>
          <w:tblLayout w:type="fixed"/>
          <w:tblCellMar>
            <w:left w:w="62" w:type="dxa"/>
            <w:right w:w="62" w:type="dxa"/>
          </w:tblCellMar>
          <w:tblLook w:val="0000"/>
        </w:tblPrEx>
        <w:tc>
          <w:tcPr>
            <w:tcW w:w="1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B</w:t>
            </w:r>
          </w:p>
        </w:tc>
        <w:tc>
          <w:tcPr>
            <w:tcW w:w="5847"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Following established procedures to obtain approval to rectify non-compliance aspects of the switchboard.</w:t>
            </w:r>
          </w:p>
        </w:tc>
      </w:tr>
      <w:tr w:rsidTr="008F6339">
        <w:tblPrEx>
          <w:tblW w:w="0" w:type="auto"/>
          <w:tblLayout w:type="fixed"/>
          <w:tblCellMar>
            <w:left w:w="62" w:type="dxa"/>
            <w:right w:w="62" w:type="dxa"/>
          </w:tblCellMar>
          <w:tblLook w:val="0000"/>
        </w:tblPrEx>
        <w:tc>
          <w:tcPr>
            <w:tcW w:w="1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C</w:t>
            </w:r>
          </w:p>
        </w:tc>
        <w:tc>
          <w:tcPr>
            <w:tcW w:w="5847"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Carrying out preparation work effectively.</w:t>
            </w:r>
          </w:p>
        </w:tc>
      </w:tr>
      <w:tr w:rsidTr="008F6339">
        <w:tblPrEx>
          <w:tblW w:w="0" w:type="auto"/>
          <w:tblLayout w:type="fixed"/>
          <w:tblCellMar>
            <w:left w:w="62" w:type="dxa"/>
            <w:right w:w="62" w:type="dxa"/>
          </w:tblCellMar>
          <w:tblLook w:val="0000"/>
        </w:tblPrEx>
        <w:tc>
          <w:tcPr>
            <w:tcW w:w="1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D</w:t>
            </w:r>
          </w:p>
        </w:tc>
        <w:tc>
          <w:tcPr>
            <w:tcW w:w="5847"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Rectifying compliance defects.</w:t>
            </w:r>
          </w:p>
        </w:tc>
      </w:tr>
      <w:tr w:rsidTr="008F6339">
        <w:tblPrEx>
          <w:tblW w:w="0" w:type="auto"/>
          <w:tblLayout w:type="fixed"/>
          <w:tblCellMar>
            <w:left w:w="62" w:type="dxa"/>
            <w:right w:w="62" w:type="dxa"/>
          </w:tblCellMar>
          <w:tblLook w:val="0000"/>
        </w:tblPrEx>
        <w:tc>
          <w:tcPr>
            <w:tcW w:w="1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E</w:t>
            </w:r>
          </w:p>
        </w:tc>
        <w:tc>
          <w:tcPr>
            <w:tcW w:w="5847"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Placing and securing metering correctly.</w:t>
            </w:r>
          </w:p>
        </w:tc>
      </w:tr>
      <w:tr w:rsidTr="008F6339">
        <w:tblPrEx>
          <w:tblW w:w="0" w:type="auto"/>
          <w:tblLayout w:type="fixed"/>
          <w:tblCellMar>
            <w:left w:w="62" w:type="dxa"/>
            <w:right w:w="62" w:type="dxa"/>
          </w:tblCellMar>
          <w:tblLook w:val="0000"/>
        </w:tblPrEx>
        <w:tc>
          <w:tcPr>
            <w:tcW w:w="1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F</w:t>
            </w:r>
          </w:p>
        </w:tc>
        <w:tc>
          <w:tcPr>
            <w:tcW w:w="5847"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Making power and communications connections in accordance with manufacture's specifications and functional and regulatory requirements.</w:t>
            </w:r>
          </w:p>
        </w:tc>
      </w:tr>
      <w:tr w:rsidTr="008F6339">
        <w:tblPrEx>
          <w:tblW w:w="0" w:type="auto"/>
          <w:tblLayout w:type="fixed"/>
          <w:tblCellMar>
            <w:left w:w="62" w:type="dxa"/>
            <w:right w:w="62" w:type="dxa"/>
          </w:tblCellMar>
          <w:tblLook w:val="0000"/>
        </w:tblPrEx>
        <w:tc>
          <w:tcPr>
            <w:tcW w:w="1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G</w:t>
            </w:r>
          </w:p>
        </w:tc>
        <w:tc>
          <w:tcPr>
            <w:tcW w:w="5847"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Setting meter parameters in accordance with manufacture's specifications and functional and regulatory requirements</w:t>
            </w:r>
            <w:r w:rsidRPr="00A63676">
              <w:t>.</w:t>
            </w:r>
          </w:p>
        </w:tc>
      </w:tr>
      <w:tr w:rsidTr="008F6339">
        <w:tblPrEx>
          <w:tblW w:w="0" w:type="auto"/>
          <w:tblLayout w:type="fixed"/>
          <w:tblCellMar>
            <w:left w:w="62" w:type="dxa"/>
            <w:right w:w="62" w:type="dxa"/>
          </w:tblCellMar>
          <w:tblLook w:val="0000"/>
        </w:tblPrEx>
        <w:tc>
          <w:tcPr>
            <w:tcW w:w="1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H</w:t>
            </w:r>
          </w:p>
        </w:tc>
        <w:tc>
          <w:tcPr>
            <w:tcW w:w="5847"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Reinstating supply to the installation safely.</w:t>
            </w:r>
          </w:p>
        </w:tc>
      </w:tr>
      <w:tr w:rsidTr="008F6339">
        <w:tblPrEx>
          <w:tblW w:w="0" w:type="auto"/>
          <w:tblLayout w:type="fixed"/>
          <w:tblCellMar>
            <w:left w:w="62" w:type="dxa"/>
            <w:right w:w="62" w:type="dxa"/>
          </w:tblCellMar>
          <w:tblLook w:val="0000"/>
        </w:tblPrEx>
        <w:tc>
          <w:tcPr>
            <w:tcW w:w="1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I</w:t>
            </w:r>
          </w:p>
        </w:tc>
        <w:tc>
          <w:tcPr>
            <w:tcW w:w="5847"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Documenting CT metering and rectification work and notifying appropriate persons in accordance with established procedures.</w:t>
            </w:r>
          </w:p>
        </w:tc>
      </w:tr>
      <w:tr w:rsidTr="008F6339">
        <w:tblPrEx>
          <w:tblW w:w="0" w:type="auto"/>
          <w:tblLayout w:type="fixed"/>
          <w:tblCellMar>
            <w:left w:w="62" w:type="dxa"/>
            <w:right w:w="62" w:type="dxa"/>
          </w:tblCellMar>
          <w:tblLook w:val="0000"/>
        </w:tblPrEx>
        <w:tc>
          <w:tcPr>
            <w:tcW w:w="1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J</w:t>
            </w:r>
          </w:p>
        </w:tc>
        <w:tc>
          <w:tcPr>
            <w:tcW w:w="5847"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 xml:space="preserve">Dealing with unplanned events by drawing on essential knowledge and </w:t>
            </w:r>
            <w:r w:rsidRPr="00A63676">
              <w:t>skills to provide appropriate solutions incorporated in the holistic assessment with the above listed items.</w:t>
            </w:r>
          </w:p>
        </w:tc>
      </w:tr>
      <w:tr w:rsidTr="008F6339">
        <w:tblPrEx>
          <w:tblW w:w="0" w:type="auto"/>
          <w:tblLayout w:type="fixed"/>
          <w:tblCellMar>
            <w:left w:w="62" w:type="dxa"/>
            <w:right w:w="62" w:type="dxa"/>
          </w:tblCellMar>
          <w:tblLook w:val="0000"/>
        </w:tblPrEx>
        <w:tc>
          <w:tcPr>
            <w:tcW w:w="1309" w:type="dxa"/>
            <w:tcBorders>
              <w:top w:val="nil"/>
              <w:left w:val="nil"/>
              <w:bottom w:val="nil"/>
              <w:right w:val="nil"/>
            </w:tcBorders>
            <w:tcMar>
              <w:top w:w="0" w:type="dxa"/>
              <w:left w:w="62" w:type="dxa"/>
              <w:bottom w:w="0" w:type="dxa"/>
              <w:right w:w="62" w:type="dxa"/>
            </w:tcMar>
          </w:tcPr>
          <w:p w:rsidR="00000000" w:rsidRPr="00A63676" w:rsidP="00A63676">
            <w:pPr>
              <w:pStyle w:val="BodyText"/>
            </w:pPr>
            <w:r w:rsidRPr="00A63676">
              <w:rPr>
                <w:rStyle w:val="SpecialBold"/>
              </w:rPr>
              <w:t>Context of and specific resources for assessment</w:t>
            </w:r>
          </w:p>
        </w:tc>
        <w:tc>
          <w:tcPr>
            <w:tcW w:w="7196" w:type="dxa"/>
            <w:gridSpan w:val="3"/>
            <w:tcBorders>
              <w:top w:val="nil"/>
              <w:left w:val="nil"/>
              <w:bottom w:val="nil"/>
              <w:right w:val="nil"/>
            </w:tcBorders>
            <w:tcMar>
              <w:top w:w="0" w:type="dxa"/>
              <w:left w:w="62" w:type="dxa"/>
              <w:bottom w:w="0" w:type="dxa"/>
              <w:right w:w="62" w:type="dxa"/>
            </w:tcMar>
          </w:tcPr>
          <w:p w:rsidR="00000000" w:rsidRPr="00A63676" w:rsidP="00A63676">
            <w:pPr>
              <w:pStyle w:val="BodyText"/>
            </w:pPr>
            <w:r w:rsidRPr="00A63676">
              <w:rPr>
                <w:rStyle w:val="SpecialBold"/>
              </w:rPr>
              <w:t>9</w:t>
            </w:r>
            <w:r w:rsidRPr="00A63676">
              <w:t>.</w:t>
            </w:r>
            <w:r w:rsidRPr="00A63676">
              <w:rPr>
                <w:rStyle w:val="SpecialBold"/>
              </w:rPr>
              <w:t>3</w:t>
            </w:r>
            <w:r w:rsidRPr="00A63676">
              <w:t xml:space="preserve">) </w:t>
            </w:r>
          </w:p>
          <w:p w:rsidR="00000000" w:rsidRPr="00A63676" w:rsidP="00A63676">
            <w:pPr>
              <w:pStyle w:val="BodyText"/>
            </w:pPr>
            <w:r w:rsidRPr="00A63676">
              <w:t>This unit should be assessed as it relates to normal work practice using procedures, information and resources typical of a workplace. This should include:</w:t>
            </w:r>
          </w:p>
          <w:p w:rsidR="00000000" w:rsidRPr="00A63676" w:rsidP="00A63676">
            <w:pPr>
              <w:pStyle w:val="ListBullet"/>
            </w:pPr>
            <w:r w:rsidRPr="00A63676">
              <w:t>OHS policy and work procedures and instructions.</w:t>
            </w:r>
          </w:p>
          <w:p w:rsidR="00000000" w:rsidRPr="00A63676" w:rsidP="00A63676">
            <w:pPr>
              <w:pStyle w:val="ListBullet"/>
            </w:pPr>
            <w:r w:rsidRPr="00A63676">
              <w:t>Suitable work environment, facilities, equipment a</w:t>
            </w:r>
            <w:r w:rsidRPr="00A63676">
              <w:t>nd materials to undertake actual work as prescribed by this unit.</w:t>
            </w:r>
          </w:p>
          <w:p w:rsidR="00000000" w:rsidRPr="00A63676" w:rsidP="00A63676">
            <w:pPr>
              <w:pStyle w:val="BodyText"/>
            </w:pPr>
            <w:r w:rsidRPr="00A63676">
              <w:t>Resources required to assess this unit are listed above in Context of assessment', which should also be used in the formal learning/assessment environment.</w:t>
            </w:r>
          </w:p>
          <w:p w:rsidR="00000000" w:rsidRPr="00A63676" w:rsidP="00A63676">
            <w:pPr>
              <w:pStyle w:val="BodyText"/>
            </w:pPr>
            <w:r w:rsidRPr="00A63676">
              <w:t>Note:</w:t>
            </w:r>
          </w:p>
          <w:p w:rsidR="00000000" w:rsidP="00A63676">
            <w:pPr>
              <w:pStyle w:val="BodyText"/>
              <w:rPr>
                <w:lang w:val="en-NZ"/>
              </w:rPr>
            </w:pPr>
            <w:r w:rsidRPr="00A63676">
              <w:t>Where simulation is consider</w:t>
            </w:r>
            <w:r w:rsidRPr="00A63676">
              <w:t>ed a suitable strategy for assessment, conditions must be authentic and as far as possible reproduce and replicate the workplace and be consistent with the approved industry simulation policy.</w:t>
            </w:r>
          </w:p>
        </w:tc>
      </w:tr>
      <w:tr w:rsidTr="008F6339">
        <w:tblPrEx>
          <w:tblW w:w="0" w:type="auto"/>
          <w:tblLayout w:type="fixed"/>
          <w:tblCellMar>
            <w:left w:w="62" w:type="dxa"/>
            <w:right w:w="62" w:type="dxa"/>
          </w:tblCellMar>
          <w:tblLook w:val="0000"/>
        </w:tblPrEx>
        <w:tc>
          <w:tcPr>
            <w:tcW w:w="1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6" w:type="dxa"/>
            <w:gridSpan w:val="3"/>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The resources used for assessment should reflect current industry practices in relation to installing and setting up interval metering.</w:t>
            </w:r>
          </w:p>
        </w:tc>
      </w:tr>
      <w:tr w:rsidTr="008F6339">
        <w:tblPrEx>
          <w:tblW w:w="0" w:type="auto"/>
          <w:tblLayout w:type="fixed"/>
          <w:tblCellMar>
            <w:left w:w="62" w:type="dxa"/>
            <w:right w:w="62" w:type="dxa"/>
          </w:tblCellMar>
          <w:tblLook w:val="0000"/>
        </w:tblPrEx>
        <w:tc>
          <w:tcPr>
            <w:tcW w:w="1309" w:type="dxa"/>
            <w:tcBorders>
              <w:top w:val="nil"/>
              <w:left w:val="nil"/>
              <w:bottom w:val="nil"/>
              <w:right w:val="nil"/>
            </w:tcBorders>
            <w:tcMar>
              <w:top w:w="0" w:type="dxa"/>
              <w:left w:w="62" w:type="dxa"/>
              <w:bottom w:w="0" w:type="dxa"/>
              <w:right w:w="62" w:type="dxa"/>
            </w:tcMar>
          </w:tcPr>
          <w:p w:rsidR="00000000" w:rsidRPr="00A63676" w:rsidP="00A63676">
            <w:pPr>
              <w:pStyle w:val="BodyText"/>
            </w:pPr>
            <w:r w:rsidRPr="00A63676">
              <w:rPr>
                <w:rStyle w:val="SpecialBold"/>
              </w:rPr>
              <w:t>Method of assessment</w:t>
            </w:r>
          </w:p>
        </w:tc>
        <w:tc>
          <w:tcPr>
            <w:tcW w:w="7196" w:type="dxa"/>
            <w:gridSpan w:val="3"/>
            <w:tcBorders>
              <w:top w:val="nil"/>
              <w:left w:val="nil"/>
              <w:bottom w:val="nil"/>
              <w:right w:val="nil"/>
            </w:tcBorders>
            <w:tcMar>
              <w:top w:w="0" w:type="dxa"/>
              <w:left w:w="62" w:type="dxa"/>
              <w:bottom w:w="0" w:type="dxa"/>
              <w:right w:w="62" w:type="dxa"/>
            </w:tcMar>
          </w:tcPr>
          <w:p w:rsidR="00000000" w:rsidRPr="00A63676" w:rsidP="00A63676">
            <w:pPr>
              <w:pStyle w:val="BodyText"/>
            </w:pPr>
            <w:r w:rsidRPr="00A63676">
              <w:rPr>
                <w:rStyle w:val="SpecialBold"/>
              </w:rPr>
              <w:t>9</w:t>
            </w:r>
            <w:r w:rsidRPr="00A63676">
              <w:t>.</w:t>
            </w:r>
            <w:r w:rsidRPr="00A63676">
              <w:rPr>
                <w:rStyle w:val="SpecialBold"/>
              </w:rPr>
              <w:t>4</w:t>
            </w:r>
            <w:r w:rsidRPr="00A63676">
              <w:t xml:space="preserve">) </w:t>
            </w:r>
          </w:p>
          <w:p w:rsidR="00000000" w:rsidRPr="00A63676" w:rsidP="00A63676">
            <w:pPr>
              <w:pStyle w:val="BodyText"/>
            </w:pPr>
            <w:r w:rsidRPr="00A63676">
              <w:t>This unit shall be assessed by methods given in Volume 1, Part 3 'Assessment Guidelines'.</w:t>
            </w:r>
          </w:p>
          <w:p w:rsidR="00000000" w:rsidP="00A63676">
            <w:pPr>
              <w:pStyle w:val="BodyText"/>
              <w:rPr>
                <w:lang w:val="en-NZ"/>
              </w:rPr>
            </w:pPr>
            <w:r w:rsidRPr="00A63676">
              <w:t>Note:</w:t>
            </w:r>
            <w:r w:rsidRPr="00A63676">
              <w:br/>
              <w:t>Competent performance with inherent safe working practices is expected in the industry to which this unit applies. This requires assessment in a structured environment which is primarily intended for learning/assessment and incorporates all necessary</w:t>
            </w:r>
            <w:r w:rsidRPr="00A63676">
              <w:t xml:space="preserve"> equipment and facilities for learners to develop and demonstrate the essential knowledge and skills described in this unit.</w:t>
            </w:r>
          </w:p>
        </w:tc>
      </w:tr>
      <w:tr w:rsidTr="008F6339">
        <w:tblPrEx>
          <w:tblW w:w="0" w:type="auto"/>
          <w:tblLayout w:type="fixed"/>
          <w:tblCellMar>
            <w:left w:w="62" w:type="dxa"/>
            <w:right w:w="62" w:type="dxa"/>
          </w:tblCellMar>
          <w:tblLook w:val="0000"/>
        </w:tblPrEx>
        <w:tc>
          <w:tcPr>
            <w:tcW w:w="1309" w:type="dxa"/>
            <w:vMerge w:val="restart"/>
            <w:tcBorders>
              <w:top w:val="nil"/>
              <w:left w:val="nil"/>
              <w:bottom w:val="nil"/>
              <w:right w:val="nil"/>
            </w:tcBorders>
            <w:tcMar>
              <w:top w:w="0" w:type="dxa"/>
              <w:left w:w="62" w:type="dxa"/>
              <w:bottom w:w="0" w:type="dxa"/>
              <w:right w:w="62" w:type="dxa"/>
            </w:tcMar>
          </w:tcPr>
          <w:p w:rsidR="00000000" w:rsidRPr="00A63676" w:rsidP="00A63676">
            <w:pPr>
              <w:pStyle w:val="BodyText"/>
            </w:pPr>
            <w:r w:rsidRPr="00A63676">
              <w:rPr>
                <w:rStyle w:val="SpecialBold"/>
              </w:rPr>
              <w:t>Concurrent assessment and relationship with other units</w:t>
            </w:r>
          </w:p>
        </w:tc>
        <w:tc>
          <w:tcPr>
            <w:tcW w:w="7196" w:type="dxa"/>
            <w:gridSpan w:val="3"/>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rPr>
                <w:rStyle w:val="SpecialBold"/>
              </w:rPr>
              <w:t>9</w:t>
            </w:r>
            <w:r w:rsidRPr="00A63676">
              <w:t>.</w:t>
            </w:r>
            <w:r w:rsidRPr="00A63676">
              <w:rPr>
                <w:rStyle w:val="SpecialBold"/>
              </w:rPr>
              <w:t>5</w:t>
            </w:r>
            <w:r w:rsidRPr="00A63676">
              <w:t>)</w:t>
            </w:r>
          </w:p>
        </w:tc>
      </w:tr>
      <w:tr w:rsidTr="008F6339">
        <w:tblPrEx>
          <w:tblW w:w="0" w:type="auto"/>
          <w:tblLayout w:type="fixed"/>
          <w:tblCellMar>
            <w:left w:w="62" w:type="dxa"/>
            <w:right w:w="62" w:type="dxa"/>
          </w:tblCellMar>
          <w:tblLook w:val="0000"/>
        </w:tblPrEx>
        <w:tc>
          <w:tcPr>
            <w:tcW w:w="13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6" w:type="dxa"/>
            <w:gridSpan w:val="3"/>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There are no concurrent assessment recommendations for this unit.</w:t>
            </w:r>
          </w:p>
        </w:tc>
      </w:tr>
      <w:tr w:rsidTr="008F6339">
        <w:tblPrEx>
          <w:tblW w:w="0" w:type="auto"/>
          <w:tblLayout w:type="fixed"/>
          <w:tblCellMar>
            <w:left w:w="62" w:type="dxa"/>
            <w:right w:w="62" w:type="dxa"/>
          </w:tblCellMar>
          <w:tblLook w:val="0000"/>
        </w:tblPrEx>
        <w:tc>
          <w:tcPr>
            <w:tcW w:w="13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6" w:type="dxa"/>
            <w:gridSpan w:val="3"/>
            <w:tcBorders>
              <w:top w:val="nil"/>
              <w:left w:val="nil"/>
              <w:bottom w:val="nil"/>
              <w:right w:val="nil"/>
            </w:tcBorders>
            <w:tcMar>
              <w:top w:w="0" w:type="dxa"/>
              <w:left w:w="62" w:type="dxa"/>
              <w:bottom w:w="0" w:type="dxa"/>
              <w:right w:w="62" w:type="dxa"/>
            </w:tcMar>
          </w:tcPr>
          <w:p w:rsidR="00000000" w:rsidRPr="00A63676" w:rsidP="00A63676">
            <w:pPr>
              <w:pStyle w:val="BodyText"/>
            </w:pPr>
          </w:p>
        </w:tc>
      </w:tr>
    </w:tbl>
    <w:p w:rsidR="008F6339" w:rsidP="00A63676">
      <w:pPr>
        <w:pStyle w:val="BodyText"/>
      </w:pPr>
    </w:p>
    <w:p w:rsidR="008F6339" w:rsidP="00A63676">
      <w:pPr>
        <w:pStyle w:val="BodyText"/>
      </w:pPr>
    </w:p>
    <w:p w:rsidR="00000000" w:rsidRPr="00A63676" w:rsidP="00A63676">
      <w:pPr>
        <w:pStyle w:val="Heading1"/>
      </w:pPr>
      <w:bookmarkStart w:id="11" w:name="O_584878"/>
      <w:bookmarkEnd w:id="11"/>
      <w:r w:rsidRPr="00A63676">
        <w:t>Range Statement</w:t>
      </w:r>
    </w:p>
    <w:tbl>
      <w:tblPr>
        <w:tblW w:w="0" w:type="auto"/>
        <w:tblLayout w:type="fixed"/>
        <w:tblCellMar>
          <w:left w:w="62" w:type="dxa"/>
          <w:right w:w="62" w:type="dxa"/>
        </w:tblCellMar>
        <w:tblLook w:val="0000"/>
      </w:tblPr>
      <w:tblGrid>
        <w:gridCol w:w="1309"/>
        <w:gridCol w:w="7196"/>
      </w:tblGrid>
      <w:tr w:rsidTr="008F6339">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rPr>
                <w:rStyle w:val="SpecialBold"/>
              </w:rPr>
              <w:t>RANGE STATEMENT</w:t>
            </w:r>
          </w:p>
        </w:tc>
      </w:tr>
      <w:tr w:rsidTr="008F633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rPr>
                <w:rStyle w:val="SpecialBold"/>
              </w:rPr>
              <w:t>8</w:t>
            </w:r>
            <w:r w:rsidRPr="00A63676">
              <w:t xml:space="preserve">) This relates to the unit as a whole providing the range of contexts and conditions to which the performance </w:t>
            </w:r>
            <w:r w:rsidRPr="00A63676">
              <w:t>criteria apply. It allows for different work environments and situations that will affect performance.</w:t>
            </w:r>
          </w:p>
        </w:tc>
      </w:tr>
      <w:tr w:rsidTr="008F633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This unit shall be demonstrated in relation to the installation of at least a:</w:t>
            </w:r>
          </w:p>
        </w:tc>
      </w:tr>
      <w:tr w:rsidTr="008F6339">
        <w:tblPrEx>
          <w:tblW w:w="0" w:type="auto"/>
          <w:tblLayout w:type="fixed"/>
          <w:tblCellMar>
            <w:left w:w="62" w:type="dxa"/>
            <w:right w:w="62" w:type="dxa"/>
          </w:tblCellMar>
          <w:tblLook w:val="0000"/>
        </w:tblPrEx>
        <w:tc>
          <w:tcPr>
            <w:tcW w:w="1309"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p>
        </w:tc>
        <w:tc>
          <w:tcPr>
            <w:tcW w:w="7196" w:type="dxa"/>
            <w:tcBorders>
              <w:top w:val="nil"/>
              <w:left w:val="nil"/>
              <w:bottom w:val="nil"/>
              <w:right w:val="nil"/>
            </w:tcBorders>
            <w:tcMar>
              <w:top w:w="0" w:type="dxa"/>
              <w:left w:w="62" w:type="dxa"/>
              <w:bottom w:w="0" w:type="dxa"/>
              <w:right w:w="62" w:type="dxa"/>
            </w:tcMar>
          </w:tcPr>
          <w:p w:rsidR="00000000" w:rsidRPr="00A63676" w:rsidP="00A63676">
            <w:pPr>
              <w:pStyle w:val="ListBullet"/>
            </w:pPr>
            <w:r w:rsidRPr="00A63676">
              <w:t>low voltage CT installation using single phase meters</w:t>
            </w:r>
          </w:p>
          <w:p w:rsidR="00000000" w:rsidRPr="00A63676" w:rsidP="00A63676">
            <w:pPr>
              <w:pStyle w:val="ListBullet"/>
            </w:pPr>
            <w:r w:rsidRPr="00A63676">
              <w:t>low voltage CT installation using a polyphase meter</w:t>
            </w:r>
          </w:p>
          <w:p w:rsidR="00000000" w:rsidP="00A63676">
            <w:pPr>
              <w:pStyle w:val="ListBullet"/>
              <w:rPr>
                <w:lang w:val="en-NZ"/>
              </w:rPr>
            </w:pPr>
            <w:r w:rsidRPr="00A63676">
              <w:t>metering installation where compliance rectification work is required</w:t>
            </w:r>
          </w:p>
        </w:tc>
      </w:tr>
      <w:tr w:rsidTr="008F633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A63676" w:rsidP="00A63676">
            <w:pPr>
              <w:pStyle w:val="BodyText"/>
            </w:pPr>
            <w:r w:rsidRPr="00A63676">
              <w:t>Generic terms used throughout this Vocational Standard shall be regarded as part of the Range Statement in which competency is demons</w:t>
            </w:r>
            <w:r w:rsidRPr="00A63676">
              <w:t>trated. The definition of these and other terms that apply are given in Volume 2, Part 2.1.</w:t>
            </w:r>
          </w:p>
        </w:tc>
      </w:tr>
    </w:tbl>
    <w:p w:rsidR="008F6339" w:rsidP="00A63676">
      <w:pPr>
        <w:pStyle w:val="BodyText"/>
      </w:pPr>
    </w:p>
    <w:p w:rsidR="008F6339" w:rsidP="00A63676">
      <w:pPr>
        <w:pStyle w:val="BodyText"/>
      </w:pPr>
    </w:p>
    <w:p w:rsidR="00000000" w:rsidRPr="00A63676" w:rsidP="00A63676">
      <w:pPr>
        <w:pStyle w:val="Heading1"/>
      </w:pPr>
      <w:bookmarkStart w:id="12" w:name="O_584877"/>
      <w:bookmarkEnd w:id="12"/>
      <w:r w:rsidRPr="00A63676">
        <w:t>Unit Sector(s)</w:t>
      </w:r>
    </w:p>
    <w:p w:rsidR="00000000" w:rsidRPr="00A63676" w:rsidP="00A63676">
      <w:pPr>
        <w:pStyle w:val="BodyText"/>
      </w:pPr>
      <w:r w:rsidRPr="00A63676">
        <w:t>Not Applicable</w:t>
      </w:r>
    </w:p>
    <w:p w:rsidR="00000000" w:rsidRPr="00A63676" w:rsidP="00A63676">
      <w:pPr>
        <w:pStyle w:val="AllowPageBreak"/>
      </w:pPr>
    </w:p>
    <w:p w:rsidR="00000000" w:rsidRPr="00A63676" w:rsidP="00A63676">
      <w:pPr>
        <w:pStyle w:val="Heading1"/>
      </w:pPr>
      <w:bookmarkStart w:id="13" w:name="O_584876"/>
      <w:bookmarkEnd w:id="13"/>
      <w:r w:rsidRPr="00A63676">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F633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63676" w:rsidP="00A63676">
            <w:pPr>
              <w:pStyle w:val="BodyText"/>
            </w:pPr>
            <w:r w:rsidRPr="00A63676">
              <w:rPr>
                <w:rStyle w:val="SpecialBold"/>
              </w:rPr>
              <w:t>2</w:t>
            </w:r>
            <w:r w:rsidRPr="00A63676">
              <w:t>.</w:t>
            </w:r>
            <w:r w:rsidRPr="00A63676">
              <w:rPr>
                <w:rStyle w:val="SpecialBold"/>
              </w:rPr>
              <w:t>2</w:t>
            </w:r>
            <w:r w:rsidRPr="00A63676">
              <w:t xml:space="preserve">) </w:t>
            </w:r>
            <w:r w:rsidRPr="00A63676">
              <w:rPr>
                <w:rStyle w:val="SpecialBold"/>
              </w:rPr>
              <w:t>Literacy and numeracy skills</w:t>
            </w:r>
          </w:p>
          <w:p w:rsidR="00000000" w:rsidP="00A63676">
            <w:pPr>
              <w:pStyle w:val="BodyText"/>
              <w:rPr>
                <w:lang w:val="en-NZ"/>
              </w:rPr>
            </w:pPr>
            <w:r w:rsidRPr="00A63676">
              <w:t>Participants are best equipped to achieve competency in this unit if they have reading, writing and numeracy skills indicated by the following scales. Description of each scale is given in Volume 2, Part 3 'Literacy and Numeracy'</w:t>
            </w:r>
          </w:p>
        </w:tc>
      </w:tr>
      <w:tr w:rsidTr="008F633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Reading</w:t>
            </w:r>
          </w:p>
        </w:tc>
        <w:tc>
          <w:tcPr>
            <w:tcW w:w="1182"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5</w:t>
            </w:r>
          </w:p>
        </w:tc>
        <w:tc>
          <w:tcPr>
            <w:tcW w:w="1739"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Writing</w:t>
            </w:r>
          </w:p>
        </w:tc>
        <w:tc>
          <w:tcPr>
            <w:tcW w:w="1182"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5</w:t>
            </w:r>
          </w:p>
        </w:tc>
        <w:tc>
          <w:tcPr>
            <w:tcW w:w="1721"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t>Numeracy</w:t>
            </w:r>
          </w:p>
        </w:tc>
        <w:tc>
          <w:tcPr>
            <w:tcW w:w="1182" w:type="dxa"/>
            <w:tcBorders>
              <w:top w:val="nil"/>
              <w:left w:val="nil"/>
              <w:bottom w:val="nil"/>
              <w:right w:val="nil"/>
            </w:tcBorders>
            <w:tcMar>
              <w:top w:w="0" w:type="dxa"/>
              <w:left w:w="62" w:type="dxa"/>
              <w:bottom w:w="0" w:type="dxa"/>
              <w:right w:w="62" w:type="dxa"/>
            </w:tcMar>
          </w:tcPr>
          <w:p w:rsidR="00000000" w:rsidRPr="00A63676" w:rsidP="00A63676">
            <w:pPr>
              <w:pStyle w:val="BodyText"/>
            </w:pPr>
            <w:r w:rsidRPr="00A63676">
              <w:t>5</w:t>
            </w:r>
          </w:p>
        </w:tc>
      </w:tr>
    </w:tbl>
    <w:p w:rsidR="008F6339" w:rsidP="00A63676">
      <w:pPr>
        <w:pStyle w:val="BodyText"/>
      </w:pPr>
    </w:p>
    <w:p w:rsidR="008F6339" w:rsidP="00A63676">
      <w:pPr>
        <w:pStyle w:val="BodyText"/>
      </w:pPr>
    </w:p>
    <w:p w:rsidR="00000000" w:rsidRPr="00A63676" w:rsidP="00A63676">
      <w:pPr>
        <w:pStyle w:val="Heading1"/>
      </w:pPr>
      <w:bookmarkStart w:id="14" w:name="O_584875"/>
      <w:bookmarkEnd w:id="14"/>
      <w:r w:rsidRPr="00A63676">
        <w:t>2.2) Literacy and numeracy skills</w:t>
      </w:r>
    </w:p>
    <w:tbl>
      <w:tblPr>
        <w:tblW w:w="0" w:type="auto"/>
        <w:tblLayout w:type="fixed"/>
        <w:tblCellMar>
          <w:left w:w="62" w:type="dxa"/>
          <w:right w:w="62" w:type="dxa"/>
        </w:tblCellMar>
        <w:tblLook w:val="0000"/>
      </w:tblPr>
      <w:tblGrid>
        <w:gridCol w:w="2700"/>
        <w:gridCol w:w="5760"/>
      </w:tblGrid>
      <w:tr w:rsidTr="008F633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3676" w:rsidP="00A63676">
            <w:pPr>
              <w:pStyle w:val="BodyText"/>
            </w:pPr>
            <w:r w:rsidRPr="00A6367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63676">
            <w:pPr>
              <w:pStyle w:val="BodyText"/>
              <w:rPr>
                <w:lang w:val="en-NZ"/>
              </w:rPr>
            </w:pPr>
            <w:r w:rsidRPr="00A63676">
              <w:rPr>
                <w:rStyle w:val="SpecialBold"/>
              </w:rPr>
              <w:t>5</w:t>
            </w:r>
            <w:r w:rsidRPr="00A63676">
              <w:t>)</w:t>
            </w:r>
          </w:p>
        </w:tc>
      </w:tr>
      <w:tr w:rsidTr="008F63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3676" w:rsidP="00A63676">
            <w:pPr>
              <w:pStyle w:val="BodyText"/>
            </w:pPr>
            <w:r w:rsidRPr="00A63676">
              <w:t>Electrical</w:t>
            </w:r>
          </w:p>
        </w:tc>
      </w:tr>
    </w:tbl>
    <w:p w:rsidR="008F6339" w:rsidP="00A63676">
      <w:pPr>
        <w:pStyle w:val="BodyText"/>
      </w:pPr>
    </w:p>
    <w:p w:rsidR="008F6339" w:rsidP="00A63676">
      <w:pPr>
        <w:pStyle w:val="BodyText"/>
      </w:pPr>
    </w:p>
    <w:p w:rsidR="00000000" w:rsidRPr="00A63676" w:rsidP="00A63676"/>
    <w:sectPr w:rsidSect="00A636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6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676" w:rsidRPr="008F6339" w:rsidP="008F63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6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339" w:rsidP="00A636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F6339" w:rsidP="00A6367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8F6339" w:rsidP="00A636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6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676" w:rsidRPr="008F6339" w:rsidP="008F63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6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339" w:rsidRPr="002D2AF8" w:rsidP="00A63676">
    <w:pPr>
      <w:pStyle w:val="Header"/>
      <w:framePr w:wrap="around"/>
    </w:pPr>
    <w:r>
      <w:fldChar w:fldCharType="begin"/>
    </w:r>
    <w:r>
      <w:instrText xml:space="preserve"> TITLE   \* MERGEFORMAT </w:instrText>
    </w:r>
    <w:r>
      <w:fldChar w:fldCharType="separate"/>
    </w:r>
    <w:r>
      <w:t>UEENEEG076A Install and replace low voltage current transformer metering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8F6339" w:rsidP="00A636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BE90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7A74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DCC9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6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3676"/>
    <w:pPr>
      <w:spacing w:before="360" w:after="60"/>
      <w:outlineLvl w:val="0"/>
    </w:pPr>
    <w:rPr>
      <w:sz w:val="32"/>
    </w:rPr>
  </w:style>
  <w:style w:type="paragraph" w:styleId="Heading2">
    <w:name w:val="heading 2"/>
    <w:basedOn w:val="HeadingBase"/>
    <w:next w:val="BodyText"/>
    <w:link w:val="Heading2Char"/>
    <w:qFormat/>
    <w:rsid w:val="00A63676"/>
    <w:pPr>
      <w:keepLines/>
      <w:spacing w:before="240" w:after="120"/>
      <w:outlineLvl w:val="1"/>
    </w:pPr>
    <w:rPr>
      <w:sz w:val="28"/>
      <w:szCs w:val="40"/>
    </w:rPr>
  </w:style>
  <w:style w:type="paragraph" w:styleId="Heading3">
    <w:name w:val="heading 3"/>
    <w:basedOn w:val="HeadingBase"/>
    <w:next w:val="BodyText"/>
    <w:link w:val="Heading3Char"/>
    <w:qFormat/>
    <w:rsid w:val="00A63676"/>
    <w:pPr>
      <w:spacing w:before="180" w:after="120"/>
      <w:outlineLvl w:val="2"/>
    </w:pPr>
    <w:rPr>
      <w:spacing w:val="-10"/>
      <w:kern w:val="32"/>
    </w:rPr>
  </w:style>
  <w:style w:type="paragraph" w:styleId="Heading4">
    <w:name w:val="heading 4"/>
    <w:basedOn w:val="HeadingBase"/>
    <w:next w:val="BodyText"/>
    <w:link w:val="Heading4Char"/>
    <w:qFormat/>
    <w:rsid w:val="00A63676"/>
    <w:pPr>
      <w:spacing w:before="160" w:after="120"/>
      <w:outlineLvl w:val="3"/>
    </w:pPr>
    <w:rPr>
      <w:sz w:val="22"/>
    </w:rPr>
  </w:style>
  <w:style w:type="paragraph" w:styleId="Heading5">
    <w:name w:val="heading 5"/>
    <w:basedOn w:val="HeadingBase"/>
    <w:next w:val="Normal"/>
    <w:link w:val="Heading5Char"/>
    <w:qFormat/>
    <w:rsid w:val="00A63676"/>
    <w:pPr>
      <w:spacing w:before="80"/>
      <w:outlineLvl w:val="4"/>
    </w:pPr>
    <w:rPr>
      <w:color w:val="918585"/>
      <w:sz w:val="20"/>
    </w:rPr>
  </w:style>
  <w:style w:type="paragraph" w:styleId="Heading6">
    <w:name w:val="heading 6"/>
    <w:basedOn w:val="HeadingBase"/>
    <w:next w:val="Normal"/>
    <w:link w:val="Heading6Char"/>
    <w:qFormat/>
    <w:rsid w:val="00A63676"/>
    <w:pPr>
      <w:spacing w:before="60"/>
      <w:outlineLvl w:val="5"/>
    </w:pPr>
    <w:rPr>
      <w:color w:val="918585"/>
      <w:sz w:val="20"/>
    </w:rPr>
  </w:style>
  <w:style w:type="paragraph" w:styleId="Heading7">
    <w:name w:val="heading 7"/>
    <w:basedOn w:val="Normal"/>
    <w:next w:val="Normal"/>
    <w:link w:val="Heading7Char"/>
    <w:qFormat/>
    <w:rsid w:val="00A63676"/>
    <w:pPr>
      <w:ind w:left="720"/>
      <w:outlineLvl w:val="6"/>
    </w:pPr>
    <w:rPr>
      <w:i/>
    </w:rPr>
  </w:style>
  <w:style w:type="paragraph" w:styleId="Heading8">
    <w:name w:val="heading 8"/>
    <w:basedOn w:val="Normal"/>
    <w:next w:val="Normal"/>
    <w:link w:val="Heading8Char"/>
    <w:qFormat/>
    <w:rsid w:val="00A63676"/>
    <w:pPr>
      <w:ind w:left="720"/>
      <w:outlineLvl w:val="7"/>
    </w:pPr>
    <w:rPr>
      <w:i/>
    </w:rPr>
  </w:style>
  <w:style w:type="paragraph" w:styleId="Heading9">
    <w:name w:val="heading 9"/>
    <w:basedOn w:val="Normal"/>
    <w:next w:val="Normal"/>
    <w:link w:val="Heading9Char"/>
    <w:qFormat/>
    <w:rsid w:val="00A63676"/>
    <w:pPr>
      <w:ind w:left="720"/>
      <w:outlineLvl w:val="8"/>
    </w:pPr>
    <w:rPr>
      <w:i/>
    </w:rPr>
  </w:style>
  <w:style w:type="character" w:default="1" w:styleId="DefaultParagraphFont">
    <w:name w:val="Default Paragraph Font"/>
    <w:uiPriority w:val="1"/>
    <w:unhideWhenUsed/>
    <w:rsid w:val="00A636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3676"/>
  </w:style>
  <w:style w:type="character" w:customStyle="1" w:styleId="Heading1Char">
    <w:name w:val="Heading 1 Char"/>
    <w:basedOn w:val="DefaultParagraphFont"/>
    <w:link w:val="Heading1"/>
    <w:rsid w:val="00A63676"/>
    <w:rPr>
      <w:rFonts w:ascii="Times New Roman" w:eastAsia="Times New Roman" w:hAnsi="Times New Roman" w:cs="Times New Roman"/>
      <w:b/>
      <w:sz w:val="32"/>
      <w:szCs w:val="20"/>
      <w:lang w:eastAsia="en-US"/>
    </w:rPr>
  </w:style>
  <w:style w:type="paragraph" w:styleId="BodyText">
    <w:name w:val="Body Text"/>
    <w:basedOn w:val="Normal"/>
    <w:link w:val="BodyTextChar"/>
    <w:rsid w:val="00A636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3676"/>
    <w:rPr>
      <w:rFonts w:ascii="Times New Roman" w:eastAsia="Times New Roman" w:hAnsi="Times New Roman" w:cs="Times New Roman"/>
      <w:sz w:val="24"/>
      <w:lang w:eastAsia="en-US"/>
    </w:rPr>
  </w:style>
  <w:style w:type="paragraph" w:styleId="ListBullet">
    <w:name w:val="List Bullet"/>
    <w:basedOn w:val="List"/>
    <w:rsid w:val="00A63676"/>
    <w:pPr>
      <w:numPr>
        <w:numId w:val="13"/>
      </w:numPr>
      <w:tabs>
        <w:tab w:val="clear" w:pos="340"/>
      </w:tabs>
      <w:spacing w:before="40" w:after="40"/>
    </w:pPr>
  </w:style>
  <w:style w:type="character" w:customStyle="1" w:styleId="SpecialBold">
    <w:name w:val="Special Bold"/>
    <w:basedOn w:val="DefaultParagraphFont"/>
    <w:rsid w:val="00A63676"/>
    <w:rPr>
      <w:b/>
      <w:spacing w:val="0"/>
    </w:rPr>
  </w:style>
  <w:style w:type="paragraph" w:styleId="ListBullet2">
    <w:name w:val="List Bullet 2"/>
    <w:basedOn w:val="List2"/>
    <w:rsid w:val="00A63676"/>
    <w:pPr>
      <w:numPr>
        <w:numId w:val="14"/>
      </w:numPr>
      <w:tabs>
        <w:tab w:val="clear" w:pos="680"/>
      </w:tabs>
    </w:pPr>
  </w:style>
  <w:style w:type="paragraph" w:customStyle="1" w:styleId="SuperHeading">
    <w:name w:val="SuperHeading"/>
    <w:basedOn w:val="Normal"/>
    <w:rsid w:val="00A63676"/>
    <w:pPr>
      <w:spacing w:before="240" w:after="120"/>
      <w:outlineLvl w:val="0"/>
    </w:pPr>
    <w:rPr>
      <w:rFonts w:ascii="Times New Roman" w:hAnsi="Times New Roman"/>
      <w:b/>
      <w:sz w:val="32"/>
    </w:rPr>
  </w:style>
  <w:style w:type="paragraph" w:customStyle="1" w:styleId="AllowPageBreak">
    <w:name w:val="AllowPageBreak"/>
    <w:rsid w:val="00A636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36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36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36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36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36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36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36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3676"/>
    <w:rPr>
      <w:rFonts w:ascii="Courier New" w:eastAsia="Times New Roman" w:hAnsi="Courier New" w:cs="Times New Roman"/>
      <w:i/>
      <w:szCs w:val="20"/>
      <w:lang w:eastAsia="en-US"/>
    </w:rPr>
  </w:style>
  <w:style w:type="paragraph" w:customStyle="1" w:styleId="HeadingBase">
    <w:name w:val="Heading Base"/>
    <w:rsid w:val="00A636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3676"/>
    <w:pPr>
      <w:tabs>
        <w:tab w:val="right" w:leader="dot" w:pos="9072"/>
      </w:tabs>
      <w:ind w:left="567"/>
    </w:pPr>
    <w:rPr>
      <w:szCs w:val="22"/>
    </w:rPr>
  </w:style>
  <w:style w:type="paragraph" w:customStyle="1" w:styleId="TOCBase">
    <w:name w:val="TOC Base"/>
    <w:rsid w:val="00A636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3676"/>
    <w:pPr>
      <w:tabs>
        <w:tab w:val="right" w:leader="dot" w:pos="9072"/>
      </w:tabs>
      <w:spacing w:before="40" w:after="40"/>
      <w:ind w:left="284"/>
    </w:pPr>
    <w:rPr>
      <w:rFonts w:ascii="Times New Roman" w:hAnsi="Times New Roman"/>
    </w:rPr>
  </w:style>
  <w:style w:type="paragraph" w:styleId="TOC1">
    <w:name w:val="toc 1"/>
    <w:basedOn w:val="TOCBase"/>
    <w:next w:val="Normal"/>
    <w:rsid w:val="00A636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36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3676"/>
    <w:rPr>
      <w:rFonts w:ascii="Times New Roman" w:eastAsia="Times New Roman" w:hAnsi="Times New Roman" w:cs="Times New Roman"/>
      <w:sz w:val="16"/>
      <w:lang w:eastAsia="en-US"/>
    </w:rPr>
  </w:style>
  <w:style w:type="paragraph" w:styleId="Title">
    <w:name w:val="Title"/>
    <w:basedOn w:val="HeadingBase"/>
    <w:link w:val="TitleChar"/>
    <w:qFormat/>
    <w:rsid w:val="00A63676"/>
    <w:pPr>
      <w:spacing w:before="5040"/>
      <w:jc w:val="center"/>
    </w:pPr>
    <w:rPr>
      <w:sz w:val="48"/>
      <w:szCs w:val="72"/>
      <w:lang w:val="en-US"/>
    </w:rPr>
  </w:style>
  <w:style w:type="character" w:customStyle="1" w:styleId="TitleChar">
    <w:name w:val="Title Char"/>
    <w:basedOn w:val="DefaultParagraphFont"/>
    <w:link w:val="Title"/>
    <w:rsid w:val="00A636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3676"/>
    <w:pPr>
      <w:tabs>
        <w:tab w:val="left" w:pos="3600"/>
        <w:tab w:val="left" w:pos="3958"/>
      </w:tabs>
    </w:pPr>
  </w:style>
  <w:style w:type="paragraph" w:styleId="List">
    <w:name w:val="List"/>
    <w:basedOn w:val="BodyText"/>
    <w:next w:val="BodyText"/>
    <w:rsid w:val="00A63676"/>
    <w:pPr>
      <w:tabs>
        <w:tab w:val="left" w:pos="340"/>
      </w:tabs>
      <w:spacing w:before="60" w:after="60"/>
      <w:ind w:left="340" w:hanging="340"/>
    </w:pPr>
  </w:style>
  <w:style w:type="paragraph" w:customStyle="1" w:styleId="Note">
    <w:name w:val="Note"/>
    <w:basedOn w:val="BodyText"/>
    <w:rsid w:val="00A636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3676"/>
    <w:pPr>
      <w:framePr w:wrap="auto" w:hAnchor="text" w:y="6049"/>
    </w:pPr>
    <w:rPr>
      <w:color w:val="000000"/>
      <w:sz w:val="40"/>
    </w:rPr>
  </w:style>
  <w:style w:type="paragraph" w:customStyle="1" w:styleId="TOCTitle">
    <w:name w:val="TOCTitle"/>
    <w:basedOn w:val="Heading1"/>
    <w:rsid w:val="00A63676"/>
    <w:pPr>
      <w:spacing w:after="240"/>
      <w:jc w:val="center"/>
      <w:outlineLvl w:val="9"/>
    </w:pPr>
    <w:rPr>
      <w:caps/>
    </w:rPr>
  </w:style>
  <w:style w:type="paragraph" w:customStyle="1" w:styleId="Version">
    <w:name w:val="Version"/>
    <w:rsid w:val="00A636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3676"/>
    <w:pPr>
      <w:keepNext w:val="0"/>
      <w:tabs>
        <w:tab w:val="right" w:pos="4176"/>
      </w:tabs>
      <w:ind w:left="198" w:hanging="198"/>
    </w:pPr>
    <w:rPr>
      <w:rFonts w:ascii="Garamond" w:hAnsi="Garamond"/>
    </w:rPr>
  </w:style>
  <w:style w:type="paragraph" w:styleId="IndexHeading">
    <w:name w:val="index heading"/>
    <w:basedOn w:val="Normal"/>
    <w:next w:val="Index1"/>
    <w:semiHidden/>
    <w:rsid w:val="00A63676"/>
    <w:pPr>
      <w:spacing w:before="120" w:after="120"/>
    </w:pPr>
    <w:rPr>
      <w:rFonts w:ascii="Arial" w:hAnsi="Arial"/>
      <w:b/>
      <w:color w:val="918585"/>
      <w:sz w:val="24"/>
    </w:rPr>
  </w:style>
  <w:style w:type="paragraph" w:styleId="Header">
    <w:name w:val="header"/>
    <w:basedOn w:val="Normal"/>
    <w:link w:val="HeaderChar"/>
    <w:rsid w:val="00A636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3676"/>
    <w:rPr>
      <w:rFonts w:ascii="Times New Roman" w:eastAsia="Times New Roman" w:hAnsi="Times New Roman" w:cs="Times New Roman"/>
      <w:sz w:val="16"/>
      <w:szCs w:val="20"/>
      <w:lang w:val="en-GB" w:eastAsia="en-US"/>
    </w:rPr>
  </w:style>
  <w:style w:type="paragraph" w:customStyle="1" w:styleId="Chapter">
    <w:name w:val="Chapter"/>
    <w:basedOn w:val="Normal"/>
    <w:rsid w:val="00A63676"/>
    <w:pPr>
      <w:spacing w:before="240"/>
    </w:pPr>
    <w:rPr>
      <w:rFonts w:ascii="Times New Roman" w:hAnsi="Times New Roman"/>
      <w:smallCaps/>
      <w:spacing w:val="80"/>
      <w:sz w:val="28"/>
    </w:rPr>
  </w:style>
  <w:style w:type="paragraph" w:customStyle="1" w:styleId="InChapter">
    <w:name w:val="InChapter"/>
    <w:basedOn w:val="Heading3"/>
    <w:rsid w:val="00A63676"/>
    <w:pPr>
      <w:spacing w:after="240"/>
      <w:outlineLvl w:val="9"/>
    </w:pPr>
    <w:rPr>
      <w:noProof/>
    </w:rPr>
  </w:style>
  <w:style w:type="paragraph" w:styleId="Index2">
    <w:name w:val="index 2"/>
    <w:basedOn w:val="Normal"/>
    <w:next w:val="Normal"/>
    <w:semiHidden/>
    <w:rsid w:val="00A63676"/>
    <w:pPr>
      <w:tabs>
        <w:tab w:val="right" w:pos="4176"/>
      </w:tabs>
      <w:ind w:left="568" w:hanging="284"/>
    </w:pPr>
    <w:rPr>
      <w:rFonts w:ascii="Garamond" w:hAnsi="Garamond"/>
    </w:rPr>
  </w:style>
  <w:style w:type="paragraph" w:customStyle="1" w:styleId="Byline">
    <w:name w:val="Byline"/>
    <w:rsid w:val="00A636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3676"/>
    <w:pPr>
      <w:tabs>
        <w:tab w:val="clear" w:pos="3600"/>
        <w:tab w:val="clear" w:pos="3958"/>
      </w:tabs>
      <w:jc w:val="right"/>
    </w:pPr>
  </w:style>
  <w:style w:type="character" w:styleId="Emphasis">
    <w:name w:val="Emphasis"/>
    <w:basedOn w:val="DefaultParagraphFont"/>
    <w:qFormat/>
    <w:rsid w:val="00A63676"/>
    <w:rPr>
      <w:i/>
    </w:rPr>
  </w:style>
  <w:style w:type="paragraph" w:styleId="Caption">
    <w:name w:val="caption"/>
    <w:basedOn w:val="BodyText"/>
    <w:next w:val="Normal"/>
    <w:qFormat/>
    <w:rsid w:val="00A63676"/>
    <w:pPr>
      <w:framePr w:w="2268" w:hSpace="181" w:vSpace="181" w:wrap="around" w:vAnchor="text" w:hAnchor="page" w:x="1135" w:y="285" w:anchorLock="1"/>
    </w:pPr>
    <w:rPr>
      <w:i/>
    </w:rPr>
  </w:style>
  <w:style w:type="paragraph" w:customStyle="1" w:styleId="MiniTOCTitle">
    <w:name w:val="MiniTOCTitle"/>
    <w:basedOn w:val="Heading4"/>
    <w:rsid w:val="00A63676"/>
    <w:pPr>
      <w:spacing w:before="240"/>
      <w:outlineLvl w:val="9"/>
    </w:pPr>
    <w:rPr>
      <w:noProof/>
      <w:sz w:val="24"/>
    </w:rPr>
  </w:style>
  <w:style w:type="paragraph" w:customStyle="1" w:styleId="MiniTOCItem">
    <w:name w:val="MiniTOCItem"/>
    <w:basedOn w:val="ListBullet"/>
    <w:rsid w:val="00A63676"/>
    <w:pPr>
      <w:numPr>
        <w:numId w:val="0"/>
      </w:numPr>
      <w:tabs>
        <w:tab w:val="right" w:leader="dot" w:pos="6521"/>
      </w:tabs>
      <w:spacing w:before="0" w:after="0"/>
    </w:pPr>
  </w:style>
  <w:style w:type="paragraph" w:customStyle="1" w:styleId="TOFTitle">
    <w:name w:val="TOFTitle"/>
    <w:basedOn w:val="TOCTitle"/>
    <w:rsid w:val="00A63676"/>
  </w:style>
  <w:style w:type="paragraph" w:styleId="TableofFigures">
    <w:name w:val="table of figures"/>
    <w:basedOn w:val="Normal"/>
    <w:next w:val="Normal"/>
    <w:semiHidden/>
    <w:rsid w:val="00A63676"/>
    <w:pPr>
      <w:tabs>
        <w:tab w:val="right" w:leader="dot" w:pos="9072"/>
      </w:tabs>
      <w:ind w:left="970" w:hanging="403"/>
    </w:pPr>
    <w:rPr>
      <w:rFonts w:ascii="Times New Roman" w:hAnsi="Times New Roman"/>
      <w:b/>
    </w:rPr>
  </w:style>
  <w:style w:type="paragraph" w:styleId="ListNumber">
    <w:name w:val="List Number"/>
    <w:basedOn w:val="List"/>
    <w:rsid w:val="00A63676"/>
    <w:pPr>
      <w:numPr>
        <w:numId w:val="11"/>
      </w:numPr>
    </w:pPr>
  </w:style>
  <w:style w:type="character" w:customStyle="1" w:styleId="WingdingSymbols">
    <w:name w:val="Wingding Symbols"/>
    <w:rsid w:val="00A63676"/>
    <w:rPr>
      <w:rFonts w:ascii="Wingdings" w:hAnsi="Wingdings"/>
    </w:rPr>
  </w:style>
  <w:style w:type="paragraph" w:customStyle="1" w:styleId="TableHeading">
    <w:name w:val="Table Heading"/>
    <w:basedOn w:val="HeadingBase"/>
    <w:rsid w:val="00A63676"/>
    <w:pPr>
      <w:keepLines/>
      <w:pBdr>
        <w:bottom w:val="single" w:sz="6" w:space="1" w:color="918585"/>
      </w:pBdr>
      <w:spacing w:before="240"/>
    </w:pPr>
  </w:style>
  <w:style w:type="character" w:customStyle="1" w:styleId="HotSpot">
    <w:name w:val="HotSpot"/>
    <w:rsid w:val="00A63676"/>
    <w:rPr>
      <w:color w:val="0033CC"/>
      <w:u w:val="none"/>
    </w:rPr>
  </w:style>
  <w:style w:type="paragraph" w:customStyle="1" w:styleId="BodyTextRight">
    <w:name w:val="Body Text Right"/>
    <w:basedOn w:val="BodyText"/>
    <w:rsid w:val="00A63676"/>
    <w:pPr>
      <w:spacing w:before="0" w:after="0"/>
      <w:jc w:val="right"/>
    </w:pPr>
  </w:style>
  <w:style w:type="paragraph" w:styleId="Index3">
    <w:name w:val="index 3"/>
    <w:basedOn w:val="ListNumber2"/>
    <w:next w:val="Normal"/>
    <w:semiHidden/>
    <w:rsid w:val="00A63676"/>
    <w:pPr>
      <w:numPr>
        <w:numId w:val="0"/>
      </w:numPr>
      <w:tabs>
        <w:tab w:val="right" w:leader="dot" w:pos="4176"/>
      </w:tabs>
    </w:pPr>
  </w:style>
  <w:style w:type="paragraph" w:styleId="ListNumber2">
    <w:name w:val="List Number 2"/>
    <w:basedOn w:val="List2"/>
    <w:rsid w:val="00A63676"/>
    <w:pPr>
      <w:numPr>
        <w:numId w:val="10"/>
      </w:numPr>
      <w:tabs>
        <w:tab w:val="clear" w:pos="1060"/>
      </w:tabs>
    </w:pPr>
  </w:style>
  <w:style w:type="paragraph" w:customStyle="1" w:styleId="MarginNote">
    <w:name w:val="Margin Note"/>
    <w:basedOn w:val="BodyText"/>
    <w:rsid w:val="00A636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36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36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3676"/>
    <w:rPr>
      <w:sz w:val="32"/>
    </w:rPr>
  </w:style>
  <w:style w:type="paragraph" w:customStyle="1" w:styleId="HeadingProcedure">
    <w:name w:val="Heading Procedure"/>
    <w:basedOn w:val="HeadingBase"/>
    <w:next w:val="Normal"/>
    <w:rsid w:val="00A63676"/>
    <w:pPr>
      <w:tabs>
        <w:tab w:val="left" w:pos="0"/>
      </w:tabs>
      <w:spacing w:before="120" w:after="60"/>
    </w:pPr>
    <w:rPr>
      <w:i/>
      <w:color w:val="918585"/>
      <w:sz w:val="22"/>
    </w:rPr>
  </w:style>
  <w:style w:type="paragraph" w:customStyle="1" w:styleId="TableBodyText">
    <w:name w:val="Table Body Text"/>
    <w:basedOn w:val="BodyText"/>
    <w:rsid w:val="00A63676"/>
    <w:pPr>
      <w:spacing w:before="60" w:after="60"/>
    </w:pPr>
  </w:style>
  <w:style w:type="paragraph" w:styleId="ListContinue">
    <w:name w:val="List Continue"/>
    <w:basedOn w:val="List"/>
    <w:rsid w:val="00A63676"/>
    <w:pPr>
      <w:ind w:firstLine="0"/>
    </w:pPr>
  </w:style>
  <w:style w:type="paragraph" w:customStyle="1" w:styleId="ListNote">
    <w:name w:val="List Note"/>
    <w:basedOn w:val="List"/>
    <w:rsid w:val="00A63676"/>
    <w:pPr>
      <w:pBdr>
        <w:top w:val="single" w:sz="6" w:space="2" w:color="918585"/>
        <w:bottom w:val="single" w:sz="6" w:space="2" w:color="918585"/>
      </w:pBdr>
      <w:tabs>
        <w:tab w:val="left" w:pos="1021"/>
      </w:tabs>
      <w:ind w:firstLine="0"/>
    </w:pPr>
  </w:style>
  <w:style w:type="paragraph" w:customStyle="1" w:styleId="Warning">
    <w:name w:val="Warning"/>
    <w:basedOn w:val="BodyText"/>
    <w:rsid w:val="00A63676"/>
    <w:pPr>
      <w:shd w:val="clear" w:color="auto" w:fill="D9D9D9"/>
      <w:tabs>
        <w:tab w:val="left" w:pos="992"/>
      </w:tabs>
      <w:ind w:left="119" w:right="119"/>
    </w:pPr>
    <w:rPr>
      <w:sz w:val="20"/>
    </w:rPr>
  </w:style>
  <w:style w:type="paragraph" w:customStyle="1" w:styleId="MarginIcons">
    <w:name w:val="Margin Icons"/>
    <w:basedOn w:val="BodyText"/>
    <w:rsid w:val="00A636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3676"/>
    <w:rPr>
      <w:rFonts w:ascii="Courier New" w:hAnsi="Courier New"/>
    </w:rPr>
  </w:style>
  <w:style w:type="paragraph" w:customStyle="1" w:styleId="NoteBullet">
    <w:name w:val="Note Bullet"/>
    <w:basedOn w:val="Note"/>
    <w:rsid w:val="00A63676"/>
    <w:pPr>
      <w:tabs>
        <w:tab w:val="clear" w:pos="680"/>
      </w:tabs>
      <w:spacing w:before="60" w:after="60"/>
    </w:pPr>
  </w:style>
  <w:style w:type="paragraph" w:customStyle="1" w:styleId="SubHeading2">
    <w:name w:val="SubHeading2"/>
    <w:basedOn w:val="HeadingBase"/>
    <w:rsid w:val="00A63676"/>
    <w:pPr>
      <w:spacing w:before="240" w:after="60"/>
    </w:pPr>
    <w:rPr>
      <w:sz w:val="20"/>
    </w:rPr>
  </w:style>
  <w:style w:type="paragraph" w:customStyle="1" w:styleId="SubHeading1">
    <w:name w:val="SubHeading1"/>
    <w:basedOn w:val="HeadingBase"/>
    <w:rsid w:val="00A63676"/>
    <w:pPr>
      <w:spacing w:before="240" w:after="60"/>
    </w:pPr>
    <w:rPr>
      <w:color w:val="918585"/>
      <w:sz w:val="22"/>
    </w:rPr>
  </w:style>
  <w:style w:type="paragraph" w:customStyle="1" w:styleId="SideHeading">
    <w:name w:val="Side Heading"/>
    <w:basedOn w:val="HeadingBase"/>
    <w:rsid w:val="00A636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3676"/>
    <w:pPr>
      <w:numPr>
        <w:numId w:val="12"/>
      </w:numPr>
    </w:pPr>
  </w:style>
  <w:style w:type="paragraph" w:styleId="PlainText">
    <w:name w:val="Plain Text"/>
    <w:basedOn w:val="Normal"/>
    <w:link w:val="PlainTextChar"/>
    <w:rsid w:val="00A63676"/>
    <w:rPr>
      <w:sz w:val="20"/>
    </w:rPr>
  </w:style>
  <w:style w:type="character" w:customStyle="1" w:styleId="PlainTextChar">
    <w:name w:val="Plain Text Char"/>
    <w:basedOn w:val="DefaultParagraphFont"/>
    <w:link w:val="PlainText"/>
    <w:rsid w:val="00A63676"/>
    <w:rPr>
      <w:rFonts w:ascii="Courier New" w:eastAsia="Times New Roman" w:hAnsi="Courier New" w:cs="Times New Roman"/>
      <w:sz w:val="20"/>
      <w:szCs w:val="20"/>
      <w:lang w:eastAsia="en-US"/>
    </w:rPr>
  </w:style>
  <w:style w:type="character" w:customStyle="1" w:styleId="MenuOption">
    <w:name w:val="Menu Option"/>
    <w:basedOn w:val="DefaultParagraphFont"/>
    <w:rsid w:val="00A63676"/>
    <w:rPr>
      <w:b/>
      <w:smallCaps/>
    </w:rPr>
  </w:style>
  <w:style w:type="paragraph" w:customStyle="1" w:styleId="TableListNumber">
    <w:name w:val="Table List Number"/>
    <w:basedOn w:val="ListNumber"/>
    <w:rsid w:val="00A63676"/>
    <w:pPr>
      <w:numPr>
        <w:numId w:val="0"/>
      </w:numPr>
    </w:pPr>
  </w:style>
  <w:style w:type="paragraph" w:styleId="TOC4">
    <w:name w:val="toc 4"/>
    <w:basedOn w:val="TOCBase"/>
    <w:next w:val="Normal"/>
    <w:semiHidden/>
    <w:rsid w:val="00A63676"/>
    <w:pPr>
      <w:tabs>
        <w:tab w:val="right" w:leader="dot" w:pos="9071"/>
      </w:tabs>
      <w:ind w:left="1701"/>
    </w:pPr>
  </w:style>
  <w:style w:type="paragraph" w:customStyle="1" w:styleId="ListAlpha">
    <w:name w:val="List Alpha"/>
    <w:basedOn w:val="List"/>
    <w:rsid w:val="00A63676"/>
    <w:pPr>
      <w:numPr>
        <w:numId w:val="9"/>
      </w:numPr>
    </w:pPr>
  </w:style>
  <w:style w:type="paragraph" w:customStyle="1" w:styleId="ListAlpha2">
    <w:name w:val="List Alpha 2"/>
    <w:basedOn w:val="List2"/>
    <w:rsid w:val="00A63676"/>
    <w:pPr>
      <w:numPr>
        <w:numId w:val="8"/>
      </w:numPr>
    </w:pPr>
  </w:style>
  <w:style w:type="paragraph" w:styleId="List2">
    <w:name w:val="List 2"/>
    <w:basedOn w:val="BodyText"/>
    <w:rsid w:val="00A63676"/>
    <w:pPr>
      <w:tabs>
        <w:tab w:val="left" w:pos="680"/>
      </w:tabs>
      <w:spacing w:before="60" w:after="60"/>
      <w:ind w:left="680" w:hanging="340"/>
    </w:pPr>
  </w:style>
  <w:style w:type="paragraph" w:styleId="List3">
    <w:name w:val="List 3"/>
    <w:basedOn w:val="BodyText"/>
    <w:rsid w:val="00A63676"/>
    <w:pPr>
      <w:tabs>
        <w:tab w:val="left" w:pos="1021"/>
      </w:tabs>
      <w:spacing w:before="60" w:after="60"/>
      <w:ind w:left="1020" w:hanging="340"/>
    </w:pPr>
  </w:style>
  <w:style w:type="paragraph" w:styleId="List4">
    <w:name w:val="List 4"/>
    <w:basedOn w:val="BodyText"/>
    <w:rsid w:val="00A63676"/>
    <w:pPr>
      <w:tabs>
        <w:tab w:val="left" w:pos="1361"/>
      </w:tabs>
      <w:spacing w:before="60" w:after="60"/>
      <w:ind w:left="1361" w:hanging="340"/>
    </w:pPr>
  </w:style>
  <w:style w:type="paragraph" w:styleId="List5">
    <w:name w:val="List 5"/>
    <w:basedOn w:val="BodyText"/>
    <w:rsid w:val="00A63676"/>
    <w:pPr>
      <w:tabs>
        <w:tab w:val="left" w:pos="1701"/>
      </w:tabs>
      <w:spacing w:before="60" w:after="60"/>
      <w:ind w:left="1701" w:hanging="340"/>
    </w:pPr>
  </w:style>
  <w:style w:type="paragraph" w:styleId="ListBullet3">
    <w:name w:val="List Bullet 3"/>
    <w:basedOn w:val="List3"/>
    <w:rsid w:val="00A63676"/>
    <w:pPr>
      <w:numPr>
        <w:numId w:val="15"/>
      </w:numPr>
      <w:tabs>
        <w:tab w:val="clear" w:pos="1021"/>
      </w:tabs>
      <w:ind w:left="1037" w:hanging="357"/>
    </w:pPr>
  </w:style>
  <w:style w:type="paragraph" w:styleId="ListBullet4">
    <w:name w:val="List Bullet 4"/>
    <w:basedOn w:val="List4"/>
    <w:rsid w:val="00A63676"/>
    <w:pPr>
      <w:numPr>
        <w:numId w:val="3"/>
      </w:numPr>
    </w:pPr>
  </w:style>
  <w:style w:type="paragraph" w:styleId="ListBullet5">
    <w:name w:val="List Bullet 5"/>
    <w:basedOn w:val="List5"/>
    <w:rsid w:val="00A63676"/>
    <w:pPr>
      <w:numPr>
        <w:numId w:val="4"/>
      </w:numPr>
    </w:pPr>
  </w:style>
  <w:style w:type="paragraph" w:styleId="ListContinue2">
    <w:name w:val="List Continue 2"/>
    <w:basedOn w:val="List2"/>
    <w:rsid w:val="00A63676"/>
    <w:pPr>
      <w:ind w:firstLine="0"/>
    </w:pPr>
  </w:style>
  <w:style w:type="paragraph" w:styleId="ListContinue3">
    <w:name w:val="List Continue 3"/>
    <w:basedOn w:val="List3"/>
    <w:rsid w:val="00A63676"/>
    <w:pPr>
      <w:ind w:left="1021" w:firstLine="0"/>
    </w:pPr>
  </w:style>
  <w:style w:type="paragraph" w:styleId="ListContinue4">
    <w:name w:val="List Continue 4"/>
    <w:basedOn w:val="List4"/>
    <w:rsid w:val="00A63676"/>
    <w:pPr>
      <w:ind w:firstLine="0"/>
    </w:pPr>
  </w:style>
  <w:style w:type="paragraph" w:styleId="ListContinue5">
    <w:name w:val="List Continue 5"/>
    <w:basedOn w:val="List5"/>
    <w:rsid w:val="00A63676"/>
    <w:pPr>
      <w:ind w:firstLine="0"/>
    </w:pPr>
  </w:style>
  <w:style w:type="paragraph" w:styleId="ListNumber3">
    <w:name w:val="List Number 3"/>
    <w:basedOn w:val="List3"/>
    <w:rsid w:val="00A63676"/>
    <w:pPr>
      <w:numPr>
        <w:numId w:val="5"/>
      </w:numPr>
    </w:pPr>
  </w:style>
  <w:style w:type="paragraph" w:styleId="ListNumber4">
    <w:name w:val="List Number 4"/>
    <w:basedOn w:val="List4"/>
    <w:rsid w:val="00A63676"/>
    <w:pPr>
      <w:numPr>
        <w:numId w:val="6"/>
      </w:numPr>
    </w:pPr>
  </w:style>
  <w:style w:type="paragraph" w:styleId="ListNumber5">
    <w:name w:val="List Number 5"/>
    <w:basedOn w:val="List5"/>
    <w:rsid w:val="00A63676"/>
    <w:pPr>
      <w:numPr>
        <w:numId w:val="7"/>
      </w:numPr>
    </w:pPr>
  </w:style>
  <w:style w:type="paragraph" w:styleId="BlockText">
    <w:name w:val="Block Text"/>
    <w:basedOn w:val="Normal"/>
    <w:rsid w:val="00A63676"/>
    <w:pPr>
      <w:spacing w:after="120"/>
      <w:ind w:left="1440" w:right="1440"/>
    </w:pPr>
  </w:style>
  <w:style w:type="character" w:customStyle="1" w:styleId="Subscript">
    <w:name w:val="Subscript"/>
    <w:basedOn w:val="DefaultParagraphFont"/>
    <w:rsid w:val="00A63676"/>
    <w:rPr>
      <w:sz w:val="16"/>
      <w:vertAlign w:val="subscript"/>
    </w:rPr>
  </w:style>
  <w:style w:type="character" w:customStyle="1" w:styleId="Superscript">
    <w:name w:val="Superscript"/>
    <w:basedOn w:val="DefaultParagraphFont"/>
    <w:rsid w:val="00A63676"/>
    <w:rPr>
      <w:sz w:val="16"/>
      <w:vertAlign w:val="superscript"/>
    </w:rPr>
  </w:style>
  <w:style w:type="character" w:customStyle="1" w:styleId="Symbols">
    <w:name w:val="Symbols"/>
    <w:basedOn w:val="DefaultParagraphFont"/>
    <w:rsid w:val="00A63676"/>
    <w:rPr>
      <w:rFonts w:ascii="Symbol" w:hAnsi="Symbol"/>
    </w:rPr>
  </w:style>
  <w:style w:type="character" w:customStyle="1" w:styleId="MenuOptions">
    <w:name w:val="Menu Options"/>
    <w:basedOn w:val="DefaultParagraphFont"/>
    <w:rsid w:val="00A63676"/>
    <w:rPr>
      <w:rFonts w:ascii="Arial Narrow" w:hAnsi="Arial Narrow"/>
      <w:smallCaps/>
    </w:rPr>
  </w:style>
  <w:style w:type="character" w:customStyle="1" w:styleId="Buttons">
    <w:name w:val="Buttons"/>
    <w:basedOn w:val="DefaultParagraphFont"/>
    <w:rsid w:val="00A63676"/>
    <w:rPr>
      <w:b/>
    </w:rPr>
  </w:style>
  <w:style w:type="character" w:customStyle="1" w:styleId="Underlined">
    <w:name w:val="Underlined"/>
    <w:basedOn w:val="DefaultParagraphFont"/>
    <w:rsid w:val="00A63676"/>
    <w:rPr>
      <w:u w:val="single"/>
    </w:rPr>
  </w:style>
  <w:style w:type="paragraph" w:customStyle="1" w:styleId="TableBodyTextRight">
    <w:name w:val="Table Body Text Right"/>
    <w:basedOn w:val="TableBodyText"/>
    <w:rsid w:val="00A63676"/>
    <w:pPr>
      <w:widowControl w:val="0"/>
      <w:autoSpaceDE w:val="0"/>
      <w:autoSpaceDN w:val="0"/>
      <w:adjustRightInd w:val="0"/>
      <w:jc w:val="right"/>
    </w:pPr>
    <w:rPr>
      <w:rFonts w:cs="Arial"/>
      <w:szCs w:val="18"/>
    </w:rPr>
  </w:style>
  <w:style w:type="paragraph" w:customStyle="1" w:styleId="CopyrightText">
    <w:name w:val="Copyright Text"/>
    <w:basedOn w:val="BodyText"/>
    <w:rsid w:val="00A63676"/>
    <w:rPr>
      <w:sz w:val="18"/>
    </w:rPr>
  </w:style>
  <w:style w:type="paragraph" w:customStyle="1" w:styleId="BodySmallRight">
    <w:name w:val="Body Small Right"/>
    <w:basedOn w:val="BodyTextRight"/>
    <w:rsid w:val="00A63676"/>
    <w:rPr>
      <w:sz w:val="18"/>
      <w:szCs w:val="18"/>
    </w:rPr>
  </w:style>
  <w:style w:type="paragraph" w:customStyle="1" w:styleId="MarginEdition">
    <w:name w:val="Margin Edition"/>
    <w:basedOn w:val="MarginNote"/>
    <w:rsid w:val="00A63676"/>
    <w:pPr>
      <w:spacing w:before="0" w:after="0"/>
    </w:pPr>
    <w:rPr>
      <w:rFonts w:ascii="Times New Roman" w:hAnsi="Times New Roman"/>
      <w:color w:val="999999"/>
    </w:rPr>
  </w:style>
  <w:style w:type="paragraph" w:customStyle="1" w:styleId="Spacer">
    <w:name w:val="Spacer"/>
    <w:basedOn w:val="Normal"/>
    <w:rsid w:val="00A63676"/>
    <w:rPr>
      <w:sz w:val="2"/>
      <w:szCs w:val="2"/>
    </w:rPr>
  </w:style>
  <w:style w:type="character" w:customStyle="1" w:styleId="Small">
    <w:name w:val="Small"/>
    <w:basedOn w:val="DefaultParagraphFont"/>
    <w:rsid w:val="00A63676"/>
    <w:rPr>
      <w:sz w:val="16"/>
    </w:rPr>
  </w:style>
  <w:style w:type="paragraph" w:customStyle="1" w:styleId="WideTable">
    <w:name w:val="Wide Table"/>
    <w:basedOn w:val="Normal"/>
    <w:rsid w:val="00A63676"/>
    <w:pPr>
      <w:ind w:left="-1418"/>
    </w:pPr>
    <w:rPr>
      <w:sz w:val="2"/>
      <w:szCs w:val="2"/>
    </w:rPr>
  </w:style>
  <w:style w:type="character" w:styleId="PageNumber">
    <w:name w:val="page number"/>
    <w:basedOn w:val="DefaultParagraphFont"/>
    <w:rsid w:val="00A63676"/>
  </w:style>
  <w:style w:type="paragraph" w:styleId="Quote">
    <w:name w:val="Quote"/>
    <w:basedOn w:val="Heading1"/>
    <w:link w:val="QuoteChar"/>
    <w:qFormat/>
    <w:rsid w:val="00A63676"/>
    <w:rPr>
      <w:b w:val="0"/>
      <w:sz w:val="72"/>
      <w:szCs w:val="72"/>
      <w:lang w:val="en-NZ"/>
    </w:rPr>
  </w:style>
  <w:style w:type="character" w:customStyle="1" w:styleId="QuoteChar">
    <w:name w:val="Quote Char"/>
    <w:basedOn w:val="DefaultParagraphFont"/>
    <w:link w:val="Quote"/>
    <w:rsid w:val="00A636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3676"/>
    <w:pPr>
      <w:pageBreakBefore/>
    </w:pPr>
  </w:style>
  <w:style w:type="paragraph" w:customStyle="1" w:styleId="Border">
    <w:name w:val="Border"/>
    <w:basedOn w:val="Normal"/>
    <w:qFormat/>
    <w:rsid w:val="00A636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3676"/>
    <w:rPr>
      <w:b/>
      <w:bCs/>
      <w:i/>
      <w:iCs/>
      <w:color w:val="auto"/>
    </w:rPr>
  </w:style>
  <w:style w:type="paragraph" w:styleId="IntenseQuote">
    <w:name w:val="Intense Quote"/>
    <w:basedOn w:val="Normal"/>
    <w:next w:val="Normal"/>
    <w:link w:val="IntenseQuoteChar"/>
    <w:uiPriority w:val="30"/>
    <w:qFormat/>
    <w:rsid w:val="00A636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36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3676"/>
    <w:rPr>
      <w:smallCaps/>
      <w:color w:val="auto"/>
      <w:u w:val="single"/>
    </w:rPr>
  </w:style>
  <w:style w:type="character" w:styleId="IntenseReference">
    <w:name w:val="Intense Reference"/>
    <w:basedOn w:val="DefaultParagraphFont"/>
    <w:uiPriority w:val="32"/>
    <w:qFormat/>
    <w:rsid w:val="00A63676"/>
    <w:rPr>
      <w:b/>
      <w:bCs/>
      <w:smallCaps/>
      <w:color w:val="auto"/>
      <w:spacing w:val="5"/>
      <w:u w:val="single"/>
    </w:rPr>
  </w:style>
  <w:style w:type="paragraph" w:customStyle="1" w:styleId="2ColumnHeading">
    <w:name w:val="2Column Heading"/>
    <w:basedOn w:val="BodyText"/>
    <w:qFormat/>
    <w:rsid w:val="00A63676"/>
    <w:pPr>
      <w:spacing w:after="60"/>
      <w:ind w:left="-2268"/>
    </w:pPr>
    <w:rPr>
      <w:b/>
    </w:rPr>
  </w:style>
  <w:style w:type="paragraph" w:customStyle="1" w:styleId="Heading1TOC">
    <w:name w:val="Heading1 TOC"/>
    <w:basedOn w:val="Normal"/>
    <w:qFormat/>
    <w:rsid w:val="00A63676"/>
    <w:pPr>
      <w:spacing w:before="240" w:after="120"/>
    </w:pPr>
    <w:rPr>
      <w:rFonts w:ascii="Times New Roman" w:hAnsi="Times New Roman"/>
      <w:b/>
      <w:sz w:val="32"/>
    </w:rPr>
  </w:style>
  <w:style w:type="paragraph" w:customStyle="1" w:styleId="Heading2TOC">
    <w:name w:val="Heading2 TOC"/>
    <w:basedOn w:val="Normal"/>
    <w:qFormat/>
    <w:rsid w:val="00A63676"/>
    <w:pPr>
      <w:spacing w:before="240" w:after="60"/>
    </w:pPr>
    <w:rPr>
      <w:rFonts w:ascii="Times New Roman" w:hAnsi="Times New Roman"/>
      <w:b/>
      <w:sz w:val="28"/>
    </w:rPr>
  </w:style>
  <w:style w:type="character" w:customStyle="1" w:styleId="Underline">
    <w:name w:val="Underline"/>
    <w:basedOn w:val="DefaultParagraphFont"/>
    <w:qFormat/>
    <w:rsid w:val="00A63676"/>
    <w:rPr>
      <w:u w:val="single"/>
    </w:rPr>
  </w:style>
  <w:style w:type="character" w:customStyle="1" w:styleId="BoldandItalics">
    <w:name w:val="Bold and Italics"/>
    <w:qFormat/>
    <w:rsid w:val="00A63676"/>
    <w:rPr>
      <w:b/>
      <w:i/>
      <w:u w:val="none"/>
    </w:rPr>
  </w:style>
  <w:style w:type="paragraph" w:styleId="BalloonText">
    <w:name w:val="Balloon Text"/>
    <w:basedOn w:val="Normal"/>
    <w:link w:val="BalloonTextChar"/>
    <w:rsid w:val="00A63676"/>
    <w:rPr>
      <w:rFonts w:ascii="Tahoma" w:hAnsi="Tahoma" w:cs="Tahoma"/>
      <w:sz w:val="16"/>
      <w:szCs w:val="16"/>
    </w:rPr>
  </w:style>
  <w:style w:type="character" w:customStyle="1" w:styleId="BalloonTextChar">
    <w:name w:val="Balloon Text Char"/>
    <w:basedOn w:val="DefaultParagraphFont"/>
    <w:link w:val="BalloonText"/>
    <w:rsid w:val="00A636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36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36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3676"/>
    <w:rPr>
      <w:b/>
      <w:color w:val="660033"/>
      <w:spacing w:val="0"/>
    </w:rPr>
  </w:style>
  <w:style w:type="paragraph" w:customStyle="1" w:styleId="Nameditemlist">
    <w:name w:val="Named item list"/>
    <w:basedOn w:val="BodyText"/>
    <w:qFormat/>
    <w:rsid w:val="00A636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2288</Words>
  <Characters>13974</Characters>
  <Application>Microsoft Office Word</Application>
  <DocSecurity>0</DocSecurity>
  <Lines>574</Lines>
  <Paragraphs>229</Paragraphs>
  <ScaleCrop>false</ScaleCrop>
  <Company>Author-it Software Corporation Ltd.</Company>
  <LinksUpToDate>false</LinksUpToDate>
  <CharactersWithSpaces>16096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UEENEEG076A Install and replace low voltage current transformer metering</dc:title>
  <dc:subject>Approved</dc:subject>
  <dc:creator>E-OZ Training Standards</dc:creator>
  <cp:keywords>Release: 3</cp:keywords>
  <dc:description>Review Date: 12 April 2008</dc:description>
  <cp:lastModifiedBy>TPCMS</cp:lastModifiedBy>
  <cp:revision>3</cp:revision>
  <dcterms:created xsi:type="dcterms:W3CDTF">2013-08-14T07:30:00Z</dcterms:created>
  <dcterms:modified xsi:type="dcterms:W3CDTF">2013-08-14T07:30:00Z</dcterms:modified>
</cp:coreProperties>
</file>