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42A4" w:rsidP="00E842A4">
      <w:pPr>
        <w:pStyle w:val="Title"/>
      </w:pPr>
      <w:r>
        <w:fldChar w:fldCharType="begin"/>
      </w:r>
      <w:r>
        <w:instrText xml:space="preserve"> TITLE   \* MERGEFORMAT </w:instrText>
      </w:r>
      <w:r>
        <w:fldChar w:fldCharType="separate"/>
      </w:r>
      <w:r>
        <w:t>UEENEEG054B Rewind direct current machines rated for low voltage</w:t>
      </w:r>
      <w:r>
        <w:fldChar w:fldCharType="end"/>
      </w:r>
    </w:p>
    <w:p w:rsidR="00E842A4" w:rsidP="00E842A4">
      <w:pPr>
        <w:pStyle w:val="Version"/>
        <w:sectPr w:rsidSect="00EE754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7549" w:rsidP="00EE7549">
      <w:pPr>
        <w:pStyle w:val="SuperHeading"/>
      </w:pPr>
      <w:r w:rsidRPr="00EE7549">
        <w:t>UEENEEG054B Rewind direct current machines rated for low voltage</w:t>
      </w:r>
    </w:p>
    <w:p w:rsidR="00000000" w:rsidRPr="00EE7549" w:rsidP="00EE7549">
      <w:pPr>
        <w:pStyle w:val="Heading1"/>
      </w:pPr>
      <w:bookmarkStart w:id="1" w:name="O_274652"/>
      <w:bookmarkEnd w:id="1"/>
      <w:r w:rsidRPr="00EE7549">
        <w:t>Modification History</w:t>
      </w:r>
    </w:p>
    <w:p w:rsidR="00000000" w:rsidRPr="00EE7549" w:rsidP="00EE7549">
      <w:pPr>
        <w:pStyle w:val="BodyText"/>
      </w:pPr>
      <w:r w:rsidRPr="00EE7549">
        <w:t>Not Applicable</w:t>
      </w:r>
    </w:p>
    <w:p w:rsidR="00000000" w:rsidRPr="00EE7549" w:rsidP="00EE7549">
      <w:pPr>
        <w:pStyle w:val="AllowPageBreak"/>
      </w:pPr>
    </w:p>
    <w:p w:rsidR="00000000" w:rsidRPr="00EE7549" w:rsidP="00EE7549">
      <w:pPr>
        <w:pStyle w:val="Heading1"/>
      </w:pPr>
      <w:bookmarkStart w:id="2" w:name="O_226330"/>
      <w:bookmarkEnd w:id="2"/>
      <w:r w:rsidRPr="00EE7549">
        <w:t>Unit Descriptor</w:t>
      </w:r>
    </w:p>
    <w:tbl>
      <w:tblPr>
        <w:tblW w:w="0" w:type="auto"/>
        <w:tblLayout w:type="fixed"/>
        <w:tblCellMar>
          <w:left w:w="62" w:type="dxa"/>
          <w:right w:w="62" w:type="dxa"/>
        </w:tblCellMar>
        <w:tblLook w:val="0000"/>
      </w:tblPr>
      <w:tblGrid>
        <w:gridCol w:w="2700"/>
        <w:gridCol w:w="5760"/>
      </w:tblGrid>
      <w:tr w:rsidTr="00E842A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E7549" w:rsidP="00EE7549">
            <w:pPr>
              <w:pStyle w:val="BodyText"/>
            </w:pPr>
            <w:r w:rsidRPr="00EE7549">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EE7549" w:rsidP="00EE7549">
            <w:pPr>
              <w:pStyle w:val="BodyText"/>
            </w:pPr>
            <w:r w:rsidRPr="00EE7549">
              <w:rPr>
                <w:rStyle w:val="SpecialBold"/>
              </w:rPr>
              <w:t>1</w:t>
            </w:r>
            <w:r w:rsidRPr="00EE7549">
              <w:t xml:space="preserve">) </w:t>
            </w:r>
          </w:p>
          <w:p w:rsidR="00000000" w:rsidP="00EE7549">
            <w:pPr>
              <w:pStyle w:val="BodyText"/>
              <w:rPr>
                <w:lang w:val="en-NZ"/>
              </w:rPr>
            </w:pPr>
            <w:r w:rsidRPr="00EE7549">
              <w:rPr>
                <w:rStyle w:val="SpecialBold"/>
              </w:rPr>
              <w:t>1</w:t>
            </w:r>
            <w:r w:rsidRPr="00EE7549">
              <w:t>.</w:t>
            </w:r>
            <w:r w:rsidRPr="00EE7549">
              <w:rPr>
                <w:rStyle w:val="SpecialBold"/>
              </w:rPr>
              <w:t>1</w:t>
            </w:r>
            <w:r w:rsidRPr="00EE7549">
              <w:t xml:space="preserve">) </w:t>
            </w:r>
            <w:r w:rsidRPr="00EE7549">
              <w:rPr>
                <w:rStyle w:val="SpecialBold"/>
              </w:rPr>
              <w:t>Descriptor</w:t>
            </w:r>
          </w:p>
        </w:tc>
      </w:tr>
      <w:tr w:rsidTr="00E842A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E7549" w:rsidP="00EE7549">
            <w:pPr>
              <w:pStyle w:val="BodyText"/>
            </w:pPr>
            <w:r w:rsidRPr="00EE7549">
              <w:t>This unit covers preparing, placing and connecting coils and insulating direct current motor armatures and poles. It encompasses working safely, using hand and powered tools, measuring, applying knowledge of electrical circuits and stator windings, using t</w:t>
            </w:r>
            <w:r w:rsidRPr="00EE7549">
              <w:t>esting devices, applying technical and quality standards and keeping winding records.</w:t>
            </w:r>
          </w:p>
        </w:tc>
      </w:tr>
    </w:tbl>
    <w:p w:rsidR="00E842A4" w:rsidP="00EE7549">
      <w:pPr>
        <w:pStyle w:val="BodyText"/>
      </w:pPr>
    </w:p>
    <w:p w:rsidR="00E842A4" w:rsidP="00EE7549">
      <w:pPr>
        <w:pStyle w:val="BodyText"/>
      </w:pPr>
    </w:p>
    <w:p w:rsidR="00000000" w:rsidRPr="00EE7549" w:rsidP="00EE7549">
      <w:pPr>
        <w:pStyle w:val="Heading1"/>
      </w:pPr>
      <w:bookmarkStart w:id="3" w:name="O_226335"/>
      <w:bookmarkEnd w:id="3"/>
      <w:r w:rsidRPr="00EE7549">
        <w:t>Application of the Unit</w:t>
      </w:r>
    </w:p>
    <w:tbl>
      <w:tblPr>
        <w:tblW w:w="0" w:type="auto"/>
        <w:tblLayout w:type="fixed"/>
        <w:tblCellMar>
          <w:left w:w="62" w:type="dxa"/>
          <w:right w:w="62" w:type="dxa"/>
        </w:tblCellMar>
        <w:tblLook w:val="0000"/>
      </w:tblPr>
      <w:tblGrid>
        <w:gridCol w:w="2700"/>
        <w:gridCol w:w="5760"/>
      </w:tblGrid>
      <w:tr w:rsidTr="00E842A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E7549" w:rsidP="00EE7549">
            <w:pPr>
              <w:pStyle w:val="BodyText"/>
            </w:pPr>
            <w:r w:rsidRPr="00EE7549">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EE7549">
            <w:pPr>
              <w:pStyle w:val="BodyText"/>
              <w:rPr>
                <w:lang w:val="en-NZ"/>
              </w:rPr>
            </w:pPr>
            <w:r w:rsidRPr="00EE7549">
              <w:rPr>
                <w:rStyle w:val="SpecialBold"/>
              </w:rPr>
              <w:t>4</w:t>
            </w:r>
            <w:r w:rsidRPr="00EE7549">
              <w:t>)</w:t>
            </w:r>
          </w:p>
        </w:tc>
      </w:tr>
      <w:tr w:rsidTr="00E842A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E7549" w:rsidP="00EE7549">
            <w:pPr>
              <w:pStyle w:val="BodyText"/>
            </w:pPr>
            <w:r w:rsidRPr="00EE7549">
              <w:t>This unit is intended for competency development entry-level employment based programs incorporated in approved contracts of training.</w:t>
            </w:r>
          </w:p>
        </w:tc>
      </w:tr>
    </w:tbl>
    <w:p w:rsidR="00E842A4" w:rsidP="00EE7549">
      <w:pPr>
        <w:pStyle w:val="BodyText"/>
      </w:pPr>
    </w:p>
    <w:p w:rsidR="00E842A4" w:rsidP="00EE7549">
      <w:pPr>
        <w:pStyle w:val="BodyText"/>
      </w:pPr>
    </w:p>
    <w:p w:rsidR="00000000" w:rsidRPr="00EE7549" w:rsidP="00EE7549">
      <w:pPr>
        <w:pStyle w:val="Heading1"/>
      </w:pPr>
      <w:bookmarkStart w:id="4" w:name="O_226331"/>
      <w:bookmarkEnd w:id="4"/>
      <w:r w:rsidRPr="00EE7549">
        <w:t>Licensing/Regulatory Information</w:t>
      </w:r>
    </w:p>
    <w:tbl>
      <w:tblPr>
        <w:tblW w:w="0" w:type="auto"/>
        <w:tblLayout w:type="fixed"/>
        <w:tblCellMar>
          <w:left w:w="62" w:type="dxa"/>
          <w:right w:w="62" w:type="dxa"/>
        </w:tblCellMar>
        <w:tblLook w:val="0000"/>
      </w:tblPr>
      <w:tblGrid>
        <w:gridCol w:w="8460"/>
      </w:tblGrid>
      <w:tr w:rsidTr="00E842A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E7549">
            <w:pPr>
              <w:pStyle w:val="BodyText"/>
              <w:rPr>
                <w:lang w:val="en-NZ"/>
              </w:rPr>
            </w:pPr>
            <w:r w:rsidRPr="00EE7549">
              <w:rPr>
                <w:rStyle w:val="SpecialBold"/>
              </w:rPr>
              <w:t>1</w:t>
            </w:r>
            <w:r w:rsidRPr="00EE7549">
              <w:t>.</w:t>
            </w:r>
            <w:r w:rsidRPr="00EE7549">
              <w:rPr>
                <w:rStyle w:val="SpecialBold"/>
              </w:rPr>
              <w:t>2</w:t>
            </w:r>
            <w:r w:rsidRPr="00EE7549">
              <w:t xml:space="preserve">) </w:t>
            </w:r>
            <w:r w:rsidRPr="00EE7549">
              <w:rPr>
                <w:rStyle w:val="SpecialBold"/>
              </w:rPr>
              <w:t>License to practice</w:t>
            </w:r>
          </w:p>
        </w:tc>
      </w:tr>
      <w:tr w:rsidTr="00E842A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E7549" w:rsidP="00EE7549">
            <w:pPr>
              <w:pStyle w:val="BodyText"/>
            </w:pPr>
            <w:r w:rsidRPr="00EE7549">
              <w:t>The skills an</w:t>
            </w:r>
            <w:r w:rsidRPr="00EE7549">
              <w:t>d knowledge described in this unit do not require a license to practice in the workplace. However, practice in this unit is subject to regulations directly related to occupational health and safety and where applicable contracts of training such as apprent</w:t>
            </w:r>
            <w:r w:rsidRPr="00EE7549">
              <w:t>iceships.</w:t>
            </w:r>
          </w:p>
        </w:tc>
      </w:tr>
    </w:tbl>
    <w:p w:rsidR="00E842A4" w:rsidP="00EE7549">
      <w:pPr>
        <w:pStyle w:val="BodyText"/>
      </w:pPr>
    </w:p>
    <w:p w:rsidR="00E842A4" w:rsidP="00EE7549">
      <w:pPr>
        <w:pStyle w:val="BodyText"/>
      </w:pPr>
    </w:p>
    <w:p w:rsidR="00000000" w:rsidRPr="00EE7549" w:rsidP="00EE7549">
      <w:pPr>
        <w:pStyle w:val="Heading1"/>
      </w:pPr>
      <w:bookmarkStart w:id="5" w:name="O_226332"/>
      <w:bookmarkEnd w:id="5"/>
      <w:r w:rsidRPr="00EE7549">
        <w:t>Pre-Requisites</w:t>
      </w:r>
    </w:p>
    <w:tbl>
      <w:tblPr>
        <w:tblW w:w="0" w:type="auto"/>
        <w:tblLayout w:type="fixed"/>
        <w:tblCellMar>
          <w:left w:w="62" w:type="dxa"/>
          <w:right w:w="62" w:type="dxa"/>
        </w:tblCellMar>
        <w:tblLook w:val="0000"/>
      </w:tblPr>
      <w:tblGrid>
        <w:gridCol w:w="2700"/>
        <w:gridCol w:w="5760"/>
      </w:tblGrid>
      <w:tr w:rsidTr="00E842A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E7549" w:rsidP="00EE7549">
            <w:pPr>
              <w:pStyle w:val="BodyText"/>
            </w:pPr>
            <w:r w:rsidRPr="00EE7549">
              <w:rPr>
                <w:rStyle w:val="SpecialBold"/>
              </w:rPr>
              <w:t>Prerequisite Unit</w:t>
            </w:r>
            <w:r w:rsidRPr="00EE7549">
              <w:t>(</w:t>
            </w:r>
            <w:r w:rsidRPr="00EE7549">
              <w:rPr>
                <w:rStyle w:val="SpecialBold"/>
              </w:rPr>
              <w:t>s</w:t>
            </w:r>
            <w:r w:rsidRPr="00EE7549">
              <w:t>)</w:t>
            </w:r>
          </w:p>
        </w:tc>
        <w:tc>
          <w:tcPr>
            <w:tcW w:w="5760" w:type="dxa"/>
            <w:tcBorders>
              <w:top w:val="nil"/>
              <w:left w:val="nil"/>
              <w:bottom w:val="nil"/>
              <w:right w:val="nil"/>
            </w:tcBorders>
            <w:tcMar>
              <w:top w:w="0" w:type="dxa"/>
              <w:left w:w="62" w:type="dxa"/>
              <w:bottom w:w="0" w:type="dxa"/>
              <w:right w:w="62" w:type="dxa"/>
            </w:tcMar>
          </w:tcPr>
          <w:p w:rsidR="00000000" w:rsidP="00EE7549">
            <w:pPr>
              <w:pStyle w:val="BodyText"/>
              <w:rPr>
                <w:lang w:val="en-NZ"/>
              </w:rPr>
            </w:pPr>
            <w:r w:rsidRPr="00EE7549">
              <w:rPr>
                <w:rStyle w:val="SpecialBold"/>
              </w:rPr>
              <w:t>2</w:t>
            </w:r>
            <w:r w:rsidRPr="00EE7549">
              <w:t xml:space="preserve">) </w:t>
            </w:r>
          </w:p>
        </w:tc>
      </w:tr>
      <w:tr w:rsidTr="00E842A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E7549">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EE7549">
            <w:pPr>
              <w:pStyle w:val="BodyText"/>
              <w:rPr>
                <w:lang w:val="en-NZ"/>
              </w:rPr>
            </w:pPr>
            <w:r w:rsidRPr="00EE7549">
              <w:rPr>
                <w:rStyle w:val="SpecialBold"/>
              </w:rPr>
              <w:t>2</w:t>
            </w:r>
            <w:r w:rsidRPr="00EE7549">
              <w:t>.</w:t>
            </w:r>
            <w:r w:rsidRPr="00EE7549">
              <w:rPr>
                <w:rStyle w:val="SpecialBold"/>
              </w:rPr>
              <w:t>1</w:t>
            </w:r>
            <w:r w:rsidRPr="00EE7549">
              <w:t xml:space="preserve">) </w:t>
            </w:r>
            <w:r w:rsidRPr="00EE7549">
              <w:rPr>
                <w:rStyle w:val="SpecialBold"/>
              </w:rPr>
              <w:t>Competencies</w:t>
            </w:r>
          </w:p>
        </w:tc>
      </w:tr>
      <w:tr w:rsidTr="00E842A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E7549" w:rsidP="00EE7549">
            <w:pPr>
              <w:pStyle w:val="BodyText"/>
            </w:pPr>
            <w:r w:rsidRPr="00EE7549">
              <w:t>Granting competency in this unit shall be made only after competency in the following unit(s) has/have been confirmed.</w:t>
            </w:r>
          </w:p>
          <w:p w:rsidR="00000000" w:rsidRPr="00EE7549" w:rsidP="00EE7549">
            <w:pPr>
              <w:pStyle w:val="BodyText"/>
            </w:pPr>
            <w:r w:rsidRPr="00EE7549">
              <w:t>UEENEEG052B Rewind single phase induction machines</w:t>
            </w:r>
          </w:p>
          <w:p w:rsidR="00000000" w:rsidRPr="00EE7549" w:rsidP="00EE7549">
            <w:pPr>
              <w:pStyle w:val="BodyText"/>
            </w:pPr>
            <w:r w:rsidRPr="00EE7549">
              <w:t>For the full prerequisite chain details for this unit please refer to Table 2 in Volume 1, Part 2</w:t>
            </w:r>
          </w:p>
        </w:tc>
      </w:tr>
    </w:tbl>
    <w:p w:rsidR="00E842A4" w:rsidP="00EE7549">
      <w:pPr>
        <w:pStyle w:val="BodyText"/>
      </w:pPr>
    </w:p>
    <w:p w:rsidR="00E842A4" w:rsidP="00EE7549">
      <w:pPr>
        <w:pStyle w:val="BodyText"/>
      </w:pPr>
    </w:p>
    <w:p w:rsidR="00000000" w:rsidRPr="00EE7549" w:rsidP="00EE7549">
      <w:pPr>
        <w:pStyle w:val="Heading1"/>
      </w:pPr>
      <w:bookmarkStart w:id="6" w:name="O_226334"/>
      <w:bookmarkEnd w:id="6"/>
      <w:r w:rsidRPr="00EE7549">
        <w:t>Employability Skills Information</w:t>
      </w:r>
    </w:p>
    <w:tbl>
      <w:tblPr>
        <w:tblW w:w="0" w:type="auto"/>
        <w:tblLayout w:type="fixed"/>
        <w:tblCellMar>
          <w:left w:w="62" w:type="dxa"/>
          <w:right w:w="62" w:type="dxa"/>
        </w:tblCellMar>
        <w:tblLook w:val="0000"/>
      </w:tblPr>
      <w:tblGrid>
        <w:gridCol w:w="2700"/>
        <w:gridCol w:w="5760"/>
      </w:tblGrid>
      <w:tr w:rsidTr="00E842A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E7549" w:rsidP="00EE7549">
            <w:pPr>
              <w:pStyle w:val="BodyText"/>
            </w:pPr>
            <w:r w:rsidRPr="00EE7549">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EE7549" w:rsidP="00EE7549">
            <w:pPr>
              <w:pStyle w:val="BodyText"/>
            </w:pPr>
            <w:r w:rsidRPr="00EE7549">
              <w:rPr>
                <w:rStyle w:val="SpecialBold"/>
              </w:rPr>
              <w:t>3</w:t>
            </w:r>
            <w:r w:rsidRPr="00EE7549">
              <w:t>)</w:t>
            </w:r>
          </w:p>
          <w:p w:rsidR="00000000" w:rsidRPr="00EE7549" w:rsidP="00EE7549">
            <w:pPr>
              <w:pStyle w:val="BodyText"/>
            </w:pPr>
            <w:r w:rsidRPr="00EE7549">
              <w:t>This unit contains Employabili</w:t>
            </w:r>
            <w:r w:rsidRPr="00EE7549">
              <w:t>ty Skills</w:t>
            </w:r>
          </w:p>
          <w:p w:rsidR="00000000" w:rsidRPr="00EE7549" w:rsidP="00EE7549">
            <w:pPr>
              <w:pStyle w:val="BodyText"/>
            </w:pPr>
            <w:r w:rsidRPr="00EE7549">
              <w:t xml:space="preserve">The required outcomes described in this unit of competency contain applicable facets of Employability Skills. The Employability Skills Summary of the qualification </w:t>
            </w:r>
            <w:r w:rsidRPr="00EE7549">
              <w:t>in which this unit of competency is packaged will assist in identifying Employability Skill requirements.</w:t>
            </w:r>
          </w:p>
        </w:tc>
      </w:tr>
    </w:tbl>
    <w:p w:rsidR="00E842A4" w:rsidP="00EE7549">
      <w:pPr>
        <w:pStyle w:val="BodyText"/>
      </w:pPr>
    </w:p>
    <w:p w:rsidR="00E842A4" w:rsidP="00EE7549">
      <w:pPr>
        <w:pStyle w:val="BodyText"/>
      </w:pPr>
    </w:p>
    <w:p w:rsidR="00000000" w:rsidRPr="00EE7549" w:rsidP="00EE7549">
      <w:pPr>
        <w:pStyle w:val="Heading1"/>
      </w:pPr>
      <w:bookmarkStart w:id="7" w:name="O_292698"/>
      <w:bookmarkEnd w:id="7"/>
      <w:r w:rsidRPr="00EE7549">
        <w:t>Elements and Performance Criteria Pre-Content</w:t>
      </w:r>
    </w:p>
    <w:tbl>
      <w:tblPr>
        <w:tblW w:w="0" w:type="auto"/>
        <w:tblLayout w:type="fixed"/>
        <w:tblCellMar>
          <w:left w:w="62" w:type="dxa"/>
          <w:right w:w="62" w:type="dxa"/>
        </w:tblCellMar>
        <w:tblLook w:val="0000"/>
      </w:tblPr>
      <w:tblGrid>
        <w:gridCol w:w="2700"/>
        <w:gridCol w:w="5760"/>
      </w:tblGrid>
      <w:tr w:rsidTr="00E842A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E7549">
            <w:pPr>
              <w:pStyle w:val="BodyText"/>
              <w:rPr>
                <w:lang w:val="en-NZ"/>
              </w:rPr>
            </w:pPr>
            <w:r w:rsidRPr="00EE7549">
              <w:rPr>
                <w:rStyle w:val="SpecialBold"/>
              </w:rPr>
              <w:t>6</w:t>
            </w:r>
            <w:r w:rsidRPr="00EE7549">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EE7549" w:rsidP="00EE7549">
            <w:pPr>
              <w:pStyle w:val="BodyText"/>
            </w:pPr>
            <w:r w:rsidRPr="00EE7549">
              <w:t>Performance crit</w:t>
            </w:r>
            <w:r w:rsidRPr="00EE7549">
              <w:t>eria describe the required performance needed to demonstrate achievement of the Element. Assessment of performance is to be consistent with the evidence guide.</w:t>
            </w:r>
          </w:p>
        </w:tc>
      </w:tr>
    </w:tbl>
    <w:p w:rsidR="00000000" w:rsidRPr="00EE7549" w:rsidP="00EE7549">
      <w:pPr>
        <w:pStyle w:val="BodyText"/>
      </w:pPr>
    </w:p>
    <w:p w:rsidR="00000000" w:rsidRPr="00EE7549" w:rsidP="00EE7549">
      <w:pPr>
        <w:pStyle w:val="AllowPageBreak"/>
      </w:pPr>
    </w:p>
    <w:p w:rsidR="00000000" w:rsidRPr="00EE7549" w:rsidP="00EE7549">
      <w:pPr>
        <w:pStyle w:val="Heading1"/>
      </w:pPr>
      <w:bookmarkStart w:id="8" w:name="O_239366"/>
      <w:bookmarkEnd w:id="8"/>
      <w:r w:rsidRPr="00EE7549">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E842A4">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EE7549" w:rsidP="00EE7549">
            <w:pPr>
              <w:pStyle w:val="BodyText"/>
            </w:pPr>
            <w:r w:rsidRPr="00EE7549">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EE7549">
            <w:pPr>
              <w:pStyle w:val="BodyText"/>
              <w:rPr>
                <w:lang w:val="en-NZ"/>
              </w:rPr>
            </w:pPr>
            <w:r w:rsidRPr="00EE7549">
              <w:rPr>
                <w:rStyle w:val="SpecialBold"/>
              </w:rPr>
              <w:t>PERFORMANCE CRITERIA</w:t>
            </w:r>
          </w:p>
        </w:tc>
      </w:tr>
      <w:tr w:rsidTr="00E842A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E7549">
            <w:pPr>
              <w:pStyle w:val="BodyText"/>
              <w:rPr>
                <w:lang w:val="en-NZ"/>
              </w:rPr>
            </w:pPr>
            <w:r w:rsidRPr="00EE7549">
              <w:t>1</w:t>
            </w:r>
          </w:p>
        </w:tc>
        <w:tc>
          <w:tcPr>
            <w:tcW w:w="2296" w:type="dxa"/>
            <w:vMerge w:val="restart"/>
            <w:tcBorders>
              <w:top w:val="nil"/>
              <w:left w:val="nil"/>
              <w:bottom w:val="nil"/>
              <w:right w:val="nil"/>
            </w:tcBorders>
            <w:tcMar>
              <w:top w:w="0" w:type="dxa"/>
              <w:left w:w="62" w:type="dxa"/>
              <w:bottom w:w="0" w:type="dxa"/>
              <w:right w:w="62" w:type="dxa"/>
            </w:tcMar>
          </w:tcPr>
          <w:p w:rsidR="00000000" w:rsidP="00EE7549">
            <w:pPr>
              <w:pStyle w:val="BodyText"/>
              <w:rPr>
                <w:lang w:val="en-NZ"/>
              </w:rPr>
            </w:pPr>
            <w:r w:rsidRPr="00EE7549">
              <w:t>Prepare to rewind direct current machines.</w:t>
            </w:r>
          </w:p>
        </w:tc>
        <w:tc>
          <w:tcPr>
            <w:tcW w:w="900" w:type="dxa"/>
            <w:tcBorders>
              <w:top w:val="nil"/>
              <w:left w:val="nil"/>
              <w:bottom w:val="nil"/>
              <w:right w:val="nil"/>
            </w:tcBorders>
            <w:tcMar>
              <w:top w:w="0" w:type="dxa"/>
              <w:left w:w="62" w:type="dxa"/>
              <w:bottom w:w="0" w:type="dxa"/>
              <w:right w:w="62" w:type="dxa"/>
            </w:tcMar>
          </w:tcPr>
          <w:p w:rsidR="00000000" w:rsidP="00EE7549">
            <w:pPr>
              <w:pStyle w:val="BodyText"/>
              <w:rPr>
                <w:lang w:val="en-NZ"/>
              </w:rPr>
            </w:pPr>
            <w:r w:rsidRPr="00EE7549">
              <w:t>1.1</w:t>
            </w:r>
          </w:p>
        </w:tc>
        <w:tc>
          <w:tcPr>
            <w:tcW w:w="4860" w:type="dxa"/>
            <w:tcBorders>
              <w:top w:val="nil"/>
              <w:left w:val="nil"/>
              <w:bottom w:val="nil"/>
              <w:right w:val="nil"/>
            </w:tcBorders>
            <w:tcMar>
              <w:top w:w="0" w:type="dxa"/>
              <w:left w:w="62" w:type="dxa"/>
              <w:bottom w:w="0" w:type="dxa"/>
              <w:right w:w="62" w:type="dxa"/>
            </w:tcMar>
          </w:tcPr>
          <w:p w:rsidR="00000000" w:rsidP="00EE7549">
            <w:pPr>
              <w:pStyle w:val="BodyText"/>
              <w:rPr>
                <w:lang w:val="en-NZ"/>
              </w:rPr>
            </w:pPr>
            <w:r w:rsidRPr="00EE7549">
              <w:t>OHS procedures for a given work area are identified, obtained and understood.</w:t>
            </w:r>
          </w:p>
        </w:tc>
      </w:tr>
      <w:tr w:rsidTr="00E842A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7549">
            <w:pPr>
              <w:pStyle w:val="BodyText"/>
              <w:rPr>
                <w:lang w:val="en-NZ"/>
              </w:rPr>
            </w:pPr>
            <w:r w:rsidRPr="00EE7549">
              <w:t>1.2</w:t>
            </w:r>
          </w:p>
        </w:tc>
        <w:tc>
          <w:tcPr>
            <w:tcW w:w="4860" w:type="dxa"/>
            <w:tcBorders>
              <w:top w:val="nil"/>
              <w:left w:val="nil"/>
              <w:bottom w:val="nil"/>
              <w:right w:val="nil"/>
            </w:tcBorders>
            <w:tcMar>
              <w:top w:w="0" w:type="dxa"/>
              <w:left w:w="62" w:type="dxa"/>
              <w:bottom w:w="0" w:type="dxa"/>
              <w:right w:w="62" w:type="dxa"/>
            </w:tcMar>
          </w:tcPr>
          <w:p w:rsidR="00000000" w:rsidP="00EE7549">
            <w:pPr>
              <w:pStyle w:val="BodyText"/>
              <w:rPr>
                <w:lang w:val="en-NZ"/>
              </w:rPr>
            </w:pPr>
            <w:r w:rsidRPr="00EE7549">
              <w:t>Established OHS risk control measures for work preparation are followed.</w:t>
            </w:r>
          </w:p>
        </w:tc>
      </w:tr>
      <w:tr w:rsidTr="00E842A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7549">
            <w:pPr>
              <w:pStyle w:val="BodyText"/>
              <w:rPr>
                <w:lang w:val="en-NZ"/>
              </w:rPr>
            </w:pPr>
            <w:r w:rsidRPr="00EE7549">
              <w:t>1.3</w:t>
            </w:r>
          </w:p>
        </w:tc>
        <w:tc>
          <w:tcPr>
            <w:tcW w:w="4860" w:type="dxa"/>
            <w:tcBorders>
              <w:top w:val="nil"/>
              <w:left w:val="nil"/>
              <w:bottom w:val="nil"/>
              <w:right w:val="nil"/>
            </w:tcBorders>
            <w:tcMar>
              <w:top w:w="0" w:type="dxa"/>
              <w:left w:w="62" w:type="dxa"/>
              <w:bottom w:w="0" w:type="dxa"/>
              <w:right w:w="62" w:type="dxa"/>
            </w:tcMar>
          </w:tcPr>
          <w:p w:rsidR="00000000" w:rsidP="00EE7549">
            <w:pPr>
              <w:pStyle w:val="BodyText"/>
              <w:rPr>
                <w:lang w:val="en-NZ"/>
              </w:rPr>
            </w:pPr>
            <w:r w:rsidRPr="00EE7549">
              <w:t>The extent of the work is determined from job sheets, specifications and regulatory requirements.</w:t>
            </w:r>
          </w:p>
        </w:tc>
      </w:tr>
      <w:tr w:rsidTr="00E842A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7549">
            <w:pPr>
              <w:pStyle w:val="BodyText"/>
              <w:rPr>
                <w:lang w:val="en-NZ"/>
              </w:rPr>
            </w:pPr>
            <w:r w:rsidRPr="00EE7549">
              <w:t>1.4</w:t>
            </w:r>
          </w:p>
        </w:tc>
        <w:tc>
          <w:tcPr>
            <w:tcW w:w="4860" w:type="dxa"/>
            <w:tcBorders>
              <w:top w:val="nil"/>
              <w:left w:val="nil"/>
              <w:bottom w:val="nil"/>
              <w:right w:val="nil"/>
            </w:tcBorders>
            <w:tcMar>
              <w:top w:w="0" w:type="dxa"/>
              <w:left w:w="62" w:type="dxa"/>
              <w:bottom w:w="0" w:type="dxa"/>
              <w:right w:w="62" w:type="dxa"/>
            </w:tcMar>
          </w:tcPr>
          <w:p w:rsidR="00000000" w:rsidP="00EE7549">
            <w:pPr>
              <w:pStyle w:val="BodyText"/>
              <w:rPr>
                <w:lang w:val="en-NZ"/>
              </w:rPr>
            </w:pPr>
            <w:r w:rsidRPr="00EE7549">
              <w:t xml:space="preserve">Advice is sought from the work supervisor to ensure the work is coordinated effectively with others. </w:t>
            </w:r>
          </w:p>
        </w:tc>
      </w:tr>
      <w:tr w:rsidTr="00E842A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7549">
            <w:pPr>
              <w:pStyle w:val="BodyText"/>
              <w:rPr>
                <w:lang w:val="en-NZ"/>
              </w:rPr>
            </w:pPr>
            <w:r w:rsidRPr="00EE7549">
              <w:t>1.5</w:t>
            </w:r>
          </w:p>
        </w:tc>
        <w:tc>
          <w:tcPr>
            <w:tcW w:w="4860" w:type="dxa"/>
            <w:tcBorders>
              <w:top w:val="nil"/>
              <w:left w:val="nil"/>
              <w:bottom w:val="nil"/>
              <w:right w:val="nil"/>
            </w:tcBorders>
            <w:tcMar>
              <w:top w:w="0" w:type="dxa"/>
              <w:left w:w="62" w:type="dxa"/>
              <w:bottom w:w="0" w:type="dxa"/>
              <w:right w:w="62" w:type="dxa"/>
            </w:tcMar>
          </w:tcPr>
          <w:p w:rsidR="00000000" w:rsidP="00EE7549">
            <w:pPr>
              <w:pStyle w:val="BodyText"/>
              <w:rPr>
                <w:lang w:val="en-NZ"/>
              </w:rPr>
            </w:pPr>
            <w:r w:rsidRPr="00EE7549">
              <w:t xml:space="preserve">Induction machine is dismantled and parts </w:t>
            </w:r>
            <w:r w:rsidRPr="00EE7549">
              <w:t>tagged and stored to prevent loss or damage.</w:t>
            </w:r>
          </w:p>
        </w:tc>
      </w:tr>
      <w:tr w:rsidTr="00E842A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7549">
            <w:pPr>
              <w:pStyle w:val="BodyText"/>
              <w:rPr>
                <w:lang w:val="en-NZ"/>
              </w:rPr>
            </w:pPr>
            <w:r w:rsidRPr="00EE7549">
              <w:t>1.6</w:t>
            </w:r>
          </w:p>
        </w:tc>
        <w:tc>
          <w:tcPr>
            <w:tcW w:w="4860" w:type="dxa"/>
            <w:tcBorders>
              <w:top w:val="nil"/>
              <w:left w:val="nil"/>
              <w:bottom w:val="nil"/>
              <w:right w:val="nil"/>
            </w:tcBorders>
            <w:tcMar>
              <w:top w:w="0" w:type="dxa"/>
              <w:left w:w="62" w:type="dxa"/>
              <w:bottom w:w="0" w:type="dxa"/>
              <w:right w:w="62" w:type="dxa"/>
            </w:tcMar>
          </w:tcPr>
          <w:p w:rsidR="00000000" w:rsidP="00EE7549">
            <w:pPr>
              <w:pStyle w:val="BodyText"/>
              <w:rPr>
                <w:lang w:val="en-NZ"/>
              </w:rPr>
            </w:pPr>
            <w:r w:rsidRPr="00EE7549">
              <w:t>Winding data is obtained from winding data records or directly from measurements of stator and recorded in accordance with established procedures.</w:t>
            </w:r>
          </w:p>
        </w:tc>
      </w:tr>
      <w:tr w:rsidTr="00E842A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7549">
            <w:pPr>
              <w:pStyle w:val="BodyText"/>
              <w:rPr>
                <w:lang w:val="en-NZ"/>
              </w:rPr>
            </w:pPr>
            <w:r w:rsidRPr="00EE7549">
              <w:t>1.7</w:t>
            </w:r>
          </w:p>
        </w:tc>
        <w:tc>
          <w:tcPr>
            <w:tcW w:w="4860" w:type="dxa"/>
            <w:tcBorders>
              <w:top w:val="nil"/>
              <w:left w:val="nil"/>
              <w:bottom w:val="nil"/>
              <w:right w:val="nil"/>
            </w:tcBorders>
            <w:tcMar>
              <w:top w:w="0" w:type="dxa"/>
              <w:left w:w="62" w:type="dxa"/>
              <w:bottom w:w="0" w:type="dxa"/>
              <w:right w:w="62" w:type="dxa"/>
            </w:tcMar>
          </w:tcPr>
          <w:p w:rsidR="00000000" w:rsidP="00EE7549">
            <w:pPr>
              <w:pStyle w:val="BodyText"/>
              <w:rPr>
                <w:lang w:val="en-NZ"/>
              </w:rPr>
            </w:pPr>
            <w:r w:rsidRPr="00EE7549">
              <w:t xml:space="preserve">Winding is stripped from stator in accordance </w:t>
            </w:r>
            <w:r w:rsidRPr="00EE7549">
              <w:t>with established procedures.</w:t>
            </w:r>
          </w:p>
        </w:tc>
      </w:tr>
      <w:tr w:rsidTr="00E842A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7549">
            <w:pPr>
              <w:pStyle w:val="BodyText"/>
              <w:rPr>
                <w:lang w:val="en-NZ"/>
              </w:rPr>
            </w:pPr>
            <w:r w:rsidRPr="00EE7549">
              <w:t>1.8</w:t>
            </w:r>
          </w:p>
        </w:tc>
        <w:tc>
          <w:tcPr>
            <w:tcW w:w="4860" w:type="dxa"/>
            <w:tcBorders>
              <w:top w:val="nil"/>
              <w:left w:val="nil"/>
              <w:bottom w:val="nil"/>
              <w:right w:val="nil"/>
            </w:tcBorders>
            <w:tcMar>
              <w:top w:w="0" w:type="dxa"/>
              <w:left w:w="62" w:type="dxa"/>
              <w:bottom w:w="0" w:type="dxa"/>
              <w:right w:w="62" w:type="dxa"/>
            </w:tcMar>
          </w:tcPr>
          <w:p w:rsidR="00000000" w:rsidP="00EE7549">
            <w:pPr>
              <w:pStyle w:val="BodyText"/>
              <w:rPr>
                <w:lang w:val="en-NZ"/>
              </w:rPr>
            </w:pPr>
            <w:r w:rsidRPr="00EE7549">
              <w:t>Materials required for the work are obtained in accordance with established procedures and procedures.</w:t>
            </w:r>
          </w:p>
        </w:tc>
      </w:tr>
      <w:tr w:rsidTr="00E842A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7549">
            <w:pPr>
              <w:pStyle w:val="BodyText"/>
              <w:rPr>
                <w:lang w:val="en-NZ"/>
              </w:rPr>
            </w:pPr>
            <w:r w:rsidRPr="00EE7549">
              <w:t>1.9</w:t>
            </w:r>
          </w:p>
        </w:tc>
        <w:tc>
          <w:tcPr>
            <w:tcW w:w="4860" w:type="dxa"/>
            <w:tcBorders>
              <w:top w:val="nil"/>
              <w:left w:val="nil"/>
              <w:bottom w:val="nil"/>
              <w:right w:val="nil"/>
            </w:tcBorders>
            <w:tcMar>
              <w:top w:w="0" w:type="dxa"/>
              <w:left w:w="62" w:type="dxa"/>
              <w:bottom w:w="0" w:type="dxa"/>
              <w:right w:w="62" w:type="dxa"/>
            </w:tcMar>
          </w:tcPr>
          <w:p w:rsidR="00000000" w:rsidP="00EE7549">
            <w:pPr>
              <w:pStyle w:val="BodyText"/>
              <w:rPr>
                <w:lang w:val="en-NZ"/>
              </w:rPr>
            </w:pPr>
            <w:r w:rsidRPr="00EE7549">
              <w:t>Tools, equipment and testing devices needed to carry out the work are obtained and checked for correct operati</w:t>
            </w:r>
            <w:r w:rsidRPr="00EE7549">
              <w:t>on and safety.</w:t>
            </w:r>
          </w:p>
        </w:tc>
      </w:tr>
      <w:tr w:rsidTr="00E842A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E7549">
            <w:pPr>
              <w:pStyle w:val="BodyText"/>
              <w:rPr>
                <w:lang w:val="en-NZ"/>
              </w:rPr>
            </w:pPr>
            <w:r w:rsidRPr="00EE7549">
              <w:t>2</w:t>
            </w:r>
          </w:p>
        </w:tc>
        <w:tc>
          <w:tcPr>
            <w:tcW w:w="2296" w:type="dxa"/>
            <w:vMerge w:val="restart"/>
            <w:tcBorders>
              <w:top w:val="nil"/>
              <w:left w:val="nil"/>
              <w:bottom w:val="nil"/>
              <w:right w:val="nil"/>
            </w:tcBorders>
            <w:tcMar>
              <w:top w:w="0" w:type="dxa"/>
              <w:left w:w="62" w:type="dxa"/>
              <w:bottom w:w="0" w:type="dxa"/>
              <w:right w:w="62" w:type="dxa"/>
            </w:tcMar>
          </w:tcPr>
          <w:p w:rsidR="00000000" w:rsidP="00EE7549">
            <w:pPr>
              <w:pStyle w:val="BodyText"/>
              <w:rPr>
                <w:lang w:val="en-NZ"/>
              </w:rPr>
            </w:pPr>
            <w:r w:rsidRPr="00EE7549">
              <w:t>Rewind direct current machines.</w:t>
            </w:r>
          </w:p>
        </w:tc>
        <w:tc>
          <w:tcPr>
            <w:tcW w:w="900" w:type="dxa"/>
            <w:tcBorders>
              <w:top w:val="nil"/>
              <w:left w:val="nil"/>
              <w:bottom w:val="nil"/>
              <w:right w:val="nil"/>
            </w:tcBorders>
            <w:tcMar>
              <w:top w:w="0" w:type="dxa"/>
              <w:left w:w="62" w:type="dxa"/>
              <w:bottom w:w="0" w:type="dxa"/>
              <w:right w:w="62" w:type="dxa"/>
            </w:tcMar>
          </w:tcPr>
          <w:p w:rsidR="00000000" w:rsidP="00EE7549">
            <w:pPr>
              <w:pStyle w:val="BodyText"/>
              <w:rPr>
                <w:lang w:val="en-NZ"/>
              </w:rPr>
            </w:pPr>
            <w:r w:rsidRPr="00EE7549">
              <w:t>2.1</w:t>
            </w:r>
          </w:p>
        </w:tc>
        <w:tc>
          <w:tcPr>
            <w:tcW w:w="4860" w:type="dxa"/>
            <w:tcBorders>
              <w:top w:val="nil"/>
              <w:left w:val="nil"/>
              <w:bottom w:val="nil"/>
              <w:right w:val="nil"/>
            </w:tcBorders>
            <w:tcMar>
              <w:top w:w="0" w:type="dxa"/>
              <w:left w:w="62" w:type="dxa"/>
              <w:bottom w:w="0" w:type="dxa"/>
              <w:right w:w="62" w:type="dxa"/>
            </w:tcMar>
          </w:tcPr>
          <w:p w:rsidR="00000000" w:rsidP="00EE7549">
            <w:pPr>
              <w:pStyle w:val="BodyText"/>
              <w:rPr>
                <w:lang w:val="en-NZ"/>
              </w:rPr>
            </w:pPr>
            <w:r w:rsidRPr="00EE7549">
              <w:t>Established OHS risk control work measures are followed.</w:t>
            </w:r>
          </w:p>
        </w:tc>
      </w:tr>
      <w:tr w:rsidTr="00E842A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7549">
            <w:pPr>
              <w:pStyle w:val="BodyText"/>
              <w:rPr>
                <w:lang w:val="en-NZ"/>
              </w:rPr>
            </w:pPr>
            <w:r w:rsidRPr="00EE7549">
              <w:t>2.2</w:t>
            </w:r>
          </w:p>
        </w:tc>
        <w:tc>
          <w:tcPr>
            <w:tcW w:w="4860" w:type="dxa"/>
            <w:tcBorders>
              <w:top w:val="nil"/>
              <w:left w:val="nil"/>
              <w:bottom w:val="nil"/>
              <w:right w:val="nil"/>
            </w:tcBorders>
            <w:tcMar>
              <w:top w:w="0" w:type="dxa"/>
              <w:left w:w="62" w:type="dxa"/>
              <w:bottom w:w="0" w:type="dxa"/>
              <w:right w:w="62" w:type="dxa"/>
            </w:tcMar>
          </w:tcPr>
          <w:p w:rsidR="00000000" w:rsidP="00EE7549">
            <w:pPr>
              <w:pStyle w:val="BodyText"/>
              <w:rPr>
                <w:lang w:val="en-NZ"/>
              </w:rPr>
            </w:pPr>
            <w:r w:rsidRPr="00EE7549">
              <w:t>Machines/equipment are checked as being isolated where necessary in strict accordance OHS requirements and procedures.</w:t>
            </w:r>
          </w:p>
        </w:tc>
      </w:tr>
      <w:tr w:rsidTr="00E842A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7549">
            <w:pPr>
              <w:pStyle w:val="BodyText"/>
              <w:rPr>
                <w:lang w:val="en-NZ"/>
              </w:rPr>
            </w:pPr>
            <w:r w:rsidRPr="00EE7549">
              <w:t>2.3</w:t>
            </w:r>
          </w:p>
        </w:tc>
        <w:tc>
          <w:tcPr>
            <w:tcW w:w="4860" w:type="dxa"/>
            <w:tcBorders>
              <w:top w:val="nil"/>
              <w:left w:val="nil"/>
              <w:bottom w:val="nil"/>
              <w:right w:val="nil"/>
            </w:tcBorders>
            <w:tcMar>
              <w:top w:w="0" w:type="dxa"/>
              <w:left w:w="62" w:type="dxa"/>
              <w:bottom w:w="0" w:type="dxa"/>
              <w:right w:w="62" w:type="dxa"/>
            </w:tcMar>
          </w:tcPr>
          <w:p w:rsidR="00000000" w:rsidP="00EE7549">
            <w:pPr>
              <w:pStyle w:val="BodyText"/>
              <w:rPr>
                <w:lang w:val="en-NZ"/>
              </w:rPr>
            </w:pPr>
            <w:r w:rsidRPr="00EE7549">
              <w:t>Induction machine is dismantled and parts tagged and stored to prevent loss or damage.</w:t>
            </w:r>
          </w:p>
        </w:tc>
      </w:tr>
      <w:tr w:rsidTr="00E842A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7549">
            <w:pPr>
              <w:pStyle w:val="BodyText"/>
              <w:rPr>
                <w:lang w:val="en-NZ"/>
              </w:rPr>
            </w:pPr>
            <w:r w:rsidRPr="00EE7549">
              <w:t>2.4</w:t>
            </w:r>
          </w:p>
        </w:tc>
        <w:tc>
          <w:tcPr>
            <w:tcW w:w="4860" w:type="dxa"/>
            <w:tcBorders>
              <w:top w:val="nil"/>
              <w:left w:val="nil"/>
              <w:bottom w:val="nil"/>
              <w:right w:val="nil"/>
            </w:tcBorders>
            <w:tcMar>
              <w:top w:w="0" w:type="dxa"/>
              <w:left w:w="62" w:type="dxa"/>
              <w:bottom w:w="0" w:type="dxa"/>
              <w:right w:w="62" w:type="dxa"/>
            </w:tcMar>
          </w:tcPr>
          <w:p w:rsidR="00000000" w:rsidP="00EE7549">
            <w:pPr>
              <w:pStyle w:val="BodyText"/>
              <w:rPr>
                <w:lang w:val="en-NZ"/>
              </w:rPr>
            </w:pPr>
            <w:r w:rsidRPr="00EE7549">
              <w:t>Winding is stripped from stator in accordance with established procedures.</w:t>
            </w:r>
          </w:p>
        </w:tc>
      </w:tr>
      <w:tr w:rsidTr="00E842A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7549">
            <w:pPr>
              <w:pStyle w:val="BodyText"/>
              <w:rPr>
                <w:lang w:val="en-NZ"/>
              </w:rPr>
            </w:pPr>
            <w:r w:rsidRPr="00EE7549">
              <w:t>2.5</w:t>
            </w:r>
          </w:p>
        </w:tc>
        <w:tc>
          <w:tcPr>
            <w:tcW w:w="4860" w:type="dxa"/>
            <w:tcBorders>
              <w:top w:val="nil"/>
              <w:left w:val="nil"/>
              <w:bottom w:val="nil"/>
              <w:right w:val="nil"/>
            </w:tcBorders>
            <w:tcMar>
              <w:top w:w="0" w:type="dxa"/>
              <w:left w:w="62" w:type="dxa"/>
              <w:bottom w:w="0" w:type="dxa"/>
              <w:right w:w="62" w:type="dxa"/>
            </w:tcMar>
          </w:tcPr>
          <w:p w:rsidR="00000000" w:rsidP="00EE7549">
            <w:pPr>
              <w:pStyle w:val="BodyText"/>
              <w:rPr>
                <w:lang w:val="en-NZ"/>
              </w:rPr>
            </w:pPr>
            <w:r w:rsidRPr="00EE7549">
              <w:t>Armature and fields are wound and insulated in accordance with winding data and established procedures.</w:t>
            </w:r>
          </w:p>
        </w:tc>
      </w:tr>
      <w:tr w:rsidTr="00E842A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7549">
            <w:pPr>
              <w:pStyle w:val="BodyText"/>
              <w:rPr>
                <w:lang w:val="en-NZ"/>
              </w:rPr>
            </w:pPr>
            <w:r w:rsidRPr="00EE7549">
              <w:t>2.6</w:t>
            </w:r>
          </w:p>
        </w:tc>
        <w:tc>
          <w:tcPr>
            <w:tcW w:w="4860" w:type="dxa"/>
            <w:tcBorders>
              <w:top w:val="nil"/>
              <w:left w:val="nil"/>
              <w:bottom w:val="nil"/>
              <w:right w:val="nil"/>
            </w:tcBorders>
            <w:tcMar>
              <w:top w:w="0" w:type="dxa"/>
              <w:left w:w="62" w:type="dxa"/>
              <w:bottom w:w="0" w:type="dxa"/>
              <w:right w:w="62" w:type="dxa"/>
            </w:tcMar>
          </w:tcPr>
          <w:p w:rsidR="00000000" w:rsidP="00EE7549">
            <w:pPr>
              <w:pStyle w:val="BodyText"/>
              <w:rPr>
                <w:lang w:val="en-NZ"/>
              </w:rPr>
            </w:pPr>
            <w:r w:rsidRPr="00EE7549">
              <w:t>Machine is assembled and prepares for final testing in accordance with established procedures.</w:t>
            </w:r>
          </w:p>
        </w:tc>
      </w:tr>
      <w:tr w:rsidTr="00E842A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7549">
            <w:pPr>
              <w:pStyle w:val="BodyText"/>
              <w:rPr>
                <w:lang w:val="en-NZ"/>
              </w:rPr>
            </w:pPr>
            <w:r w:rsidRPr="00EE7549">
              <w:t>2.7</w:t>
            </w:r>
          </w:p>
        </w:tc>
        <w:tc>
          <w:tcPr>
            <w:tcW w:w="4860" w:type="dxa"/>
            <w:tcBorders>
              <w:top w:val="nil"/>
              <w:left w:val="nil"/>
              <w:bottom w:val="nil"/>
              <w:right w:val="nil"/>
            </w:tcBorders>
            <w:tcMar>
              <w:top w:w="0" w:type="dxa"/>
              <w:left w:w="62" w:type="dxa"/>
              <w:bottom w:w="0" w:type="dxa"/>
              <w:right w:w="62" w:type="dxa"/>
            </w:tcMar>
          </w:tcPr>
          <w:p w:rsidR="00000000" w:rsidP="00EE7549">
            <w:pPr>
              <w:pStyle w:val="BodyText"/>
              <w:rPr>
                <w:lang w:val="en-NZ"/>
              </w:rPr>
            </w:pPr>
            <w:r w:rsidRPr="00EE7549">
              <w:t>Prescribed solutions are used to resolve wo</w:t>
            </w:r>
            <w:r w:rsidRPr="00EE7549">
              <w:t>rk completion issues.</w:t>
            </w:r>
          </w:p>
        </w:tc>
      </w:tr>
      <w:tr w:rsidTr="00E842A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7549">
            <w:pPr>
              <w:pStyle w:val="BodyText"/>
              <w:rPr>
                <w:lang w:val="en-NZ"/>
              </w:rPr>
            </w:pPr>
            <w:r w:rsidRPr="00EE7549">
              <w:t>2.8</w:t>
            </w:r>
          </w:p>
        </w:tc>
        <w:tc>
          <w:tcPr>
            <w:tcW w:w="4860" w:type="dxa"/>
            <w:tcBorders>
              <w:top w:val="nil"/>
              <w:left w:val="nil"/>
              <w:bottom w:val="nil"/>
              <w:right w:val="nil"/>
            </w:tcBorders>
            <w:tcMar>
              <w:top w:w="0" w:type="dxa"/>
              <w:left w:w="62" w:type="dxa"/>
              <w:bottom w:w="0" w:type="dxa"/>
              <w:right w:w="62" w:type="dxa"/>
            </w:tcMar>
          </w:tcPr>
          <w:p w:rsidR="00000000" w:rsidP="00EE7549">
            <w:pPr>
              <w:pStyle w:val="BodyText"/>
              <w:rPr>
                <w:lang w:val="en-NZ"/>
              </w:rPr>
            </w:pPr>
            <w:r w:rsidRPr="00EE7549">
              <w:t>Routine quality checks are conducted to ensure coils are correctly wound with correct wire, number of turns and shape.</w:t>
            </w:r>
          </w:p>
        </w:tc>
      </w:tr>
      <w:tr w:rsidTr="00E842A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7549">
            <w:pPr>
              <w:pStyle w:val="BodyText"/>
              <w:rPr>
                <w:lang w:val="en-NZ"/>
              </w:rPr>
            </w:pPr>
            <w:r w:rsidRPr="00EE7549">
              <w:t>2.9</w:t>
            </w:r>
          </w:p>
        </w:tc>
        <w:tc>
          <w:tcPr>
            <w:tcW w:w="4860" w:type="dxa"/>
            <w:tcBorders>
              <w:top w:val="nil"/>
              <w:left w:val="nil"/>
              <w:bottom w:val="nil"/>
              <w:right w:val="nil"/>
            </w:tcBorders>
            <w:tcMar>
              <w:top w:w="0" w:type="dxa"/>
              <w:left w:w="62" w:type="dxa"/>
              <w:bottom w:w="0" w:type="dxa"/>
              <w:right w:w="62" w:type="dxa"/>
            </w:tcMar>
          </w:tcPr>
          <w:p w:rsidR="00000000" w:rsidP="00EE7549">
            <w:pPr>
              <w:pStyle w:val="BodyText"/>
              <w:rPr>
                <w:lang w:val="en-NZ"/>
              </w:rPr>
            </w:pPr>
            <w:r w:rsidRPr="00EE7549">
              <w:t>Work is completed in acceptable timeframe given environment and workplace conditions.</w:t>
            </w:r>
          </w:p>
        </w:tc>
      </w:tr>
      <w:tr w:rsidTr="00E842A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E7549">
            <w:pPr>
              <w:pStyle w:val="BodyText"/>
              <w:rPr>
                <w:lang w:val="en-NZ"/>
              </w:rPr>
            </w:pPr>
            <w:r w:rsidRPr="00EE7549">
              <w:t>3</w:t>
            </w:r>
          </w:p>
        </w:tc>
        <w:tc>
          <w:tcPr>
            <w:tcW w:w="2296" w:type="dxa"/>
            <w:tcBorders>
              <w:top w:val="nil"/>
              <w:left w:val="nil"/>
              <w:bottom w:val="nil"/>
              <w:right w:val="nil"/>
            </w:tcBorders>
            <w:tcMar>
              <w:top w:w="0" w:type="dxa"/>
              <w:left w:w="62" w:type="dxa"/>
              <w:bottom w:w="0" w:type="dxa"/>
              <w:right w:w="62" w:type="dxa"/>
            </w:tcMar>
          </w:tcPr>
          <w:p w:rsidR="00000000" w:rsidP="00EE7549">
            <w:pPr>
              <w:pStyle w:val="BodyText"/>
              <w:rPr>
                <w:lang w:val="en-NZ"/>
              </w:rPr>
            </w:pPr>
            <w:r w:rsidRPr="00EE7549">
              <w:t>Complete work report.</w:t>
            </w:r>
          </w:p>
        </w:tc>
        <w:tc>
          <w:tcPr>
            <w:tcW w:w="900" w:type="dxa"/>
            <w:tcBorders>
              <w:top w:val="nil"/>
              <w:left w:val="nil"/>
              <w:bottom w:val="nil"/>
              <w:right w:val="nil"/>
            </w:tcBorders>
            <w:tcMar>
              <w:top w:w="0" w:type="dxa"/>
              <w:left w:w="62" w:type="dxa"/>
              <w:bottom w:w="0" w:type="dxa"/>
              <w:right w:w="62" w:type="dxa"/>
            </w:tcMar>
          </w:tcPr>
          <w:p w:rsidR="00000000" w:rsidP="00EE7549">
            <w:pPr>
              <w:pStyle w:val="BodyText"/>
              <w:rPr>
                <w:lang w:val="en-NZ"/>
              </w:rPr>
            </w:pPr>
            <w:r w:rsidRPr="00EE7549">
              <w:t>3.1</w:t>
            </w:r>
          </w:p>
        </w:tc>
        <w:tc>
          <w:tcPr>
            <w:tcW w:w="4860" w:type="dxa"/>
            <w:tcBorders>
              <w:top w:val="nil"/>
              <w:left w:val="nil"/>
              <w:bottom w:val="nil"/>
              <w:right w:val="nil"/>
            </w:tcBorders>
            <w:tcMar>
              <w:top w:w="0" w:type="dxa"/>
              <w:left w:w="62" w:type="dxa"/>
              <w:bottom w:w="0" w:type="dxa"/>
              <w:right w:w="62" w:type="dxa"/>
            </w:tcMar>
          </w:tcPr>
          <w:p w:rsidR="00000000" w:rsidP="00EE7549">
            <w:pPr>
              <w:pStyle w:val="BodyText"/>
              <w:rPr>
                <w:lang w:val="en-NZ"/>
              </w:rPr>
            </w:pPr>
            <w:r w:rsidRPr="00EE7549">
              <w:t>OHS measures work completion risk control is followed.</w:t>
            </w:r>
          </w:p>
        </w:tc>
      </w:tr>
      <w:tr w:rsidTr="00E842A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7549">
            <w:pPr>
              <w:pStyle w:val="BodyText"/>
              <w:rPr>
                <w:lang w:val="en-NZ"/>
              </w:rPr>
            </w:pPr>
            <w:r w:rsidRPr="00EE7549">
              <w:t>3.2</w:t>
            </w:r>
          </w:p>
        </w:tc>
        <w:tc>
          <w:tcPr>
            <w:tcW w:w="4860" w:type="dxa"/>
            <w:tcBorders>
              <w:top w:val="nil"/>
              <w:left w:val="nil"/>
              <w:bottom w:val="nil"/>
              <w:right w:val="nil"/>
            </w:tcBorders>
            <w:tcMar>
              <w:top w:w="0" w:type="dxa"/>
              <w:left w:w="62" w:type="dxa"/>
              <w:bottom w:w="0" w:type="dxa"/>
              <w:right w:w="62" w:type="dxa"/>
            </w:tcMar>
          </w:tcPr>
          <w:p w:rsidR="00000000" w:rsidRPr="00EE7549" w:rsidP="00EE7549">
            <w:pPr>
              <w:pStyle w:val="BodyText"/>
            </w:pPr>
            <w:r w:rsidRPr="00EE7549">
              <w:t>Work report forms/data sheets are completed accurately in accordance with established procedures.</w:t>
            </w:r>
          </w:p>
        </w:tc>
      </w:tr>
    </w:tbl>
    <w:p w:rsidR="00E842A4" w:rsidP="00EE7549">
      <w:pPr>
        <w:pStyle w:val="BodyText"/>
      </w:pPr>
    </w:p>
    <w:p w:rsidR="00E842A4" w:rsidP="00EE7549">
      <w:pPr>
        <w:pStyle w:val="BodyText"/>
      </w:pPr>
    </w:p>
    <w:p w:rsidR="00000000" w:rsidRPr="00EE7549" w:rsidP="00EE7549">
      <w:pPr>
        <w:pStyle w:val="Heading1"/>
      </w:pPr>
      <w:bookmarkStart w:id="9" w:name="O_263157"/>
      <w:bookmarkEnd w:id="9"/>
      <w:r w:rsidRPr="00EE7549">
        <w:t>Required Skills and Knowledge</w:t>
      </w:r>
    </w:p>
    <w:tbl>
      <w:tblPr>
        <w:tblW w:w="0" w:type="auto"/>
        <w:tblLayout w:type="fixed"/>
        <w:tblCellMar>
          <w:left w:w="62" w:type="dxa"/>
          <w:right w:w="62" w:type="dxa"/>
        </w:tblCellMar>
        <w:tblLook w:val="0000"/>
      </w:tblPr>
      <w:tblGrid>
        <w:gridCol w:w="2700"/>
        <w:gridCol w:w="1080"/>
        <w:gridCol w:w="4680"/>
      </w:tblGrid>
      <w:tr w:rsidTr="00E842A4">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EE7549">
            <w:pPr>
              <w:pStyle w:val="BodyText"/>
              <w:rPr>
                <w:lang w:val="en-NZ"/>
              </w:rPr>
            </w:pPr>
            <w:r w:rsidRPr="00EE7549">
              <w:rPr>
                <w:rStyle w:val="SpecialBold"/>
              </w:rPr>
              <w:t>REQUIRED SKILLS AND KNOWLEDGE</w:t>
            </w:r>
          </w:p>
        </w:tc>
      </w:tr>
      <w:tr w:rsidTr="00E842A4">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EE7549">
            <w:pPr>
              <w:pStyle w:val="BodyText"/>
              <w:rPr>
                <w:lang w:val="en-NZ"/>
              </w:rPr>
            </w:pPr>
            <w:r w:rsidRPr="00EE7549">
              <w:rPr>
                <w:rStyle w:val="SpecialBold"/>
              </w:rPr>
              <w:t>7</w:t>
            </w:r>
            <w:r w:rsidRPr="00EE7549">
              <w:t>) This describes the essential skills and knowledge and their level, required for this unit.</w:t>
            </w:r>
          </w:p>
        </w:tc>
      </w:tr>
      <w:tr w:rsidTr="00E842A4">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EE7549" w:rsidP="00EE7549">
            <w:pPr>
              <w:pStyle w:val="BodyText"/>
            </w:pPr>
            <w:r w:rsidRPr="00EE7549">
              <w:t>Evidence shall show that knowledge has been acquired of safe working practices and rewinding direct current machines rated for</w:t>
            </w:r>
            <w:r w:rsidRPr="00EE7549">
              <w:t xml:space="preserve"> low voltage.</w:t>
            </w:r>
          </w:p>
          <w:p w:rsidR="00000000" w:rsidRPr="00EE7549" w:rsidP="00EE7549">
            <w:pPr>
              <w:pStyle w:val="BodyText"/>
            </w:pPr>
            <w:r w:rsidRPr="00EE7549">
              <w:t>All knowledge and skills detailed in this unit should be contextualised to current industry practices and technologies.</w:t>
            </w:r>
          </w:p>
          <w:p w:rsidR="00000000" w:rsidP="00EE7549">
            <w:pPr>
              <w:pStyle w:val="BodyText"/>
              <w:rPr>
                <w:lang w:val="en-NZ"/>
              </w:rPr>
            </w:pPr>
            <w:r w:rsidRPr="00EE7549">
              <w:t>The extent of the essential knowledge and associated skills (EKAS) required is given in Volume 2 - Part 2.2 EKAS.  It form</w:t>
            </w:r>
            <w:r w:rsidRPr="00EE7549">
              <w:t>s an integral part of this unit.</w:t>
            </w:r>
          </w:p>
        </w:tc>
      </w:tr>
      <w:tr w:rsidTr="00E842A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E7549">
            <w:pPr>
              <w:pStyle w:val="BodyText"/>
              <w:rPr>
                <w:lang w:val="en-NZ"/>
              </w:rPr>
            </w:pPr>
            <w:r w:rsidRPr="00EE7549">
              <w:t>2.6.28</w:t>
            </w:r>
          </w:p>
        </w:tc>
        <w:tc>
          <w:tcPr>
            <w:tcW w:w="4680" w:type="dxa"/>
            <w:tcBorders>
              <w:top w:val="nil"/>
              <w:left w:val="nil"/>
              <w:bottom w:val="nil"/>
              <w:right w:val="nil"/>
            </w:tcBorders>
            <w:tcMar>
              <w:top w:w="0" w:type="dxa"/>
              <w:left w:w="62" w:type="dxa"/>
              <w:bottom w:w="0" w:type="dxa"/>
              <w:right w:w="62" w:type="dxa"/>
            </w:tcMar>
          </w:tcPr>
          <w:p w:rsidR="00000000" w:rsidP="00EE7549">
            <w:pPr>
              <w:pStyle w:val="BodyText"/>
              <w:rPr>
                <w:lang w:val="en-NZ"/>
              </w:rPr>
            </w:pPr>
            <w:r w:rsidRPr="00EE7549">
              <w:t>Motor windings</w:t>
            </w:r>
          </w:p>
        </w:tc>
      </w:tr>
      <w:tr w:rsidTr="00E842A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E7549">
            <w:pPr>
              <w:pStyle w:val="BodyText"/>
              <w:rPr>
                <w:lang w:val="en-NZ"/>
              </w:rPr>
            </w:pPr>
            <w:r w:rsidRPr="00EE7549">
              <w:t>2.6.31.3</w:t>
            </w:r>
          </w:p>
        </w:tc>
        <w:tc>
          <w:tcPr>
            <w:tcW w:w="4680" w:type="dxa"/>
            <w:tcBorders>
              <w:top w:val="nil"/>
              <w:left w:val="nil"/>
              <w:bottom w:val="nil"/>
              <w:right w:val="nil"/>
            </w:tcBorders>
            <w:tcMar>
              <w:top w:w="0" w:type="dxa"/>
              <w:left w:w="62" w:type="dxa"/>
              <w:bottom w:w="0" w:type="dxa"/>
              <w:right w:w="62" w:type="dxa"/>
            </w:tcMar>
          </w:tcPr>
          <w:p w:rsidR="00000000" w:rsidRPr="00EE7549" w:rsidP="00EE7549">
            <w:pPr>
              <w:pStyle w:val="BodyText"/>
            </w:pPr>
            <w:r w:rsidRPr="00EE7549">
              <w:t>Direct current motor winding techniques</w:t>
            </w:r>
          </w:p>
        </w:tc>
      </w:tr>
    </w:tbl>
    <w:p w:rsidR="00E842A4" w:rsidP="00EE7549">
      <w:pPr>
        <w:pStyle w:val="BodyText"/>
      </w:pPr>
    </w:p>
    <w:p w:rsidR="00E842A4" w:rsidP="00EE7549">
      <w:pPr>
        <w:pStyle w:val="BodyText"/>
      </w:pPr>
    </w:p>
    <w:p w:rsidR="00000000" w:rsidRPr="00EE7549" w:rsidP="00EE7549">
      <w:pPr>
        <w:pStyle w:val="Heading1"/>
      </w:pPr>
      <w:bookmarkStart w:id="10" w:name="O_247350"/>
      <w:bookmarkEnd w:id="10"/>
      <w:r w:rsidRPr="00EE7549">
        <w:t>Evidence Guide</w:t>
      </w:r>
    </w:p>
    <w:tbl>
      <w:tblPr>
        <w:tblW w:w="0" w:type="auto"/>
        <w:tblLayout w:type="fixed"/>
        <w:tblCellMar>
          <w:left w:w="62" w:type="dxa"/>
          <w:right w:w="62" w:type="dxa"/>
        </w:tblCellMar>
        <w:tblLook w:val="0000"/>
      </w:tblPr>
      <w:tblGrid>
        <w:gridCol w:w="2160"/>
        <w:gridCol w:w="720"/>
        <w:gridCol w:w="540"/>
        <w:gridCol w:w="540"/>
        <w:gridCol w:w="4500"/>
      </w:tblGrid>
      <w:tr w:rsidTr="00E842A4">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EE7549">
            <w:pPr>
              <w:pStyle w:val="BodyText"/>
              <w:rPr>
                <w:lang w:val="en-NZ"/>
              </w:rPr>
            </w:pPr>
            <w:r w:rsidRPr="00EE7549">
              <w:rPr>
                <w:rStyle w:val="SpecialBold"/>
              </w:rPr>
              <w:t>EVIDENCE GUIDE</w:t>
            </w:r>
          </w:p>
        </w:tc>
      </w:tr>
      <w:tr w:rsidTr="00E842A4">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EE7549" w:rsidP="00EE7549">
            <w:pPr>
              <w:pStyle w:val="BodyText"/>
            </w:pPr>
            <w:r w:rsidRPr="00EE7549">
              <w:rPr>
                <w:rStyle w:val="SpecialBold"/>
              </w:rPr>
              <w:t>9</w:t>
            </w:r>
            <w:r w:rsidRPr="00EE7549">
              <w:t xml:space="preserve">) The evidence guide provides advice on assessment and must be read in conjunction with the Performance Criteria, Required Skills and Knowledge, the Range Statement and the Assessment Guidelines for this Training Package. </w:t>
            </w:r>
          </w:p>
          <w:p w:rsidR="00000000" w:rsidP="00EE7549">
            <w:pPr>
              <w:pStyle w:val="BodyText"/>
              <w:rPr>
                <w:lang w:val="en-NZ"/>
              </w:rPr>
            </w:pPr>
            <w:r w:rsidRPr="00EE7549">
              <w:t>The Evidence Guide forms an integ</w:t>
            </w:r>
            <w:r w:rsidRPr="00EE7549">
              <w:t>ral part of this unit. It must be used in conjunction with all parts of this unit and performed in accordance with the Assessment Guidelines of this Training Package.</w:t>
            </w:r>
          </w:p>
        </w:tc>
      </w:tr>
      <w:tr w:rsidTr="00E842A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E7549" w:rsidP="00EE7549">
            <w:pPr>
              <w:pStyle w:val="BodyText"/>
            </w:pPr>
            <w:r w:rsidRPr="00EE7549">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EE7549" w:rsidP="00EE7549">
            <w:pPr>
              <w:pStyle w:val="BodyText"/>
            </w:pPr>
            <w:r w:rsidRPr="00EE7549">
              <w:rPr>
                <w:rStyle w:val="SpecialBold"/>
              </w:rPr>
              <w:t>9</w:t>
            </w:r>
            <w:r w:rsidRPr="00EE7549">
              <w:t>.</w:t>
            </w:r>
            <w:r w:rsidRPr="00EE7549">
              <w:rPr>
                <w:rStyle w:val="SpecialBold"/>
              </w:rPr>
              <w:t>1</w:t>
            </w:r>
            <w:r w:rsidRPr="00EE7549">
              <w:t xml:space="preserve">) </w:t>
            </w:r>
          </w:p>
          <w:p w:rsidR="00000000" w:rsidRPr="00EE7549" w:rsidP="00EE7549">
            <w:pPr>
              <w:pStyle w:val="BodyText"/>
            </w:pPr>
            <w:r w:rsidRPr="00EE7549">
              <w:t>Longitudinal competency development approaches to assessment, such as Profiling, require data to be reliably gathered in a form that can be consistently interpreted over time. This approach is best utilised in Apprenticeship programs and reduces assessment</w:t>
            </w:r>
            <w:r w:rsidRPr="00EE7549">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EE7549">
              <w:t>tency in a realistically simulated work environment. It is recognised that, in some circumstances, assessment in part or full can occur outside the workplace. However, it must be in accordance with industry and regulatory policy.</w:t>
            </w:r>
          </w:p>
          <w:p w:rsidR="00000000" w:rsidRPr="00EE7549" w:rsidP="00EE7549">
            <w:pPr>
              <w:pStyle w:val="BodyText"/>
            </w:pPr>
            <w:r w:rsidRPr="00EE7549">
              <w:t>Methods chosen for a parti</w:t>
            </w:r>
            <w:r w:rsidRPr="00EE7549">
              <w:t xml:space="preserve">cular assessment will be influenced by various factors. These include the extent of the assessment, the most effective locations for the assessment activities to take place, access to physical resources, additional safety measures that may be required and </w:t>
            </w:r>
            <w:r w:rsidRPr="00EE7549">
              <w:t>the critical nature of the competencies being assessed.</w:t>
            </w:r>
          </w:p>
          <w:p w:rsidR="00000000" w:rsidRPr="00EE7549" w:rsidP="00EE7549">
            <w:pPr>
              <w:pStyle w:val="BodyText"/>
            </w:pPr>
            <w:r w:rsidRPr="00EE7549">
              <w:t>The critical safety nature of working with electricity, electrical equipment, gas or any other hazardous substance/material carries risk in deeming a person competent. Sources of evidence need to be '</w:t>
            </w:r>
            <w:r w:rsidRPr="00EE7549">
              <w:t>rich' in nature to minimise error in judgment.</w:t>
            </w:r>
          </w:p>
          <w:p w:rsidR="00000000" w:rsidP="00EE7549">
            <w:pPr>
              <w:pStyle w:val="BodyText"/>
              <w:rPr>
                <w:lang w:val="en-NZ"/>
              </w:rPr>
            </w:pPr>
            <w:r w:rsidRPr="00EE7549">
              <w:t xml:space="preserve">Activities associated with normal every day work have a bearing on the decision as to how much and how detailed the data gathered will contribute to its 'richness'. Some skills are more critical to safety and </w:t>
            </w:r>
            <w:r w:rsidRPr="00EE7549">
              <w:t>operational requirements while the same skills may be more or less frequently practised. These points are raised for the assessors to consider when choosing an assessment method and developing assessment instruments. Sample assessment instruments are inclu</w:t>
            </w:r>
            <w:r w:rsidRPr="00EE7549">
              <w:t>ded for Assessors in the Assessment Guidelines of this Training Package.</w:t>
            </w:r>
          </w:p>
        </w:tc>
      </w:tr>
      <w:tr w:rsidTr="00E842A4">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EE7549" w:rsidP="00EE7549">
            <w:pPr>
              <w:pStyle w:val="BodyText"/>
            </w:pPr>
            <w:r w:rsidRPr="00EE7549">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EE7549" w:rsidP="00EE7549">
            <w:pPr>
              <w:pStyle w:val="BodyText"/>
            </w:pPr>
            <w:r w:rsidRPr="00EE7549">
              <w:rPr>
                <w:rStyle w:val="SpecialBold"/>
              </w:rPr>
              <w:t>9</w:t>
            </w:r>
            <w:r w:rsidRPr="00EE7549">
              <w:t>.</w:t>
            </w:r>
            <w:r w:rsidRPr="00EE7549">
              <w:rPr>
                <w:rStyle w:val="SpecialBold"/>
              </w:rPr>
              <w:t>2</w:t>
            </w:r>
            <w:r w:rsidRPr="00EE7549">
              <w:t xml:space="preserve">) </w:t>
            </w:r>
          </w:p>
          <w:p w:rsidR="00000000" w:rsidP="00EE7549">
            <w:pPr>
              <w:pStyle w:val="BodyText"/>
              <w:rPr>
                <w:lang w:val="en-NZ"/>
              </w:rPr>
            </w:pPr>
            <w:r w:rsidRPr="00EE7549">
              <w:t>Before the critical aspects of evidence are considered all prerequisites shall be met.</w:t>
            </w:r>
          </w:p>
        </w:tc>
      </w:tr>
      <w:tr w:rsidTr="00E842A4">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EE7549" w:rsidP="00EE7549">
            <w:pPr>
              <w:pStyle w:val="BodyText"/>
            </w:pPr>
            <w:r w:rsidRPr="00EE7549">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EE7549">
            <w:pPr>
              <w:pStyle w:val="ListBullet"/>
              <w:rPr>
                <w:lang w:val="en-NZ"/>
              </w:rPr>
            </w:pPr>
            <w:r w:rsidRPr="00EE7549">
              <w:t>A representative body of work performance demonstrated within the timeframes typically expected of the discipline, work function and industrial environment. In particular this shall incorporate evidence that shows a candidate is able to:</w:t>
            </w:r>
          </w:p>
        </w:tc>
      </w:tr>
      <w:tr w:rsidTr="00E842A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E7549">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EE7549" w:rsidP="00EE7549">
            <w:pPr>
              <w:pStyle w:val="ListBullet2"/>
            </w:pPr>
            <w:r w:rsidRPr="00EE7549">
              <w:t>Implement Occupational Health and Safety workplace procedures and practices including the use of risk control measures as specified in the performance criteria and range statement</w:t>
            </w:r>
          </w:p>
          <w:p w:rsidR="00000000" w:rsidRPr="00EE7549" w:rsidP="00EE7549">
            <w:pPr>
              <w:pStyle w:val="ListBullet2"/>
            </w:pPr>
            <w:r w:rsidRPr="00EE7549">
              <w:t>Apply sustainable energy principles and practices as spec</w:t>
            </w:r>
            <w:r w:rsidRPr="00EE7549">
              <w:t>ified in the performance criteria and range statement</w:t>
            </w:r>
          </w:p>
          <w:p w:rsidR="00000000" w:rsidRPr="00EE7549" w:rsidP="00EE7549">
            <w:pPr>
              <w:pStyle w:val="ListBullet2"/>
            </w:pPr>
            <w:r w:rsidRPr="00EE7549">
              <w:t>Demonstrate an understanding of the essential knowledge and associated skills as described in this unit .  It may be required by some jurisdictions that RTOs provide a percentile graded result for the p</w:t>
            </w:r>
            <w:r w:rsidRPr="00EE7549">
              <w:t xml:space="preserve">urpose of regulatory or licensing requirements.   </w:t>
            </w:r>
          </w:p>
          <w:p w:rsidR="00000000" w:rsidRPr="00EE7549" w:rsidP="00EE7549">
            <w:pPr>
              <w:pStyle w:val="ListBullet2"/>
            </w:pPr>
            <w:r w:rsidRPr="00EE7549">
              <w:t>Demonstrate an appropriate level of skills enabling employment</w:t>
            </w:r>
          </w:p>
          <w:p w:rsidR="00000000" w:rsidP="00EE7549">
            <w:pPr>
              <w:pStyle w:val="ListBullet2"/>
              <w:rPr>
                <w:lang w:val="en-NZ"/>
              </w:rPr>
            </w:pPr>
            <w:r w:rsidRPr="00EE7549">
              <w:t>Conduct work observing the relevant Anti Discrimination legislation, regulations, polices and workplace procedures</w:t>
            </w:r>
          </w:p>
        </w:tc>
      </w:tr>
      <w:tr w:rsidTr="00E842A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E7549">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EE7549">
            <w:pPr>
              <w:pStyle w:val="ListBullet"/>
              <w:rPr>
                <w:lang w:val="en-NZ"/>
              </w:rPr>
            </w:pPr>
            <w:r w:rsidRPr="00EE7549">
              <w:t>Demonstrated consiste</w:t>
            </w:r>
            <w:r w:rsidRPr="00EE7549">
              <w:t>nt performance across a representative range of contexts from the prescribed items below:</w:t>
            </w:r>
          </w:p>
        </w:tc>
      </w:tr>
      <w:tr w:rsidTr="00E842A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E7549">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EE7549">
            <w:pPr>
              <w:pStyle w:val="ListBullet2"/>
              <w:rPr>
                <w:lang w:val="en-NZ"/>
              </w:rPr>
            </w:pPr>
            <w:r w:rsidRPr="00EE7549">
              <w:t>Rewind direct current machines rated for low voltage as described as described in 8) and including:</w:t>
            </w:r>
          </w:p>
        </w:tc>
      </w:tr>
      <w:tr w:rsidTr="00E842A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E7549">
            <w:pPr>
              <w:pStyle w:val="BodyText"/>
              <w:rPr>
                <w:lang w:val="en-NZ"/>
              </w:rPr>
            </w:pPr>
            <w:r w:rsidRPr="00EE7549">
              <w:t>A</w:t>
            </w:r>
          </w:p>
        </w:tc>
        <w:tc>
          <w:tcPr>
            <w:tcW w:w="5040" w:type="dxa"/>
            <w:gridSpan w:val="2"/>
            <w:tcBorders>
              <w:top w:val="nil"/>
              <w:left w:val="nil"/>
              <w:bottom w:val="nil"/>
              <w:right w:val="nil"/>
            </w:tcBorders>
            <w:tcMar>
              <w:top w:w="0" w:type="dxa"/>
              <w:left w:w="62" w:type="dxa"/>
              <w:bottom w:w="0" w:type="dxa"/>
              <w:right w:w="62" w:type="dxa"/>
            </w:tcMar>
          </w:tcPr>
          <w:p w:rsidR="00000000" w:rsidP="00EE7549">
            <w:pPr>
              <w:pStyle w:val="BodyText"/>
              <w:rPr>
                <w:lang w:val="en-NZ"/>
              </w:rPr>
            </w:pPr>
            <w:r w:rsidRPr="00EE7549">
              <w:t>Dismantling machine and storing parts securely.</w:t>
            </w:r>
          </w:p>
        </w:tc>
      </w:tr>
      <w:tr w:rsidTr="00E842A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E7549">
            <w:pPr>
              <w:pStyle w:val="BodyText"/>
              <w:rPr>
                <w:lang w:val="en-NZ"/>
              </w:rPr>
            </w:pPr>
            <w:r w:rsidRPr="00EE7549">
              <w:t>B</w:t>
            </w:r>
          </w:p>
        </w:tc>
        <w:tc>
          <w:tcPr>
            <w:tcW w:w="5040" w:type="dxa"/>
            <w:gridSpan w:val="2"/>
            <w:tcBorders>
              <w:top w:val="nil"/>
              <w:left w:val="nil"/>
              <w:bottom w:val="nil"/>
              <w:right w:val="nil"/>
            </w:tcBorders>
            <w:tcMar>
              <w:top w:w="0" w:type="dxa"/>
              <w:left w:w="62" w:type="dxa"/>
              <w:bottom w:w="0" w:type="dxa"/>
              <w:right w:w="62" w:type="dxa"/>
            </w:tcMar>
          </w:tcPr>
          <w:p w:rsidR="00000000" w:rsidP="00EE7549">
            <w:pPr>
              <w:pStyle w:val="BodyText"/>
              <w:rPr>
                <w:lang w:val="en-NZ"/>
              </w:rPr>
            </w:pPr>
            <w:r w:rsidRPr="00EE7549">
              <w:t>Preparing stator for winding.</w:t>
            </w:r>
          </w:p>
        </w:tc>
      </w:tr>
      <w:tr w:rsidTr="00E842A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E7549">
            <w:pPr>
              <w:pStyle w:val="BodyText"/>
              <w:rPr>
                <w:lang w:val="en-NZ"/>
              </w:rPr>
            </w:pPr>
            <w:r w:rsidRPr="00EE7549">
              <w:t>C</w:t>
            </w:r>
          </w:p>
        </w:tc>
        <w:tc>
          <w:tcPr>
            <w:tcW w:w="5040" w:type="dxa"/>
            <w:gridSpan w:val="2"/>
            <w:tcBorders>
              <w:top w:val="nil"/>
              <w:left w:val="nil"/>
              <w:bottom w:val="nil"/>
              <w:right w:val="nil"/>
            </w:tcBorders>
            <w:tcMar>
              <w:top w:w="0" w:type="dxa"/>
              <w:left w:w="62" w:type="dxa"/>
              <w:bottom w:w="0" w:type="dxa"/>
              <w:right w:w="62" w:type="dxa"/>
            </w:tcMar>
          </w:tcPr>
          <w:p w:rsidR="00000000" w:rsidP="00EE7549">
            <w:pPr>
              <w:pStyle w:val="BodyText"/>
              <w:rPr>
                <w:lang w:val="en-NZ"/>
              </w:rPr>
            </w:pPr>
            <w:r w:rsidRPr="00EE7549">
              <w:t>Following winding specifications.</w:t>
            </w:r>
          </w:p>
        </w:tc>
      </w:tr>
      <w:tr w:rsidTr="00E842A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E7549">
            <w:pPr>
              <w:pStyle w:val="BodyText"/>
              <w:rPr>
                <w:lang w:val="en-NZ"/>
              </w:rPr>
            </w:pPr>
            <w:r w:rsidRPr="00EE7549">
              <w:t>D</w:t>
            </w:r>
          </w:p>
        </w:tc>
        <w:tc>
          <w:tcPr>
            <w:tcW w:w="5040" w:type="dxa"/>
            <w:gridSpan w:val="2"/>
            <w:tcBorders>
              <w:top w:val="nil"/>
              <w:left w:val="nil"/>
              <w:bottom w:val="nil"/>
              <w:right w:val="nil"/>
            </w:tcBorders>
            <w:tcMar>
              <w:top w:w="0" w:type="dxa"/>
              <w:left w:w="62" w:type="dxa"/>
              <w:bottom w:w="0" w:type="dxa"/>
              <w:right w:w="62" w:type="dxa"/>
            </w:tcMar>
          </w:tcPr>
          <w:p w:rsidR="00000000" w:rsidP="00EE7549">
            <w:pPr>
              <w:pStyle w:val="BodyText"/>
              <w:rPr>
                <w:lang w:val="en-NZ"/>
              </w:rPr>
            </w:pPr>
            <w:r w:rsidRPr="00EE7549">
              <w:t>Selecting correct coils and insulation.</w:t>
            </w:r>
          </w:p>
        </w:tc>
      </w:tr>
      <w:tr w:rsidTr="00E842A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E7549">
            <w:pPr>
              <w:pStyle w:val="BodyText"/>
              <w:rPr>
                <w:lang w:val="en-NZ"/>
              </w:rPr>
            </w:pPr>
            <w:r w:rsidRPr="00EE7549">
              <w:t>E</w:t>
            </w:r>
          </w:p>
        </w:tc>
        <w:tc>
          <w:tcPr>
            <w:tcW w:w="5040" w:type="dxa"/>
            <w:gridSpan w:val="2"/>
            <w:tcBorders>
              <w:top w:val="nil"/>
              <w:left w:val="nil"/>
              <w:bottom w:val="nil"/>
              <w:right w:val="nil"/>
            </w:tcBorders>
            <w:tcMar>
              <w:top w:w="0" w:type="dxa"/>
              <w:left w:w="62" w:type="dxa"/>
              <w:bottom w:w="0" w:type="dxa"/>
              <w:right w:w="62" w:type="dxa"/>
            </w:tcMar>
          </w:tcPr>
          <w:p w:rsidR="00000000" w:rsidP="00EE7549">
            <w:pPr>
              <w:pStyle w:val="BodyText"/>
              <w:rPr>
                <w:lang w:val="en-NZ"/>
              </w:rPr>
            </w:pPr>
            <w:r w:rsidRPr="00EE7549">
              <w:t>Winding and connecting armature and fields correctly.</w:t>
            </w:r>
          </w:p>
        </w:tc>
      </w:tr>
      <w:tr w:rsidTr="00E842A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E7549">
            <w:pPr>
              <w:pStyle w:val="BodyText"/>
              <w:rPr>
                <w:lang w:val="en-NZ"/>
              </w:rPr>
            </w:pPr>
            <w:r w:rsidRPr="00EE7549">
              <w:t>F</w:t>
            </w:r>
          </w:p>
        </w:tc>
        <w:tc>
          <w:tcPr>
            <w:tcW w:w="5040" w:type="dxa"/>
            <w:gridSpan w:val="2"/>
            <w:tcBorders>
              <w:top w:val="nil"/>
              <w:left w:val="nil"/>
              <w:bottom w:val="nil"/>
              <w:right w:val="nil"/>
            </w:tcBorders>
            <w:tcMar>
              <w:top w:w="0" w:type="dxa"/>
              <w:left w:w="62" w:type="dxa"/>
              <w:bottom w:w="0" w:type="dxa"/>
              <w:right w:w="62" w:type="dxa"/>
            </w:tcMar>
          </w:tcPr>
          <w:p w:rsidR="00000000" w:rsidP="00EE7549">
            <w:pPr>
              <w:pStyle w:val="BodyText"/>
              <w:rPr>
                <w:lang w:val="en-NZ"/>
              </w:rPr>
            </w:pPr>
            <w:r w:rsidRPr="00EE7549">
              <w:t>Assembling machine and preparing for testing.</w:t>
            </w:r>
          </w:p>
        </w:tc>
      </w:tr>
      <w:tr w:rsidTr="00E842A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E7549">
            <w:pPr>
              <w:pStyle w:val="BodyText"/>
              <w:rPr>
                <w:lang w:val="en-NZ"/>
              </w:rPr>
            </w:pPr>
            <w:r w:rsidRPr="00EE7549">
              <w:t>G</w:t>
            </w:r>
          </w:p>
        </w:tc>
        <w:tc>
          <w:tcPr>
            <w:tcW w:w="5040" w:type="dxa"/>
            <w:gridSpan w:val="2"/>
            <w:tcBorders>
              <w:top w:val="nil"/>
              <w:left w:val="nil"/>
              <w:bottom w:val="nil"/>
              <w:right w:val="nil"/>
            </w:tcBorders>
            <w:tcMar>
              <w:top w:w="0" w:type="dxa"/>
              <w:left w:w="62" w:type="dxa"/>
              <w:bottom w:w="0" w:type="dxa"/>
              <w:right w:w="62" w:type="dxa"/>
            </w:tcMar>
          </w:tcPr>
          <w:p w:rsidR="00000000" w:rsidP="00EE7549">
            <w:pPr>
              <w:pStyle w:val="BodyText"/>
              <w:rPr>
                <w:lang w:val="en-NZ"/>
              </w:rPr>
            </w:pPr>
            <w:r w:rsidRPr="00EE7549">
              <w:t>Adhering to quality procedures.</w:t>
            </w:r>
          </w:p>
        </w:tc>
      </w:tr>
      <w:tr w:rsidTr="00E842A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E7549">
            <w:pPr>
              <w:pStyle w:val="BodyText"/>
              <w:rPr>
                <w:lang w:val="en-NZ"/>
              </w:rPr>
            </w:pPr>
            <w:r w:rsidRPr="00EE7549">
              <w:t>H</w:t>
            </w:r>
          </w:p>
        </w:tc>
        <w:tc>
          <w:tcPr>
            <w:tcW w:w="5040" w:type="dxa"/>
            <w:gridSpan w:val="2"/>
            <w:tcBorders>
              <w:top w:val="nil"/>
              <w:left w:val="nil"/>
              <w:bottom w:val="nil"/>
              <w:right w:val="nil"/>
            </w:tcBorders>
            <w:tcMar>
              <w:top w:w="0" w:type="dxa"/>
              <w:left w:w="62" w:type="dxa"/>
              <w:bottom w:w="0" w:type="dxa"/>
              <w:right w:w="62" w:type="dxa"/>
            </w:tcMar>
          </w:tcPr>
          <w:p w:rsidR="00000000" w:rsidP="00EE7549">
            <w:pPr>
              <w:pStyle w:val="BodyText"/>
              <w:rPr>
                <w:lang w:val="en-NZ"/>
              </w:rPr>
            </w:pPr>
            <w:r w:rsidRPr="00EE7549">
              <w:t>Completing work report/forms accurately.</w:t>
            </w:r>
          </w:p>
        </w:tc>
      </w:tr>
      <w:tr w:rsidTr="00E842A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E7549">
            <w:pPr>
              <w:pStyle w:val="BodyText"/>
              <w:rPr>
                <w:lang w:val="en-NZ"/>
              </w:rPr>
            </w:pPr>
            <w:r w:rsidRPr="00EE7549">
              <w:t>I</w:t>
            </w:r>
          </w:p>
        </w:tc>
        <w:tc>
          <w:tcPr>
            <w:tcW w:w="5040" w:type="dxa"/>
            <w:gridSpan w:val="2"/>
            <w:tcBorders>
              <w:top w:val="nil"/>
              <w:left w:val="nil"/>
              <w:bottom w:val="nil"/>
              <w:right w:val="nil"/>
            </w:tcBorders>
            <w:tcMar>
              <w:top w:w="0" w:type="dxa"/>
              <w:left w:w="62" w:type="dxa"/>
              <w:bottom w:w="0" w:type="dxa"/>
              <w:right w:w="62" w:type="dxa"/>
            </w:tcMar>
          </w:tcPr>
          <w:p w:rsidR="00000000" w:rsidP="00EE7549">
            <w:pPr>
              <w:pStyle w:val="BodyText"/>
              <w:rPr>
                <w:lang w:val="en-NZ"/>
              </w:rPr>
            </w:pPr>
            <w:r w:rsidRPr="00EE7549">
              <w:t xml:space="preserve">Dealing with unplanned events by drawing on essential knowledge and skills to provide appropriate solutions incorporated in the holistic assessment </w:t>
            </w:r>
            <w:r w:rsidRPr="00EE7549">
              <w:t>with the above listed items.</w:t>
            </w:r>
          </w:p>
        </w:tc>
      </w:tr>
      <w:tr w:rsidTr="00E842A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EE7549">
            <w:pPr>
              <w:pStyle w:val="BodyText"/>
              <w:rPr>
                <w:lang w:val="en-NZ"/>
              </w:rPr>
            </w:pPr>
            <w:r w:rsidRPr="00EE7549">
              <w:t>Note:</w:t>
            </w:r>
            <w:r w:rsidRPr="00EE7549">
              <w:br/>
              <w:t xml:space="preserve">Successful completion of relevant vendor training may be used to contribute to evidence on which competency is deemed. In these cases the alignment of outcomes of vendor training with performance criteria and critical </w:t>
            </w:r>
            <w:r w:rsidRPr="00EE7549">
              <w:t>aspects of evidence shall be clearly identified.</w:t>
            </w:r>
          </w:p>
        </w:tc>
      </w:tr>
      <w:tr w:rsidTr="00E842A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E7549" w:rsidP="00EE7549">
            <w:pPr>
              <w:pStyle w:val="BodyText"/>
            </w:pPr>
            <w:r w:rsidRPr="00EE7549">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EE7549" w:rsidP="00EE7549">
            <w:pPr>
              <w:pStyle w:val="BodyText"/>
            </w:pPr>
            <w:r w:rsidRPr="00EE7549">
              <w:rPr>
                <w:rStyle w:val="SpecialBold"/>
              </w:rPr>
              <w:t>9</w:t>
            </w:r>
            <w:r w:rsidRPr="00EE7549">
              <w:t>.</w:t>
            </w:r>
            <w:r w:rsidRPr="00EE7549">
              <w:rPr>
                <w:rStyle w:val="SpecialBold"/>
              </w:rPr>
              <w:t>3</w:t>
            </w:r>
            <w:r w:rsidRPr="00EE7549">
              <w:t xml:space="preserve">) </w:t>
            </w:r>
          </w:p>
          <w:p w:rsidR="00000000" w:rsidRPr="00EE7549" w:rsidP="00EE7549">
            <w:pPr>
              <w:pStyle w:val="BodyText"/>
            </w:pPr>
            <w:r w:rsidRPr="00EE7549">
              <w:t>This unit should be assessed as it relates to normal work practice using procedures, information and resources typical of a workplace. This should i</w:t>
            </w:r>
            <w:r w:rsidRPr="00EE7549">
              <w:t>nclude:</w:t>
            </w:r>
          </w:p>
          <w:p w:rsidR="00000000" w:rsidRPr="00EE7549" w:rsidP="00EE7549">
            <w:pPr>
              <w:pStyle w:val="ListBullet"/>
            </w:pPr>
            <w:r w:rsidRPr="00EE7549">
              <w:t>OHS policy and work procedures and instructions.</w:t>
            </w:r>
          </w:p>
          <w:p w:rsidR="00000000" w:rsidRPr="00EE7549" w:rsidP="00EE7549">
            <w:pPr>
              <w:pStyle w:val="ListBullet"/>
            </w:pPr>
            <w:r w:rsidRPr="00EE7549">
              <w:t>Suitable work environment, facilities, equipment and materials to undertake actual work as prescribed by this unit.</w:t>
            </w:r>
          </w:p>
          <w:p w:rsidR="00000000" w:rsidRPr="00EE7549" w:rsidP="00EE7549">
            <w:pPr>
              <w:pStyle w:val="BodyText"/>
            </w:pPr>
            <w:r w:rsidRPr="00EE7549">
              <w:t>These should be part of the formal learning/assessment environment.</w:t>
            </w:r>
          </w:p>
          <w:p w:rsidR="00000000" w:rsidRPr="00EE7549" w:rsidP="00EE7549">
            <w:pPr>
              <w:pStyle w:val="BodyText"/>
            </w:pPr>
            <w:r w:rsidRPr="00EE7549">
              <w:t>Note:</w:t>
            </w:r>
          </w:p>
          <w:p w:rsidR="00000000" w:rsidP="00EE7549">
            <w:pPr>
              <w:pStyle w:val="BodyText"/>
              <w:rPr>
                <w:lang w:val="en-NZ"/>
              </w:rPr>
            </w:pPr>
            <w:r w:rsidRPr="00EE7549">
              <w:t>Where simulation is considered a suitable strategy for assessment, conditions must be authentic and as far as possible reproduce and replicate the workplace and be consistent with the approved industry simulation policy.</w:t>
            </w:r>
          </w:p>
        </w:tc>
      </w:tr>
      <w:tr w:rsidTr="00E842A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EE7549">
            <w:pPr>
              <w:pStyle w:val="BodyText"/>
              <w:rPr>
                <w:lang w:val="en-NZ"/>
              </w:rPr>
            </w:pPr>
            <w:r w:rsidRPr="00EE7549">
              <w:t>The resources used for assessm</w:t>
            </w:r>
            <w:r w:rsidRPr="00EE7549">
              <w:t>ent should reflect current industry practices in relation to rewinding direct current machines rated for low voltage.</w:t>
            </w:r>
          </w:p>
        </w:tc>
      </w:tr>
      <w:tr w:rsidTr="00E842A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E7549" w:rsidP="00EE7549">
            <w:pPr>
              <w:pStyle w:val="BodyText"/>
            </w:pPr>
            <w:r w:rsidRPr="00EE7549">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EE7549" w:rsidP="00EE7549">
            <w:pPr>
              <w:pStyle w:val="BodyText"/>
            </w:pPr>
            <w:r w:rsidRPr="00EE7549">
              <w:rPr>
                <w:rStyle w:val="SpecialBold"/>
              </w:rPr>
              <w:t>9</w:t>
            </w:r>
            <w:r w:rsidRPr="00EE7549">
              <w:t>.</w:t>
            </w:r>
            <w:r w:rsidRPr="00EE7549">
              <w:rPr>
                <w:rStyle w:val="SpecialBold"/>
              </w:rPr>
              <w:t>4</w:t>
            </w:r>
            <w:r w:rsidRPr="00EE7549">
              <w:t xml:space="preserve">) </w:t>
            </w:r>
          </w:p>
          <w:p w:rsidR="00000000" w:rsidRPr="00EE7549" w:rsidP="00EE7549">
            <w:pPr>
              <w:pStyle w:val="BodyText"/>
            </w:pPr>
            <w:r w:rsidRPr="00EE7549">
              <w:t>This unit shall be assessed by methods given in Volume 1, Part 3 'Assessment Guidelines'.</w:t>
            </w:r>
          </w:p>
          <w:p w:rsidR="00000000" w:rsidP="00EE7549">
            <w:pPr>
              <w:pStyle w:val="BodyText"/>
              <w:rPr>
                <w:lang w:val="en-NZ"/>
              </w:rPr>
            </w:pPr>
            <w:r w:rsidRPr="00EE7549">
              <w:t>Note:</w:t>
            </w:r>
            <w:r w:rsidRPr="00EE7549">
              <w:br/>
            </w:r>
            <w:r w:rsidRPr="00EE7549">
              <w:t>Competent performance with inherent safe working practices is expected in the industry to which this unit applies. This requires assessment in a structured environment which is primarily intended for learning/assessment and incorporates all necessary equip</w:t>
            </w:r>
            <w:r w:rsidRPr="00EE7549">
              <w:t>ment and facilities for learners to develop and demonstrate the essential knowledge and skills described in this unit.</w:t>
            </w:r>
          </w:p>
        </w:tc>
      </w:tr>
      <w:tr w:rsidTr="00E842A4">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EE7549" w:rsidP="00EE7549">
            <w:pPr>
              <w:pStyle w:val="BodyText"/>
            </w:pPr>
            <w:r w:rsidRPr="00EE7549">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EE7549">
            <w:pPr>
              <w:pStyle w:val="BodyText"/>
              <w:rPr>
                <w:lang w:val="en-NZ"/>
              </w:rPr>
            </w:pPr>
            <w:r w:rsidRPr="00EE7549">
              <w:rPr>
                <w:rStyle w:val="SpecialBold"/>
              </w:rPr>
              <w:t>9</w:t>
            </w:r>
            <w:r w:rsidRPr="00EE7549">
              <w:t>.</w:t>
            </w:r>
            <w:r w:rsidRPr="00EE7549">
              <w:rPr>
                <w:rStyle w:val="SpecialBold"/>
              </w:rPr>
              <w:t>5</w:t>
            </w:r>
            <w:r w:rsidRPr="00EE7549">
              <w:t>)</w:t>
            </w:r>
          </w:p>
        </w:tc>
      </w:tr>
      <w:tr w:rsidTr="00E842A4">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EE7549">
            <w:pPr>
              <w:pStyle w:val="BodyText"/>
              <w:rPr>
                <w:lang w:val="en-NZ"/>
              </w:rPr>
            </w:pPr>
            <w:r w:rsidRPr="00EE7549">
              <w:t>For optimisation of training and assessment effort, competency development in this unit may be arranged concurrently with unit:</w:t>
            </w:r>
          </w:p>
        </w:tc>
      </w:tr>
      <w:tr w:rsidTr="00E842A4">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EE7549">
            <w:pPr>
              <w:pStyle w:val="BodyText"/>
              <w:rPr>
                <w:lang w:val="en-NZ"/>
              </w:rPr>
            </w:pPr>
            <w:r w:rsidRPr="00EE7549">
              <w:t>UEENEEG057B</w:t>
            </w:r>
          </w:p>
        </w:tc>
        <w:tc>
          <w:tcPr>
            <w:tcW w:w="4500" w:type="dxa"/>
            <w:tcBorders>
              <w:top w:val="nil"/>
              <w:left w:val="nil"/>
              <w:bottom w:val="nil"/>
              <w:right w:val="nil"/>
            </w:tcBorders>
            <w:tcMar>
              <w:top w:w="0" w:type="dxa"/>
              <w:left w:w="62" w:type="dxa"/>
              <w:bottom w:w="0" w:type="dxa"/>
              <w:right w:w="62" w:type="dxa"/>
            </w:tcMar>
          </w:tcPr>
          <w:p w:rsidR="00000000" w:rsidP="00EE7549">
            <w:pPr>
              <w:pStyle w:val="BodyText"/>
              <w:rPr>
                <w:lang w:val="en-NZ"/>
              </w:rPr>
            </w:pPr>
            <w:r w:rsidRPr="00EE7549">
              <w:t>Conduct electrical tests on low voltage electrical machines</w:t>
            </w:r>
          </w:p>
        </w:tc>
      </w:tr>
      <w:tr w:rsidTr="00E842A4">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EE7549" w:rsidP="00EE7549">
            <w:pPr>
              <w:pStyle w:val="BodyText"/>
            </w:pPr>
            <w:r w:rsidRPr="00EE7549">
              <w:t>The critical aspects of occupational health and safety covered in unit UEENEEE001B and other discipline specific occupational health and safety units shall be incorporated in relation to this unit.</w:t>
            </w:r>
          </w:p>
        </w:tc>
      </w:tr>
    </w:tbl>
    <w:p w:rsidR="00E842A4" w:rsidP="00EE7549">
      <w:pPr>
        <w:pStyle w:val="BodyText"/>
      </w:pPr>
    </w:p>
    <w:p w:rsidR="00E842A4" w:rsidP="00EE7549">
      <w:pPr>
        <w:pStyle w:val="BodyText"/>
      </w:pPr>
    </w:p>
    <w:p w:rsidR="00000000" w:rsidRPr="00EE7549" w:rsidP="00EE7549">
      <w:pPr>
        <w:pStyle w:val="Heading1"/>
      </w:pPr>
      <w:bookmarkStart w:id="11" w:name="O_255333"/>
      <w:bookmarkEnd w:id="11"/>
      <w:r w:rsidRPr="00EE7549">
        <w:t>Range Statement</w:t>
      </w:r>
    </w:p>
    <w:tbl>
      <w:tblPr>
        <w:tblW w:w="0" w:type="auto"/>
        <w:tblLayout w:type="fixed"/>
        <w:tblCellMar>
          <w:left w:w="62" w:type="dxa"/>
          <w:right w:w="62" w:type="dxa"/>
        </w:tblCellMar>
        <w:tblLook w:val="0000"/>
      </w:tblPr>
      <w:tblGrid>
        <w:gridCol w:w="8460"/>
      </w:tblGrid>
      <w:tr w:rsidTr="00E842A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E7549">
            <w:pPr>
              <w:pStyle w:val="BodyText"/>
              <w:rPr>
                <w:lang w:val="en-NZ"/>
              </w:rPr>
            </w:pPr>
            <w:r w:rsidRPr="00EE7549">
              <w:rPr>
                <w:rStyle w:val="SpecialBold"/>
              </w:rPr>
              <w:t>RANGE STATEMENT</w:t>
            </w:r>
          </w:p>
        </w:tc>
      </w:tr>
      <w:tr w:rsidTr="00E842A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E7549">
            <w:pPr>
              <w:pStyle w:val="BodyText"/>
              <w:rPr>
                <w:lang w:val="en-NZ"/>
              </w:rPr>
            </w:pPr>
            <w:r w:rsidRPr="00EE7549">
              <w:rPr>
                <w:rStyle w:val="SpecialBold"/>
              </w:rPr>
              <w:t>8</w:t>
            </w:r>
            <w:r w:rsidRPr="00EE7549">
              <w:t>) This relates to the unit as a whole providing the range of contexts and conditions to which the performance criteria apply. It allows for different work environments and situations that will affect performance.</w:t>
            </w:r>
          </w:p>
        </w:tc>
      </w:tr>
      <w:tr w:rsidTr="00E842A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E7549">
            <w:pPr>
              <w:pStyle w:val="BodyText"/>
              <w:rPr>
                <w:lang w:val="en-NZ"/>
              </w:rPr>
            </w:pPr>
            <w:r w:rsidRPr="00EE7549">
              <w:t>This unit shall be demonstrated in relati</w:t>
            </w:r>
            <w:r w:rsidRPr="00EE7549">
              <w:t>on to dismantling and winding armatures and field coils for at least three different direct current machines in an environment designed specifically for the purpose.</w:t>
            </w:r>
          </w:p>
        </w:tc>
      </w:tr>
      <w:tr w:rsidTr="00E842A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E7549" w:rsidP="00EE7549">
            <w:pPr>
              <w:pStyle w:val="BodyText"/>
            </w:pPr>
            <w:r w:rsidRPr="00EE7549">
              <w:t xml:space="preserve">Generic terms used throughout  this Vocational Standard shall be regarded as part of the </w:t>
            </w:r>
            <w:r w:rsidRPr="00EE7549">
              <w:t>Range Statement in which competency is demonstrated. The definition of these and other terms that apply are given in Volume 2, Part 2.1.</w:t>
            </w:r>
          </w:p>
        </w:tc>
      </w:tr>
    </w:tbl>
    <w:p w:rsidR="00E842A4" w:rsidP="00EE7549">
      <w:pPr>
        <w:pStyle w:val="BodyText"/>
      </w:pPr>
    </w:p>
    <w:p w:rsidR="00E842A4" w:rsidP="00EE7549">
      <w:pPr>
        <w:pStyle w:val="BodyText"/>
      </w:pPr>
    </w:p>
    <w:p w:rsidR="00000000" w:rsidRPr="00EE7549" w:rsidP="00EE7549">
      <w:pPr>
        <w:pStyle w:val="Heading1"/>
      </w:pPr>
      <w:bookmarkStart w:id="12" w:name="O_296346"/>
      <w:bookmarkEnd w:id="12"/>
      <w:r w:rsidRPr="00EE7549">
        <w:t>Unit Sector(s)</w:t>
      </w:r>
    </w:p>
    <w:p w:rsidR="00000000" w:rsidRPr="00EE7549" w:rsidP="00EE7549">
      <w:pPr>
        <w:pStyle w:val="BodyText"/>
      </w:pPr>
      <w:r w:rsidRPr="00EE7549">
        <w:t>Not Applicable</w:t>
      </w:r>
    </w:p>
    <w:p w:rsidR="00000000" w:rsidRPr="00EE7549" w:rsidP="00EE7549">
      <w:pPr>
        <w:pStyle w:val="AllowPageBreak"/>
      </w:pPr>
    </w:p>
    <w:p w:rsidR="00000000" w:rsidRPr="00EE7549" w:rsidP="00EE7549">
      <w:pPr>
        <w:pStyle w:val="Heading1"/>
      </w:pPr>
      <w:bookmarkStart w:id="13" w:name="O_226333"/>
      <w:bookmarkEnd w:id="13"/>
      <w:r w:rsidRPr="00EE7549">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E842A4">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EE7549" w:rsidP="00EE7549">
            <w:pPr>
              <w:pStyle w:val="BodyText"/>
            </w:pPr>
            <w:r w:rsidRPr="00EE7549">
              <w:rPr>
                <w:rStyle w:val="SpecialBold"/>
              </w:rPr>
              <w:t>2</w:t>
            </w:r>
            <w:r w:rsidRPr="00EE7549">
              <w:t>.</w:t>
            </w:r>
            <w:r w:rsidRPr="00EE7549">
              <w:rPr>
                <w:rStyle w:val="SpecialBold"/>
              </w:rPr>
              <w:t>2</w:t>
            </w:r>
            <w:r w:rsidRPr="00EE7549">
              <w:t xml:space="preserve">) </w:t>
            </w:r>
            <w:r w:rsidRPr="00EE7549">
              <w:rPr>
                <w:rStyle w:val="SpecialBold"/>
              </w:rPr>
              <w:t>Literacy and numeracy skills</w:t>
            </w:r>
          </w:p>
          <w:p w:rsidR="00000000" w:rsidP="00EE7549">
            <w:pPr>
              <w:pStyle w:val="BodyText"/>
              <w:rPr>
                <w:lang w:val="en-NZ"/>
              </w:rPr>
            </w:pPr>
            <w:r w:rsidRPr="00EE7549">
              <w:t>Participants are best equipped to achieve competency in this unit if they have reading, writing and numeracy skills indicated by the following scales. Description of each scale is given in Volume 2, Part 3 'Literacy and Numeracy'</w:t>
            </w:r>
          </w:p>
        </w:tc>
      </w:tr>
      <w:tr w:rsidTr="00E842A4">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EE7549">
            <w:pPr>
              <w:pStyle w:val="BodyText"/>
              <w:rPr>
                <w:lang w:val="en-NZ"/>
              </w:rPr>
            </w:pPr>
            <w:r w:rsidRPr="00EE7549">
              <w:t>Reading</w:t>
            </w:r>
          </w:p>
        </w:tc>
        <w:tc>
          <w:tcPr>
            <w:tcW w:w="1182" w:type="dxa"/>
            <w:tcBorders>
              <w:top w:val="nil"/>
              <w:left w:val="nil"/>
              <w:bottom w:val="nil"/>
              <w:right w:val="nil"/>
            </w:tcBorders>
            <w:tcMar>
              <w:top w:w="0" w:type="dxa"/>
              <w:left w:w="62" w:type="dxa"/>
              <w:bottom w:w="0" w:type="dxa"/>
              <w:right w:w="62" w:type="dxa"/>
            </w:tcMar>
          </w:tcPr>
          <w:p w:rsidR="00000000" w:rsidP="00EE7549">
            <w:pPr>
              <w:pStyle w:val="BodyText"/>
              <w:rPr>
                <w:lang w:val="en-NZ"/>
              </w:rPr>
            </w:pPr>
            <w:r w:rsidRPr="00EE7549">
              <w:t>4</w:t>
            </w:r>
          </w:p>
        </w:tc>
        <w:tc>
          <w:tcPr>
            <w:tcW w:w="1739" w:type="dxa"/>
            <w:tcBorders>
              <w:top w:val="nil"/>
              <w:left w:val="nil"/>
              <w:bottom w:val="nil"/>
              <w:right w:val="nil"/>
            </w:tcBorders>
            <w:tcMar>
              <w:top w:w="0" w:type="dxa"/>
              <w:left w:w="62" w:type="dxa"/>
              <w:bottom w:w="0" w:type="dxa"/>
              <w:right w:w="62" w:type="dxa"/>
            </w:tcMar>
          </w:tcPr>
          <w:p w:rsidR="00000000" w:rsidP="00EE7549">
            <w:pPr>
              <w:pStyle w:val="BodyText"/>
              <w:rPr>
                <w:lang w:val="en-NZ"/>
              </w:rPr>
            </w:pPr>
            <w:r w:rsidRPr="00EE7549">
              <w:t>Writing</w:t>
            </w:r>
          </w:p>
        </w:tc>
        <w:tc>
          <w:tcPr>
            <w:tcW w:w="1182" w:type="dxa"/>
            <w:tcBorders>
              <w:top w:val="nil"/>
              <w:left w:val="nil"/>
              <w:bottom w:val="nil"/>
              <w:right w:val="nil"/>
            </w:tcBorders>
            <w:tcMar>
              <w:top w:w="0" w:type="dxa"/>
              <w:left w:w="62" w:type="dxa"/>
              <w:bottom w:w="0" w:type="dxa"/>
              <w:right w:w="62" w:type="dxa"/>
            </w:tcMar>
          </w:tcPr>
          <w:p w:rsidR="00000000" w:rsidP="00EE7549">
            <w:pPr>
              <w:pStyle w:val="BodyText"/>
              <w:rPr>
                <w:lang w:val="en-NZ"/>
              </w:rPr>
            </w:pPr>
            <w:r w:rsidRPr="00EE7549">
              <w:t>4</w:t>
            </w:r>
          </w:p>
        </w:tc>
        <w:tc>
          <w:tcPr>
            <w:tcW w:w="1721" w:type="dxa"/>
            <w:tcBorders>
              <w:top w:val="nil"/>
              <w:left w:val="nil"/>
              <w:bottom w:val="nil"/>
              <w:right w:val="nil"/>
            </w:tcBorders>
            <w:tcMar>
              <w:top w:w="0" w:type="dxa"/>
              <w:left w:w="62" w:type="dxa"/>
              <w:bottom w:w="0" w:type="dxa"/>
              <w:right w:w="62" w:type="dxa"/>
            </w:tcMar>
          </w:tcPr>
          <w:p w:rsidR="00000000" w:rsidP="00EE7549">
            <w:pPr>
              <w:pStyle w:val="BodyText"/>
              <w:rPr>
                <w:lang w:val="en-NZ"/>
              </w:rPr>
            </w:pPr>
            <w:r w:rsidRPr="00EE7549">
              <w:t>Numeracy</w:t>
            </w:r>
          </w:p>
        </w:tc>
        <w:tc>
          <w:tcPr>
            <w:tcW w:w="1182" w:type="dxa"/>
            <w:tcBorders>
              <w:top w:val="nil"/>
              <w:left w:val="nil"/>
              <w:bottom w:val="nil"/>
              <w:right w:val="nil"/>
            </w:tcBorders>
            <w:tcMar>
              <w:top w:w="0" w:type="dxa"/>
              <w:left w:w="62" w:type="dxa"/>
              <w:bottom w:w="0" w:type="dxa"/>
              <w:right w:w="62" w:type="dxa"/>
            </w:tcMar>
          </w:tcPr>
          <w:p w:rsidR="00000000" w:rsidRPr="00EE7549" w:rsidP="00EE7549">
            <w:pPr>
              <w:pStyle w:val="BodyText"/>
            </w:pPr>
            <w:r w:rsidRPr="00EE7549">
              <w:t>4</w:t>
            </w:r>
          </w:p>
        </w:tc>
      </w:tr>
    </w:tbl>
    <w:p w:rsidR="00E842A4" w:rsidP="00EE7549">
      <w:pPr>
        <w:pStyle w:val="BodyText"/>
      </w:pPr>
    </w:p>
    <w:p w:rsidR="00E842A4" w:rsidP="00EE7549">
      <w:pPr>
        <w:pStyle w:val="BodyText"/>
      </w:pPr>
    </w:p>
    <w:p w:rsidR="00000000" w:rsidRPr="00EE7549" w:rsidP="00EE7549">
      <w:pPr>
        <w:pStyle w:val="Heading1"/>
      </w:pPr>
      <w:bookmarkStart w:id="14" w:name="O_226336"/>
      <w:bookmarkEnd w:id="14"/>
      <w:r w:rsidRPr="00EE7549">
        <w:t>Custom Content Section</w:t>
      </w:r>
    </w:p>
    <w:tbl>
      <w:tblPr>
        <w:tblW w:w="0" w:type="auto"/>
        <w:tblLayout w:type="fixed"/>
        <w:tblCellMar>
          <w:left w:w="62" w:type="dxa"/>
          <w:right w:w="62" w:type="dxa"/>
        </w:tblCellMar>
        <w:tblLook w:val="0000"/>
      </w:tblPr>
      <w:tblGrid>
        <w:gridCol w:w="2700"/>
        <w:gridCol w:w="5760"/>
      </w:tblGrid>
      <w:tr w:rsidTr="00E842A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E7549" w:rsidP="00EE7549">
            <w:pPr>
              <w:pStyle w:val="BodyText"/>
            </w:pPr>
            <w:r w:rsidRPr="00EE7549">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EE7549">
            <w:pPr>
              <w:pStyle w:val="BodyText"/>
              <w:rPr>
                <w:lang w:val="en-NZ"/>
              </w:rPr>
            </w:pPr>
            <w:r w:rsidRPr="00EE7549">
              <w:rPr>
                <w:rStyle w:val="SpecialBold"/>
              </w:rPr>
              <w:t>5</w:t>
            </w:r>
            <w:r w:rsidRPr="00EE7549">
              <w:t>)</w:t>
            </w:r>
          </w:p>
        </w:tc>
      </w:tr>
      <w:tr w:rsidTr="00E842A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E7549" w:rsidP="00EE7549">
            <w:pPr>
              <w:pStyle w:val="BodyText"/>
            </w:pPr>
            <w:r w:rsidRPr="00EE7549">
              <w:t>Electrical</w:t>
            </w:r>
          </w:p>
        </w:tc>
      </w:tr>
    </w:tbl>
    <w:p w:rsidR="00E842A4" w:rsidP="00EE7549">
      <w:pPr>
        <w:pStyle w:val="BodyText"/>
      </w:pPr>
    </w:p>
    <w:p w:rsidR="00E842A4" w:rsidP="00EE7549">
      <w:pPr>
        <w:pStyle w:val="BodyText"/>
      </w:pPr>
    </w:p>
    <w:p w:rsidR="00000000" w:rsidRPr="00EE7549" w:rsidP="00EE7549"/>
    <w:sectPr w:rsidSect="00EE754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5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842A4" w:rsidP="00E842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5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2A4" w:rsidP="00EE75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842A4" w:rsidP="00EE754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E842A4" w:rsidP="00EE754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5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842A4" w:rsidP="00E842A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5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2A4" w:rsidP="00EE7549">
    <w:pPr>
      <w:pStyle w:val="Header"/>
      <w:framePr w:wrap="around"/>
    </w:pPr>
    <w:r>
      <w:fldChar w:fldCharType="begin"/>
    </w:r>
    <w:r>
      <w:instrText xml:space="preserve"> TITLE   \* MERGEFORMAT </w:instrText>
    </w:r>
    <w:r>
      <w:fldChar w:fldCharType="separate"/>
    </w:r>
    <w:r>
      <w:t>UEENEEG054B Rewind direct current machines rated for low voltage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842A4" w:rsidP="00EE754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9C6C0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AA812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A58E0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754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E7549"/>
    <w:pPr>
      <w:spacing w:before="360" w:after="60"/>
      <w:outlineLvl w:val="0"/>
    </w:pPr>
    <w:rPr>
      <w:sz w:val="32"/>
    </w:rPr>
  </w:style>
  <w:style w:type="paragraph" w:styleId="Heading2">
    <w:name w:val="heading 2"/>
    <w:basedOn w:val="HeadingBase"/>
    <w:next w:val="BodyText"/>
    <w:link w:val="Heading2Char"/>
    <w:qFormat/>
    <w:rsid w:val="00EE7549"/>
    <w:pPr>
      <w:keepLines/>
      <w:spacing w:before="240" w:after="120"/>
      <w:outlineLvl w:val="1"/>
    </w:pPr>
    <w:rPr>
      <w:sz w:val="28"/>
      <w:szCs w:val="40"/>
    </w:rPr>
  </w:style>
  <w:style w:type="paragraph" w:styleId="Heading3">
    <w:name w:val="heading 3"/>
    <w:basedOn w:val="HeadingBase"/>
    <w:next w:val="BodyText"/>
    <w:link w:val="Heading3Char"/>
    <w:qFormat/>
    <w:rsid w:val="00EE7549"/>
    <w:pPr>
      <w:spacing w:before="180" w:after="120"/>
      <w:outlineLvl w:val="2"/>
    </w:pPr>
    <w:rPr>
      <w:spacing w:val="-10"/>
      <w:kern w:val="32"/>
    </w:rPr>
  </w:style>
  <w:style w:type="paragraph" w:styleId="Heading4">
    <w:name w:val="heading 4"/>
    <w:basedOn w:val="HeadingBase"/>
    <w:next w:val="BodyText"/>
    <w:link w:val="Heading4Char"/>
    <w:qFormat/>
    <w:rsid w:val="00EE7549"/>
    <w:pPr>
      <w:spacing w:before="160" w:after="120"/>
      <w:outlineLvl w:val="3"/>
    </w:pPr>
    <w:rPr>
      <w:sz w:val="22"/>
    </w:rPr>
  </w:style>
  <w:style w:type="paragraph" w:styleId="Heading5">
    <w:name w:val="heading 5"/>
    <w:basedOn w:val="HeadingBase"/>
    <w:next w:val="Normal"/>
    <w:link w:val="Heading5Char"/>
    <w:qFormat/>
    <w:rsid w:val="00EE7549"/>
    <w:pPr>
      <w:spacing w:before="80"/>
      <w:outlineLvl w:val="4"/>
    </w:pPr>
    <w:rPr>
      <w:color w:val="918585"/>
      <w:sz w:val="20"/>
    </w:rPr>
  </w:style>
  <w:style w:type="paragraph" w:styleId="Heading6">
    <w:name w:val="heading 6"/>
    <w:basedOn w:val="HeadingBase"/>
    <w:next w:val="Normal"/>
    <w:link w:val="Heading6Char"/>
    <w:qFormat/>
    <w:rsid w:val="00EE7549"/>
    <w:pPr>
      <w:spacing w:before="60"/>
      <w:outlineLvl w:val="5"/>
    </w:pPr>
    <w:rPr>
      <w:color w:val="918585"/>
      <w:sz w:val="20"/>
    </w:rPr>
  </w:style>
  <w:style w:type="paragraph" w:styleId="Heading7">
    <w:name w:val="heading 7"/>
    <w:basedOn w:val="Normal"/>
    <w:next w:val="Normal"/>
    <w:link w:val="Heading7Char"/>
    <w:qFormat/>
    <w:rsid w:val="00EE7549"/>
    <w:pPr>
      <w:ind w:left="720"/>
      <w:outlineLvl w:val="6"/>
    </w:pPr>
    <w:rPr>
      <w:i/>
    </w:rPr>
  </w:style>
  <w:style w:type="paragraph" w:styleId="Heading8">
    <w:name w:val="heading 8"/>
    <w:basedOn w:val="Normal"/>
    <w:next w:val="Normal"/>
    <w:link w:val="Heading8Char"/>
    <w:qFormat/>
    <w:rsid w:val="00EE7549"/>
    <w:pPr>
      <w:ind w:left="720"/>
      <w:outlineLvl w:val="7"/>
    </w:pPr>
    <w:rPr>
      <w:i/>
    </w:rPr>
  </w:style>
  <w:style w:type="paragraph" w:styleId="Heading9">
    <w:name w:val="heading 9"/>
    <w:basedOn w:val="Normal"/>
    <w:next w:val="Normal"/>
    <w:link w:val="Heading9Char"/>
    <w:qFormat/>
    <w:rsid w:val="00EE7549"/>
    <w:pPr>
      <w:ind w:left="720"/>
      <w:outlineLvl w:val="8"/>
    </w:pPr>
    <w:rPr>
      <w:i/>
    </w:rPr>
  </w:style>
  <w:style w:type="character" w:default="1" w:styleId="DefaultParagraphFont">
    <w:name w:val="Default Paragraph Font"/>
    <w:uiPriority w:val="1"/>
    <w:unhideWhenUsed/>
    <w:rsid w:val="00EE75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7549"/>
  </w:style>
  <w:style w:type="character" w:customStyle="1" w:styleId="Heading1Char">
    <w:name w:val="Heading 1 Char"/>
    <w:basedOn w:val="DefaultParagraphFont"/>
    <w:link w:val="Heading1"/>
    <w:rsid w:val="00EE7549"/>
    <w:rPr>
      <w:rFonts w:ascii="Times New Roman" w:eastAsia="Times New Roman" w:hAnsi="Times New Roman" w:cs="Times New Roman"/>
      <w:b/>
      <w:sz w:val="32"/>
      <w:szCs w:val="20"/>
      <w:lang w:eastAsia="en-US"/>
    </w:rPr>
  </w:style>
  <w:style w:type="paragraph" w:styleId="BodyText">
    <w:name w:val="Body Text"/>
    <w:basedOn w:val="Normal"/>
    <w:link w:val="BodyTextChar"/>
    <w:rsid w:val="00EE754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E7549"/>
    <w:rPr>
      <w:rFonts w:ascii="Times New Roman" w:eastAsia="Times New Roman" w:hAnsi="Times New Roman" w:cs="Times New Roman"/>
      <w:sz w:val="24"/>
      <w:lang w:val="en-US" w:eastAsia="en-US"/>
    </w:rPr>
  </w:style>
  <w:style w:type="paragraph" w:styleId="Footer">
    <w:name w:val="footer"/>
    <w:basedOn w:val="Normal"/>
    <w:link w:val="FooterChar"/>
    <w:rsid w:val="00EE75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7549"/>
    <w:rPr>
      <w:rFonts w:ascii="Times New Roman" w:eastAsia="Times New Roman" w:hAnsi="Times New Roman" w:cs="Times New Roman"/>
      <w:sz w:val="16"/>
      <w:lang w:val="en-US" w:eastAsia="en-US"/>
    </w:rPr>
  </w:style>
  <w:style w:type="paragraph" w:styleId="ListBullet">
    <w:name w:val="List Bullet"/>
    <w:basedOn w:val="List"/>
    <w:rsid w:val="00EE7549"/>
    <w:pPr>
      <w:numPr>
        <w:numId w:val="13"/>
      </w:numPr>
      <w:tabs>
        <w:tab w:val="clear" w:pos="340"/>
      </w:tabs>
      <w:spacing w:before="40" w:after="40"/>
    </w:pPr>
  </w:style>
  <w:style w:type="character" w:customStyle="1" w:styleId="SpecialBold">
    <w:name w:val="Special Bold"/>
    <w:basedOn w:val="DefaultParagraphFont"/>
    <w:rsid w:val="00EE7549"/>
    <w:rPr>
      <w:b/>
      <w:spacing w:val="0"/>
    </w:rPr>
  </w:style>
  <w:style w:type="paragraph" w:styleId="ListBullet2">
    <w:name w:val="List Bullet 2"/>
    <w:basedOn w:val="List2"/>
    <w:rsid w:val="00EE7549"/>
    <w:pPr>
      <w:numPr>
        <w:numId w:val="14"/>
      </w:numPr>
      <w:tabs>
        <w:tab w:val="clear" w:pos="680"/>
      </w:tabs>
    </w:pPr>
  </w:style>
  <w:style w:type="paragraph" w:styleId="Header">
    <w:name w:val="header"/>
    <w:basedOn w:val="Normal"/>
    <w:link w:val="HeaderChar"/>
    <w:rsid w:val="00EE75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754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E7549"/>
    <w:pPr>
      <w:spacing w:before="240" w:after="120"/>
      <w:outlineLvl w:val="0"/>
    </w:pPr>
    <w:rPr>
      <w:rFonts w:ascii="Times New Roman" w:hAnsi="Times New Roman"/>
      <w:b/>
      <w:sz w:val="28"/>
    </w:rPr>
  </w:style>
  <w:style w:type="paragraph" w:customStyle="1" w:styleId="AllowPageBreak">
    <w:name w:val="AllowPageBreak"/>
    <w:rsid w:val="00EE754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E75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75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75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75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75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754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E754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E7549"/>
    <w:rPr>
      <w:rFonts w:ascii="Courier New" w:eastAsia="Times New Roman" w:hAnsi="Courier New" w:cs="Times New Roman"/>
      <w:i/>
      <w:szCs w:val="20"/>
      <w:lang w:val="en-US" w:eastAsia="en-US"/>
    </w:rPr>
  </w:style>
  <w:style w:type="paragraph" w:customStyle="1" w:styleId="HeadingBase">
    <w:name w:val="Heading Base"/>
    <w:rsid w:val="00EE75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7549"/>
    <w:pPr>
      <w:tabs>
        <w:tab w:val="right" w:leader="dot" w:pos="9072"/>
      </w:tabs>
      <w:ind w:left="567"/>
    </w:pPr>
    <w:rPr>
      <w:szCs w:val="22"/>
    </w:rPr>
  </w:style>
  <w:style w:type="paragraph" w:customStyle="1" w:styleId="TOCBase">
    <w:name w:val="TOC Base"/>
    <w:rsid w:val="00EE75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7549"/>
    <w:pPr>
      <w:tabs>
        <w:tab w:val="right" w:leader="dot" w:pos="9072"/>
      </w:tabs>
      <w:spacing w:before="40" w:after="40"/>
      <w:ind w:left="284"/>
    </w:pPr>
    <w:rPr>
      <w:rFonts w:ascii="Times New Roman" w:hAnsi="Times New Roman"/>
    </w:rPr>
  </w:style>
  <w:style w:type="paragraph" w:styleId="TOC1">
    <w:name w:val="toc 1"/>
    <w:basedOn w:val="TOCBase"/>
    <w:next w:val="Normal"/>
    <w:rsid w:val="00EE754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E7549"/>
    <w:pPr>
      <w:spacing w:before="5040"/>
      <w:jc w:val="center"/>
    </w:pPr>
    <w:rPr>
      <w:sz w:val="48"/>
      <w:szCs w:val="72"/>
      <w:lang w:val="en-US"/>
    </w:rPr>
  </w:style>
  <w:style w:type="character" w:customStyle="1" w:styleId="TitleChar">
    <w:name w:val="Title Char"/>
    <w:basedOn w:val="DefaultParagraphFont"/>
    <w:link w:val="Title"/>
    <w:rsid w:val="00EE75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7549"/>
    <w:pPr>
      <w:tabs>
        <w:tab w:val="left" w:pos="3600"/>
        <w:tab w:val="left" w:pos="3958"/>
      </w:tabs>
    </w:pPr>
  </w:style>
  <w:style w:type="paragraph" w:styleId="List">
    <w:name w:val="List"/>
    <w:basedOn w:val="BodyText"/>
    <w:next w:val="BodyText"/>
    <w:rsid w:val="00EE7549"/>
    <w:pPr>
      <w:tabs>
        <w:tab w:val="left" w:pos="340"/>
      </w:tabs>
      <w:spacing w:before="60" w:after="60"/>
      <w:ind w:left="340" w:hanging="340"/>
    </w:pPr>
  </w:style>
  <w:style w:type="paragraph" w:customStyle="1" w:styleId="Note">
    <w:name w:val="Note"/>
    <w:basedOn w:val="BodyText"/>
    <w:rsid w:val="00EE75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7549"/>
    <w:pPr>
      <w:framePr w:wrap="auto" w:hAnchor="text" w:y="6049"/>
    </w:pPr>
    <w:rPr>
      <w:color w:val="000000"/>
      <w:sz w:val="40"/>
    </w:rPr>
  </w:style>
  <w:style w:type="paragraph" w:customStyle="1" w:styleId="TOCTitle">
    <w:name w:val="TOCTitle"/>
    <w:basedOn w:val="Heading1"/>
    <w:rsid w:val="00EE7549"/>
    <w:pPr>
      <w:spacing w:after="240"/>
      <w:jc w:val="center"/>
      <w:outlineLvl w:val="9"/>
    </w:pPr>
    <w:rPr>
      <w:caps/>
    </w:rPr>
  </w:style>
  <w:style w:type="paragraph" w:customStyle="1" w:styleId="Version">
    <w:name w:val="Version"/>
    <w:rsid w:val="00EE75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E7549"/>
    <w:pPr>
      <w:keepNext w:val="0"/>
      <w:tabs>
        <w:tab w:val="right" w:pos="4176"/>
      </w:tabs>
      <w:ind w:left="198" w:hanging="198"/>
    </w:pPr>
    <w:rPr>
      <w:rFonts w:ascii="Garamond" w:hAnsi="Garamond"/>
    </w:rPr>
  </w:style>
  <w:style w:type="paragraph" w:styleId="IndexHeading">
    <w:name w:val="index heading"/>
    <w:basedOn w:val="Normal"/>
    <w:next w:val="Index1"/>
    <w:semiHidden/>
    <w:rsid w:val="00EE7549"/>
    <w:pPr>
      <w:spacing w:before="120" w:after="120"/>
    </w:pPr>
    <w:rPr>
      <w:rFonts w:ascii="Arial" w:hAnsi="Arial"/>
      <w:b/>
      <w:color w:val="918585"/>
      <w:sz w:val="24"/>
    </w:rPr>
  </w:style>
  <w:style w:type="paragraph" w:customStyle="1" w:styleId="Chapter">
    <w:name w:val="Chapter"/>
    <w:basedOn w:val="Normal"/>
    <w:rsid w:val="00EE7549"/>
    <w:pPr>
      <w:spacing w:before="240"/>
    </w:pPr>
    <w:rPr>
      <w:rFonts w:ascii="Times New Roman" w:hAnsi="Times New Roman"/>
      <w:smallCaps/>
      <w:spacing w:val="80"/>
      <w:sz w:val="28"/>
    </w:rPr>
  </w:style>
  <w:style w:type="paragraph" w:customStyle="1" w:styleId="InChapter">
    <w:name w:val="InChapter"/>
    <w:basedOn w:val="Heading3"/>
    <w:rsid w:val="00EE7549"/>
    <w:pPr>
      <w:spacing w:after="240"/>
      <w:outlineLvl w:val="9"/>
    </w:pPr>
    <w:rPr>
      <w:noProof/>
    </w:rPr>
  </w:style>
  <w:style w:type="paragraph" w:styleId="Index2">
    <w:name w:val="index 2"/>
    <w:basedOn w:val="Normal"/>
    <w:next w:val="Normal"/>
    <w:semiHidden/>
    <w:rsid w:val="00EE7549"/>
    <w:pPr>
      <w:tabs>
        <w:tab w:val="right" w:pos="4176"/>
      </w:tabs>
      <w:ind w:left="568" w:hanging="284"/>
    </w:pPr>
    <w:rPr>
      <w:rFonts w:ascii="Garamond" w:hAnsi="Garamond"/>
    </w:rPr>
  </w:style>
  <w:style w:type="paragraph" w:customStyle="1" w:styleId="Byline">
    <w:name w:val="Byline"/>
    <w:rsid w:val="00EE75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7549"/>
    <w:pPr>
      <w:tabs>
        <w:tab w:val="clear" w:pos="3600"/>
        <w:tab w:val="clear" w:pos="3958"/>
      </w:tabs>
      <w:jc w:val="right"/>
    </w:pPr>
  </w:style>
  <w:style w:type="character" w:styleId="Emphasis">
    <w:name w:val="Emphasis"/>
    <w:basedOn w:val="DefaultParagraphFont"/>
    <w:qFormat/>
    <w:rsid w:val="00EE7549"/>
    <w:rPr>
      <w:i/>
    </w:rPr>
  </w:style>
  <w:style w:type="paragraph" w:styleId="Caption">
    <w:name w:val="caption"/>
    <w:basedOn w:val="BodyText"/>
    <w:next w:val="Normal"/>
    <w:qFormat/>
    <w:rsid w:val="00EE7549"/>
    <w:pPr>
      <w:framePr w:w="2268" w:hSpace="181" w:vSpace="181" w:wrap="around" w:vAnchor="text" w:hAnchor="page" w:x="1135" w:y="285" w:anchorLock="1"/>
    </w:pPr>
    <w:rPr>
      <w:i/>
    </w:rPr>
  </w:style>
  <w:style w:type="paragraph" w:customStyle="1" w:styleId="MiniTOCTitle">
    <w:name w:val="MiniTOCTitle"/>
    <w:basedOn w:val="Heading4"/>
    <w:rsid w:val="00EE7549"/>
    <w:pPr>
      <w:spacing w:before="240"/>
      <w:outlineLvl w:val="9"/>
    </w:pPr>
    <w:rPr>
      <w:noProof/>
      <w:sz w:val="24"/>
    </w:rPr>
  </w:style>
  <w:style w:type="paragraph" w:customStyle="1" w:styleId="MiniTOCItem">
    <w:name w:val="MiniTOCItem"/>
    <w:basedOn w:val="ListBullet"/>
    <w:rsid w:val="00EE7549"/>
    <w:pPr>
      <w:numPr>
        <w:numId w:val="0"/>
      </w:numPr>
      <w:tabs>
        <w:tab w:val="right" w:leader="dot" w:pos="6521"/>
      </w:tabs>
      <w:spacing w:before="0" w:after="0"/>
    </w:pPr>
  </w:style>
  <w:style w:type="paragraph" w:customStyle="1" w:styleId="TOFTitle">
    <w:name w:val="TOFTitle"/>
    <w:basedOn w:val="TOCTitle"/>
    <w:rsid w:val="00EE7549"/>
  </w:style>
  <w:style w:type="paragraph" w:styleId="TableofFigures">
    <w:name w:val="table of figures"/>
    <w:basedOn w:val="Normal"/>
    <w:next w:val="Normal"/>
    <w:semiHidden/>
    <w:rsid w:val="00EE7549"/>
    <w:pPr>
      <w:tabs>
        <w:tab w:val="right" w:leader="dot" w:pos="9072"/>
      </w:tabs>
      <w:ind w:left="970" w:hanging="403"/>
    </w:pPr>
    <w:rPr>
      <w:rFonts w:ascii="Times New Roman" w:hAnsi="Times New Roman"/>
      <w:b/>
    </w:rPr>
  </w:style>
  <w:style w:type="paragraph" w:styleId="ListNumber">
    <w:name w:val="List Number"/>
    <w:basedOn w:val="List"/>
    <w:rsid w:val="00EE7549"/>
    <w:pPr>
      <w:numPr>
        <w:numId w:val="11"/>
      </w:numPr>
    </w:pPr>
  </w:style>
  <w:style w:type="character" w:customStyle="1" w:styleId="WingdingSymbols">
    <w:name w:val="Wingding Symbols"/>
    <w:rsid w:val="00EE7549"/>
    <w:rPr>
      <w:rFonts w:ascii="Wingdings" w:hAnsi="Wingdings"/>
    </w:rPr>
  </w:style>
  <w:style w:type="paragraph" w:customStyle="1" w:styleId="TableHeading">
    <w:name w:val="Table Heading"/>
    <w:basedOn w:val="HeadingBase"/>
    <w:rsid w:val="00EE7549"/>
    <w:pPr>
      <w:keepLines/>
      <w:pBdr>
        <w:bottom w:val="single" w:sz="6" w:space="1" w:color="918585"/>
      </w:pBdr>
      <w:spacing w:before="240"/>
    </w:pPr>
  </w:style>
  <w:style w:type="character" w:customStyle="1" w:styleId="HotSpot">
    <w:name w:val="HotSpot"/>
    <w:rsid w:val="00EE7549"/>
    <w:rPr>
      <w:color w:val="0033CC"/>
      <w:u w:val="none"/>
    </w:rPr>
  </w:style>
  <w:style w:type="paragraph" w:customStyle="1" w:styleId="BodyTextRight">
    <w:name w:val="Body Text Right"/>
    <w:basedOn w:val="BodyText"/>
    <w:rsid w:val="00EE7549"/>
    <w:pPr>
      <w:spacing w:before="0" w:after="0"/>
      <w:jc w:val="right"/>
    </w:pPr>
  </w:style>
  <w:style w:type="paragraph" w:styleId="Index3">
    <w:name w:val="index 3"/>
    <w:basedOn w:val="ListNumber2"/>
    <w:next w:val="Normal"/>
    <w:semiHidden/>
    <w:rsid w:val="00EE7549"/>
    <w:pPr>
      <w:numPr>
        <w:numId w:val="0"/>
      </w:numPr>
      <w:tabs>
        <w:tab w:val="right" w:leader="dot" w:pos="4176"/>
      </w:tabs>
    </w:pPr>
  </w:style>
  <w:style w:type="paragraph" w:styleId="ListNumber2">
    <w:name w:val="List Number 2"/>
    <w:basedOn w:val="List2"/>
    <w:rsid w:val="00EE7549"/>
    <w:pPr>
      <w:numPr>
        <w:numId w:val="10"/>
      </w:numPr>
      <w:tabs>
        <w:tab w:val="clear" w:pos="1060"/>
      </w:tabs>
    </w:pPr>
  </w:style>
  <w:style w:type="paragraph" w:customStyle="1" w:styleId="MarginNote">
    <w:name w:val="Margin Note"/>
    <w:basedOn w:val="BodyText"/>
    <w:rsid w:val="00EE75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75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754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E7549"/>
    <w:rPr>
      <w:sz w:val="32"/>
    </w:rPr>
  </w:style>
  <w:style w:type="paragraph" w:customStyle="1" w:styleId="HeadingProcedure">
    <w:name w:val="Heading Procedure"/>
    <w:basedOn w:val="HeadingBase"/>
    <w:next w:val="Normal"/>
    <w:rsid w:val="00EE7549"/>
    <w:pPr>
      <w:tabs>
        <w:tab w:val="left" w:pos="0"/>
      </w:tabs>
      <w:spacing w:before="120" w:after="60"/>
    </w:pPr>
    <w:rPr>
      <w:i/>
      <w:color w:val="918585"/>
      <w:sz w:val="22"/>
    </w:rPr>
  </w:style>
  <w:style w:type="paragraph" w:customStyle="1" w:styleId="TableBodyText">
    <w:name w:val="Table Body Text"/>
    <w:basedOn w:val="BodyText"/>
    <w:rsid w:val="00EE7549"/>
    <w:pPr>
      <w:spacing w:before="60" w:after="60"/>
    </w:pPr>
  </w:style>
  <w:style w:type="paragraph" w:styleId="ListContinue">
    <w:name w:val="List Continue"/>
    <w:basedOn w:val="List"/>
    <w:rsid w:val="00EE7549"/>
    <w:pPr>
      <w:ind w:firstLine="0"/>
    </w:pPr>
  </w:style>
  <w:style w:type="paragraph" w:customStyle="1" w:styleId="ListNote">
    <w:name w:val="List Note"/>
    <w:basedOn w:val="List"/>
    <w:rsid w:val="00EE7549"/>
    <w:pPr>
      <w:pBdr>
        <w:top w:val="single" w:sz="6" w:space="2" w:color="918585"/>
        <w:bottom w:val="single" w:sz="6" w:space="2" w:color="918585"/>
      </w:pBdr>
      <w:tabs>
        <w:tab w:val="left" w:pos="1021"/>
      </w:tabs>
      <w:ind w:firstLine="0"/>
    </w:pPr>
  </w:style>
  <w:style w:type="paragraph" w:customStyle="1" w:styleId="Warning">
    <w:name w:val="Warning"/>
    <w:basedOn w:val="BodyText"/>
    <w:rsid w:val="00EE7549"/>
    <w:pPr>
      <w:shd w:val="clear" w:color="auto" w:fill="D9D9D9"/>
      <w:tabs>
        <w:tab w:val="left" w:pos="992"/>
      </w:tabs>
      <w:ind w:left="119" w:right="119"/>
    </w:pPr>
    <w:rPr>
      <w:sz w:val="20"/>
    </w:rPr>
  </w:style>
  <w:style w:type="paragraph" w:customStyle="1" w:styleId="MarginIcons">
    <w:name w:val="Margin Icons"/>
    <w:basedOn w:val="BodyText"/>
    <w:rsid w:val="00EE75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7549"/>
    <w:rPr>
      <w:rFonts w:ascii="Courier New" w:hAnsi="Courier New"/>
    </w:rPr>
  </w:style>
  <w:style w:type="paragraph" w:customStyle="1" w:styleId="NoteBullet">
    <w:name w:val="Note Bullet"/>
    <w:basedOn w:val="Note"/>
    <w:rsid w:val="00EE7549"/>
    <w:pPr>
      <w:tabs>
        <w:tab w:val="clear" w:pos="680"/>
      </w:tabs>
      <w:spacing w:before="60" w:after="60"/>
    </w:pPr>
  </w:style>
  <w:style w:type="paragraph" w:customStyle="1" w:styleId="SubHeading2">
    <w:name w:val="SubHeading2"/>
    <w:basedOn w:val="HeadingBase"/>
    <w:rsid w:val="00EE7549"/>
    <w:pPr>
      <w:spacing w:before="240" w:after="60"/>
    </w:pPr>
    <w:rPr>
      <w:sz w:val="20"/>
    </w:rPr>
  </w:style>
  <w:style w:type="paragraph" w:customStyle="1" w:styleId="SubHeading1">
    <w:name w:val="SubHeading1"/>
    <w:basedOn w:val="HeadingBase"/>
    <w:rsid w:val="00EE7549"/>
    <w:pPr>
      <w:spacing w:before="240" w:after="60"/>
    </w:pPr>
    <w:rPr>
      <w:color w:val="918585"/>
      <w:sz w:val="22"/>
    </w:rPr>
  </w:style>
  <w:style w:type="paragraph" w:customStyle="1" w:styleId="SideHeading">
    <w:name w:val="Side Heading"/>
    <w:basedOn w:val="HeadingBase"/>
    <w:rsid w:val="00EE75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7549"/>
    <w:pPr>
      <w:numPr>
        <w:numId w:val="12"/>
      </w:numPr>
    </w:pPr>
  </w:style>
  <w:style w:type="paragraph" w:styleId="PlainText">
    <w:name w:val="Plain Text"/>
    <w:basedOn w:val="Normal"/>
    <w:link w:val="PlainTextChar"/>
    <w:rsid w:val="00EE7549"/>
    <w:rPr>
      <w:sz w:val="20"/>
    </w:rPr>
  </w:style>
  <w:style w:type="character" w:customStyle="1" w:styleId="PlainTextChar">
    <w:name w:val="Plain Text Char"/>
    <w:basedOn w:val="DefaultParagraphFont"/>
    <w:link w:val="PlainText"/>
    <w:rsid w:val="00EE754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E7549"/>
    <w:rPr>
      <w:b/>
      <w:smallCaps/>
    </w:rPr>
  </w:style>
  <w:style w:type="paragraph" w:customStyle="1" w:styleId="TableListNumber">
    <w:name w:val="Table List Number"/>
    <w:basedOn w:val="ListNumber"/>
    <w:rsid w:val="00EE7549"/>
    <w:pPr>
      <w:numPr>
        <w:numId w:val="0"/>
      </w:numPr>
    </w:pPr>
  </w:style>
  <w:style w:type="paragraph" w:styleId="TOC4">
    <w:name w:val="toc 4"/>
    <w:basedOn w:val="TOCBase"/>
    <w:next w:val="Normal"/>
    <w:semiHidden/>
    <w:rsid w:val="00EE7549"/>
    <w:pPr>
      <w:tabs>
        <w:tab w:val="right" w:leader="dot" w:pos="9071"/>
      </w:tabs>
      <w:ind w:left="1701"/>
    </w:pPr>
  </w:style>
  <w:style w:type="paragraph" w:customStyle="1" w:styleId="ListAlpha">
    <w:name w:val="List Alpha"/>
    <w:basedOn w:val="List"/>
    <w:rsid w:val="00EE7549"/>
    <w:pPr>
      <w:numPr>
        <w:numId w:val="9"/>
      </w:numPr>
    </w:pPr>
  </w:style>
  <w:style w:type="paragraph" w:customStyle="1" w:styleId="ListAlpha2">
    <w:name w:val="List Alpha 2"/>
    <w:basedOn w:val="List2"/>
    <w:rsid w:val="00EE7549"/>
    <w:pPr>
      <w:numPr>
        <w:numId w:val="8"/>
      </w:numPr>
    </w:pPr>
  </w:style>
  <w:style w:type="paragraph" w:styleId="List2">
    <w:name w:val="List 2"/>
    <w:basedOn w:val="BodyText"/>
    <w:rsid w:val="00EE7549"/>
    <w:pPr>
      <w:tabs>
        <w:tab w:val="left" w:pos="680"/>
      </w:tabs>
      <w:spacing w:before="60" w:after="60"/>
      <w:ind w:left="680" w:hanging="340"/>
    </w:pPr>
  </w:style>
  <w:style w:type="paragraph" w:styleId="List3">
    <w:name w:val="List 3"/>
    <w:basedOn w:val="BodyText"/>
    <w:rsid w:val="00EE7549"/>
    <w:pPr>
      <w:tabs>
        <w:tab w:val="left" w:pos="1021"/>
      </w:tabs>
      <w:spacing w:before="60" w:after="60"/>
      <w:ind w:left="1020" w:hanging="340"/>
    </w:pPr>
  </w:style>
  <w:style w:type="paragraph" w:styleId="List4">
    <w:name w:val="List 4"/>
    <w:basedOn w:val="BodyText"/>
    <w:rsid w:val="00EE7549"/>
    <w:pPr>
      <w:tabs>
        <w:tab w:val="left" w:pos="1361"/>
      </w:tabs>
      <w:spacing w:before="60" w:after="60"/>
      <w:ind w:left="1361" w:hanging="340"/>
    </w:pPr>
  </w:style>
  <w:style w:type="paragraph" w:styleId="List5">
    <w:name w:val="List 5"/>
    <w:basedOn w:val="BodyText"/>
    <w:rsid w:val="00EE7549"/>
    <w:pPr>
      <w:tabs>
        <w:tab w:val="left" w:pos="1701"/>
      </w:tabs>
      <w:spacing w:before="60" w:after="60"/>
      <w:ind w:left="1701" w:hanging="340"/>
    </w:pPr>
  </w:style>
  <w:style w:type="paragraph" w:styleId="ListBullet3">
    <w:name w:val="List Bullet 3"/>
    <w:basedOn w:val="List3"/>
    <w:rsid w:val="00EE7549"/>
    <w:pPr>
      <w:numPr>
        <w:numId w:val="15"/>
      </w:numPr>
      <w:tabs>
        <w:tab w:val="clear" w:pos="1021"/>
      </w:tabs>
      <w:ind w:left="1037" w:hanging="357"/>
    </w:pPr>
  </w:style>
  <w:style w:type="paragraph" w:styleId="ListBullet4">
    <w:name w:val="List Bullet 4"/>
    <w:basedOn w:val="List4"/>
    <w:rsid w:val="00EE7549"/>
    <w:pPr>
      <w:numPr>
        <w:numId w:val="3"/>
      </w:numPr>
    </w:pPr>
  </w:style>
  <w:style w:type="paragraph" w:styleId="ListBullet5">
    <w:name w:val="List Bullet 5"/>
    <w:basedOn w:val="List5"/>
    <w:rsid w:val="00EE7549"/>
    <w:pPr>
      <w:numPr>
        <w:numId w:val="4"/>
      </w:numPr>
    </w:pPr>
  </w:style>
  <w:style w:type="paragraph" w:styleId="ListContinue2">
    <w:name w:val="List Continue 2"/>
    <w:basedOn w:val="List2"/>
    <w:rsid w:val="00EE7549"/>
    <w:pPr>
      <w:ind w:firstLine="0"/>
    </w:pPr>
  </w:style>
  <w:style w:type="paragraph" w:styleId="ListContinue3">
    <w:name w:val="List Continue 3"/>
    <w:basedOn w:val="List3"/>
    <w:rsid w:val="00EE7549"/>
    <w:pPr>
      <w:ind w:left="1021" w:firstLine="0"/>
    </w:pPr>
  </w:style>
  <w:style w:type="paragraph" w:styleId="ListContinue4">
    <w:name w:val="List Continue 4"/>
    <w:basedOn w:val="List4"/>
    <w:rsid w:val="00EE7549"/>
    <w:pPr>
      <w:ind w:firstLine="0"/>
    </w:pPr>
  </w:style>
  <w:style w:type="paragraph" w:styleId="ListContinue5">
    <w:name w:val="List Continue 5"/>
    <w:basedOn w:val="List5"/>
    <w:rsid w:val="00EE7549"/>
    <w:pPr>
      <w:ind w:firstLine="0"/>
    </w:pPr>
  </w:style>
  <w:style w:type="paragraph" w:styleId="ListNumber3">
    <w:name w:val="List Number 3"/>
    <w:basedOn w:val="List3"/>
    <w:rsid w:val="00EE7549"/>
    <w:pPr>
      <w:numPr>
        <w:numId w:val="5"/>
      </w:numPr>
    </w:pPr>
  </w:style>
  <w:style w:type="paragraph" w:styleId="ListNumber4">
    <w:name w:val="List Number 4"/>
    <w:basedOn w:val="List4"/>
    <w:rsid w:val="00EE7549"/>
    <w:pPr>
      <w:numPr>
        <w:numId w:val="6"/>
      </w:numPr>
    </w:pPr>
  </w:style>
  <w:style w:type="paragraph" w:styleId="ListNumber5">
    <w:name w:val="List Number 5"/>
    <w:basedOn w:val="List5"/>
    <w:rsid w:val="00EE7549"/>
    <w:pPr>
      <w:numPr>
        <w:numId w:val="7"/>
      </w:numPr>
    </w:pPr>
  </w:style>
  <w:style w:type="paragraph" w:styleId="BlockText">
    <w:name w:val="Block Text"/>
    <w:basedOn w:val="Normal"/>
    <w:rsid w:val="00EE7549"/>
    <w:pPr>
      <w:spacing w:after="120"/>
      <w:ind w:left="1440" w:right="1440"/>
    </w:pPr>
  </w:style>
  <w:style w:type="character" w:customStyle="1" w:styleId="Subscript">
    <w:name w:val="Subscript"/>
    <w:basedOn w:val="DefaultParagraphFont"/>
    <w:rsid w:val="00EE7549"/>
    <w:rPr>
      <w:sz w:val="16"/>
      <w:vertAlign w:val="subscript"/>
    </w:rPr>
  </w:style>
  <w:style w:type="character" w:customStyle="1" w:styleId="Superscript">
    <w:name w:val="Superscript"/>
    <w:basedOn w:val="DefaultParagraphFont"/>
    <w:rsid w:val="00EE7549"/>
    <w:rPr>
      <w:sz w:val="16"/>
      <w:vertAlign w:val="superscript"/>
    </w:rPr>
  </w:style>
  <w:style w:type="character" w:customStyle="1" w:styleId="Symbols">
    <w:name w:val="Symbols"/>
    <w:basedOn w:val="DefaultParagraphFont"/>
    <w:rsid w:val="00EE7549"/>
    <w:rPr>
      <w:rFonts w:ascii="Symbol" w:hAnsi="Symbol"/>
    </w:rPr>
  </w:style>
  <w:style w:type="character" w:customStyle="1" w:styleId="MenuOptions">
    <w:name w:val="Menu Options"/>
    <w:basedOn w:val="DefaultParagraphFont"/>
    <w:rsid w:val="00EE7549"/>
    <w:rPr>
      <w:rFonts w:ascii="Arial Narrow" w:hAnsi="Arial Narrow"/>
      <w:smallCaps/>
    </w:rPr>
  </w:style>
  <w:style w:type="character" w:customStyle="1" w:styleId="Buttons">
    <w:name w:val="Buttons"/>
    <w:basedOn w:val="DefaultParagraphFont"/>
    <w:rsid w:val="00EE7549"/>
    <w:rPr>
      <w:b/>
    </w:rPr>
  </w:style>
  <w:style w:type="character" w:customStyle="1" w:styleId="Underlined">
    <w:name w:val="Underlined"/>
    <w:basedOn w:val="DefaultParagraphFont"/>
    <w:rsid w:val="00EE7549"/>
    <w:rPr>
      <w:u w:val="single"/>
    </w:rPr>
  </w:style>
  <w:style w:type="paragraph" w:customStyle="1" w:styleId="TableBodyTextRight">
    <w:name w:val="Table Body Text Right"/>
    <w:basedOn w:val="TableBodyText"/>
    <w:rsid w:val="00EE7549"/>
    <w:pPr>
      <w:widowControl w:val="0"/>
      <w:autoSpaceDE w:val="0"/>
      <w:autoSpaceDN w:val="0"/>
      <w:adjustRightInd w:val="0"/>
      <w:jc w:val="right"/>
    </w:pPr>
    <w:rPr>
      <w:rFonts w:cs="Arial"/>
      <w:szCs w:val="18"/>
    </w:rPr>
  </w:style>
  <w:style w:type="paragraph" w:customStyle="1" w:styleId="CopyrightText">
    <w:name w:val="Copyright Text"/>
    <w:basedOn w:val="BodyText"/>
    <w:rsid w:val="00EE7549"/>
    <w:rPr>
      <w:sz w:val="18"/>
    </w:rPr>
  </w:style>
  <w:style w:type="paragraph" w:customStyle="1" w:styleId="BodySmallRight">
    <w:name w:val="Body Small Right"/>
    <w:basedOn w:val="BodyTextRight"/>
    <w:rsid w:val="00EE7549"/>
    <w:rPr>
      <w:sz w:val="18"/>
      <w:szCs w:val="18"/>
    </w:rPr>
  </w:style>
  <w:style w:type="paragraph" w:customStyle="1" w:styleId="MarginEdition">
    <w:name w:val="Margin Edition"/>
    <w:basedOn w:val="MarginNote"/>
    <w:rsid w:val="00EE7549"/>
    <w:pPr>
      <w:spacing w:before="0" w:after="0"/>
    </w:pPr>
    <w:rPr>
      <w:rFonts w:ascii="Times New Roman" w:hAnsi="Times New Roman"/>
      <w:color w:val="999999"/>
    </w:rPr>
  </w:style>
  <w:style w:type="paragraph" w:customStyle="1" w:styleId="Spacer">
    <w:name w:val="Spacer"/>
    <w:basedOn w:val="Normal"/>
    <w:rsid w:val="00EE7549"/>
    <w:rPr>
      <w:sz w:val="2"/>
      <w:szCs w:val="2"/>
    </w:rPr>
  </w:style>
  <w:style w:type="character" w:customStyle="1" w:styleId="Small">
    <w:name w:val="Small"/>
    <w:basedOn w:val="DefaultParagraphFont"/>
    <w:rsid w:val="00EE7549"/>
    <w:rPr>
      <w:sz w:val="16"/>
    </w:rPr>
  </w:style>
  <w:style w:type="paragraph" w:customStyle="1" w:styleId="WideTable">
    <w:name w:val="Wide Table"/>
    <w:basedOn w:val="Normal"/>
    <w:rsid w:val="00EE7549"/>
    <w:pPr>
      <w:ind w:left="-1418"/>
    </w:pPr>
    <w:rPr>
      <w:sz w:val="2"/>
      <w:szCs w:val="2"/>
    </w:rPr>
  </w:style>
  <w:style w:type="character" w:styleId="PageNumber">
    <w:name w:val="page number"/>
    <w:basedOn w:val="DefaultParagraphFont"/>
    <w:rsid w:val="00EE7549"/>
  </w:style>
  <w:style w:type="paragraph" w:styleId="Quote">
    <w:name w:val="Quote"/>
    <w:basedOn w:val="Heading1"/>
    <w:link w:val="QuoteChar"/>
    <w:qFormat/>
    <w:rsid w:val="00EE7549"/>
    <w:rPr>
      <w:b w:val="0"/>
      <w:sz w:val="72"/>
      <w:szCs w:val="72"/>
      <w:lang w:val="en-NZ"/>
    </w:rPr>
  </w:style>
  <w:style w:type="character" w:customStyle="1" w:styleId="QuoteChar">
    <w:name w:val="Quote Char"/>
    <w:basedOn w:val="DefaultParagraphFont"/>
    <w:link w:val="Quote"/>
    <w:rsid w:val="00EE75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7549"/>
    <w:pPr>
      <w:pageBreakBefore/>
    </w:pPr>
  </w:style>
  <w:style w:type="paragraph" w:customStyle="1" w:styleId="Border">
    <w:name w:val="Border"/>
    <w:basedOn w:val="Normal"/>
    <w:qFormat/>
    <w:rsid w:val="00EE75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7549"/>
    <w:rPr>
      <w:b/>
      <w:bCs/>
      <w:i/>
      <w:iCs/>
      <w:color w:val="auto"/>
    </w:rPr>
  </w:style>
  <w:style w:type="paragraph" w:styleId="IntenseQuote">
    <w:name w:val="Intense Quote"/>
    <w:basedOn w:val="Normal"/>
    <w:next w:val="Normal"/>
    <w:link w:val="IntenseQuoteChar"/>
    <w:uiPriority w:val="30"/>
    <w:qFormat/>
    <w:rsid w:val="00EE75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754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E7549"/>
    <w:rPr>
      <w:smallCaps/>
      <w:color w:val="auto"/>
      <w:u w:val="single"/>
    </w:rPr>
  </w:style>
  <w:style w:type="character" w:styleId="IntenseReference">
    <w:name w:val="Intense Reference"/>
    <w:basedOn w:val="DefaultParagraphFont"/>
    <w:uiPriority w:val="32"/>
    <w:qFormat/>
    <w:rsid w:val="00EE7549"/>
    <w:rPr>
      <w:b/>
      <w:bCs/>
      <w:smallCaps/>
      <w:color w:val="auto"/>
      <w:spacing w:val="5"/>
      <w:u w:val="single"/>
    </w:rPr>
  </w:style>
  <w:style w:type="paragraph" w:customStyle="1" w:styleId="2ColumnHeading">
    <w:name w:val="2Column Heading"/>
    <w:basedOn w:val="BodyText"/>
    <w:qFormat/>
    <w:rsid w:val="00EE7549"/>
    <w:pPr>
      <w:spacing w:after="60"/>
      <w:ind w:left="-2268"/>
    </w:pPr>
    <w:rPr>
      <w:b/>
    </w:rPr>
  </w:style>
  <w:style w:type="paragraph" w:customStyle="1" w:styleId="Heading1TOC">
    <w:name w:val="Heading1 TOC"/>
    <w:basedOn w:val="Normal"/>
    <w:qFormat/>
    <w:rsid w:val="00EE7549"/>
    <w:pPr>
      <w:spacing w:before="240" w:after="120"/>
    </w:pPr>
    <w:rPr>
      <w:rFonts w:ascii="Times New Roman" w:hAnsi="Times New Roman"/>
      <w:b/>
      <w:sz w:val="32"/>
    </w:rPr>
  </w:style>
  <w:style w:type="paragraph" w:customStyle="1" w:styleId="Heading2TOC">
    <w:name w:val="Heading2 TOC"/>
    <w:basedOn w:val="Normal"/>
    <w:qFormat/>
    <w:rsid w:val="00EE7549"/>
    <w:pPr>
      <w:spacing w:before="240" w:after="60"/>
    </w:pPr>
    <w:rPr>
      <w:rFonts w:ascii="Times New Roman" w:hAnsi="Times New Roman"/>
      <w:b/>
      <w:sz w:val="28"/>
    </w:rPr>
  </w:style>
  <w:style w:type="character" w:customStyle="1" w:styleId="Underline">
    <w:name w:val="Underline"/>
    <w:basedOn w:val="DefaultParagraphFont"/>
    <w:qFormat/>
    <w:rsid w:val="00EE7549"/>
    <w:rPr>
      <w:u w:val="single"/>
    </w:rPr>
  </w:style>
  <w:style w:type="character" w:customStyle="1" w:styleId="BoldandItalics">
    <w:name w:val="Bold and Italics"/>
    <w:qFormat/>
    <w:rsid w:val="00EE7549"/>
    <w:rPr>
      <w:b/>
      <w:i/>
      <w:u w:val="none"/>
    </w:rPr>
  </w:style>
  <w:style w:type="paragraph" w:styleId="BalloonText">
    <w:name w:val="Balloon Text"/>
    <w:basedOn w:val="Normal"/>
    <w:link w:val="BalloonTextChar"/>
    <w:rsid w:val="00EE7549"/>
    <w:rPr>
      <w:rFonts w:ascii="Tahoma" w:hAnsi="Tahoma" w:cs="Tahoma"/>
      <w:sz w:val="16"/>
      <w:szCs w:val="16"/>
    </w:rPr>
  </w:style>
  <w:style w:type="character" w:customStyle="1" w:styleId="BalloonTextChar">
    <w:name w:val="Balloon Text Char"/>
    <w:basedOn w:val="DefaultParagraphFont"/>
    <w:link w:val="BalloonText"/>
    <w:rsid w:val="00EE754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E754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E754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1807</Words>
  <Characters>10587</Characters>
  <Application>Microsoft Office Word</Application>
  <DocSecurity>0</DocSecurity>
  <Lines>434</Lines>
  <Paragraphs>171</Paragraphs>
  <ScaleCrop>false</ScaleCrop>
  <Company>Author-it Software Corporation Ltd.</Company>
  <LinksUpToDate>false</LinksUpToDate>
  <CharactersWithSpaces>12248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UEENEEG054B Rewind direct current machines rated for low voltage</dc:title>
  <dc:subject>Approved</dc:subject>
  <dc:creator>EE-Oz Training Standards</dc:creator>
  <cp:keywords>Release: 1</cp:keywords>
  <dc:description>Copyright © 1996-2007 Author-it Software Corporation Ltd., all rights reserved.</dc:description>
  <cp:lastModifiedBy>Craig Taylor</cp:lastModifiedBy>
  <cp:revision>3</cp:revision>
  <dcterms:created xsi:type="dcterms:W3CDTF">2012-05-26T11:02:00Z</dcterms:created>
  <dcterms:modified xsi:type="dcterms:W3CDTF">2012-05-26T11:02:00Z</dcterms:modified>
</cp:coreProperties>
</file>