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1809" w:rsidP="00051809">
      <w:pPr>
        <w:pStyle w:val="Title"/>
      </w:pPr>
      <w:bookmarkStart w:id="0" w:name="_GoBack"/>
      <w:bookmarkEnd w:id="0"/>
      <w:r>
        <w:fldChar w:fldCharType="begin"/>
      </w:r>
      <w:r>
        <w:instrText xml:space="preserve"> TITLE   \* MERGEFORMAT </w:instrText>
      </w:r>
      <w:r>
        <w:fldChar w:fldCharType="separate"/>
      </w:r>
      <w:r>
        <w:t>UEENEEG042B Diagnose and rectify faults in electrical energy supply transmission systems</w:t>
      </w:r>
      <w:r>
        <w:fldChar w:fldCharType="end"/>
      </w:r>
    </w:p>
    <w:p w:rsidR="00051809" w:rsidP="00051809">
      <w:pPr>
        <w:pStyle w:val="Version"/>
        <w:sectPr w:rsidSect="00EB033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0339" w:rsidP="00EB0339">
      <w:pPr>
        <w:pStyle w:val="SuperHeading"/>
      </w:pPr>
      <w:r w:rsidRPr="00EB0339">
        <w:t>UEENEEG042B Diagnose and rectify faults in electrical energy supply transmission systems</w:t>
      </w:r>
    </w:p>
    <w:p w:rsidR="00000000" w:rsidRPr="00EB0339" w:rsidP="00EB0339">
      <w:pPr>
        <w:pStyle w:val="Heading1"/>
      </w:pPr>
      <w:bookmarkStart w:id="1" w:name="O_274640"/>
      <w:bookmarkEnd w:id="1"/>
      <w:r w:rsidRPr="00EB0339">
        <w:t>Modification History</w:t>
      </w:r>
    </w:p>
    <w:p w:rsidR="00000000" w:rsidRPr="00EB0339" w:rsidP="00EB0339">
      <w:pPr>
        <w:pStyle w:val="BodyText"/>
      </w:pPr>
      <w:r w:rsidRPr="00EB0339">
        <w:t>Not Applicable</w:t>
      </w:r>
    </w:p>
    <w:p w:rsidR="00000000" w:rsidRPr="00EB0339" w:rsidP="00EB0339">
      <w:pPr>
        <w:pStyle w:val="AllowPageBreak"/>
      </w:pPr>
    </w:p>
    <w:p w:rsidR="00000000" w:rsidRPr="00EB0339" w:rsidP="00EB0339">
      <w:pPr>
        <w:pStyle w:val="Heading1"/>
      </w:pPr>
      <w:bookmarkStart w:id="2" w:name="O_226246"/>
      <w:bookmarkEnd w:id="2"/>
      <w:r w:rsidRPr="00EB0339">
        <w:t>Unit Descriptor</w:t>
      </w:r>
    </w:p>
    <w:tbl>
      <w:tblPr>
        <w:tblW w:w="0" w:type="auto"/>
        <w:tblLayout w:type="fixed"/>
        <w:tblCellMar>
          <w:left w:w="62" w:type="dxa"/>
          <w:right w:w="62" w:type="dxa"/>
        </w:tblCellMar>
        <w:tblLook w:val="0000"/>
      </w:tblPr>
      <w:tblGrid>
        <w:gridCol w:w="2700"/>
        <w:gridCol w:w="5760"/>
      </w:tblGrid>
      <w:tr w:rsidTr="0005180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B0339" w:rsidP="00EB0339">
            <w:pPr>
              <w:pStyle w:val="BodyText"/>
            </w:pPr>
            <w:r w:rsidRPr="00EB0339">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EB0339" w:rsidP="00EB0339">
            <w:pPr>
              <w:pStyle w:val="BodyText"/>
            </w:pPr>
            <w:r w:rsidRPr="00EB0339">
              <w:rPr>
                <w:rStyle w:val="SpecialBold"/>
              </w:rPr>
              <w:t>1</w:t>
            </w:r>
            <w:r w:rsidRPr="00EB0339">
              <w:t xml:space="preserve">) </w:t>
            </w:r>
          </w:p>
          <w:p w:rsidR="00000000" w:rsidP="00EB0339">
            <w:pPr>
              <w:pStyle w:val="BodyText"/>
              <w:rPr>
                <w:lang w:val="en-NZ"/>
              </w:rPr>
            </w:pPr>
            <w:r w:rsidRPr="00EB0339">
              <w:rPr>
                <w:rStyle w:val="SpecialBold"/>
              </w:rPr>
              <w:t>1</w:t>
            </w:r>
            <w:r w:rsidRPr="00EB0339">
              <w:t>.</w:t>
            </w:r>
            <w:r w:rsidRPr="00EB0339">
              <w:rPr>
                <w:rStyle w:val="SpecialBold"/>
              </w:rPr>
              <w:t>1</w:t>
            </w:r>
            <w:r w:rsidRPr="00EB0339">
              <w:t xml:space="preserve">) </w:t>
            </w:r>
            <w:r w:rsidRPr="00EB0339">
              <w:rPr>
                <w:rStyle w:val="SpecialBold"/>
              </w:rPr>
              <w:t>Descriptor</w:t>
            </w:r>
          </w:p>
        </w:tc>
      </w:tr>
      <w:tr w:rsidTr="000518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B0339" w:rsidP="00EB0339">
            <w:pPr>
              <w:pStyle w:val="BodyText"/>
            </w:pPr>
            <w:r w:rsidRPr="00EB0339">
              <w:t>This unit covers diagnosing and rectifying faults in electrical energy transmission systems. The unit encompasses safe working practices, interpreting diagrams and technical data, applying knowledge of energy supply and transmission systems to logical faul</w:t>
            </w:r>
            <w:r w:rsidRPr="00EB0339">
              <w:t>t finding processes, implementing fault rectification, safety and functional testing and reporting work activities and outcomes.</w:t>
            </w:r>
          </w:p>
        </w:tc>
      </w:tr>
    </w:tbl>
    <w:p w:rsidR="00051809" w:rsidP="00EB0339">
      <w:pPr>
        <w:pStyle w:val="BodyText"/>
      </w:pPr>
    </w:p>
    <w:p w:rsidR="00051809" w:rsidP="00EB0339">
      <w:pPr>
        <w:pStyle w:val="BodyText"/>
      </w:pPr>
    </w:p>
    <w:p w:rsidR="00000000" w:rsidRPr="00EB0339" w:rsidP="00EB0339">
      <w:pPr>
        <w:pStyle w:val="Heading1"/>
      </w:pPr>
      <w:bookmarkStart w:id="3" w:name="O_226251"/>
      <w:bookmarkEnd w:id="3"/>
      <w:r w:rsidRPr="00EB0339">
        <w:t>Application of the Unit</w:t>
      </w:r>
    </w:p>
    <w:tbl>
      <w:tblPr>
        <w:tblW w:w="0" w:type="auto"/>
        <w:tblLayout w:type="fixed"/>
        <w:tblCellMar>
          <w:left w:w="62" w:type="dxa"/>
          <w:right w:w="62" w:type="dxa"/>
        </w:tblCellMar>
        <w:tblLook w:val="0000"/>
      </w:tblPr>
      <w:tblGrid>
        <w:gridCol w:w="2700"/>
        <w:gridCol w:w="5760"/>
      </w:tblGrid>
      <w:tr w:rsidTr="0005180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B0339" w:rsidP="00EB0339">
            <w:pPr>
              <w:pStyle w:val="BodyText"/>
            </w:pPr>
            <w:r w:rsidRPr="00EB0339">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EB0339">
            <w:pPr>
              <w:pStyle w:val="BodyText"/>
              <w:rPr>
                <w:lang w:val="en-NZ"/>
              </w:rPr>
            </w:pPr>
            <w:r w:rsidRPr="00EB0339">
              <w:rPr>
                <w:rStyle w:val="SpecialBold"/>
              </w:rPr>
              <w:t>4</w:t>
            </w:r>
            <w:r w:rsidRPr="00EB0339">
              <w:t>)</w:t>
            </w:r>
          </w:p>
        </w:tc>
      </w:tr>
      <w:tr w:rsidTr="000518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B0339" w:rsidP="00EB0339">
            <w:pPr>
              <w:pStyle w:val="BodyText"/>
            </w:pPr>
            <w:r w:rsidRPr="00EB0339">
              <w:t>This unit is intended as an additional competency to r</w:t>
            </w:r>
            <w:r w:rsidRPr="00EB0339">
              <w:t>elevant competencies previously acquired. It is suitable for employment-based programs under an approved contract of training at the aligned AQF 4 level or higher.</w:t>
            </w:r>
          </w:p>
        </w:tc>
      </w:tr>
    </w:tbl>
    <w:p w:rsidR="00051809" w:rsidP="00EB0339">
      <w:pPr>
        <w:pStyle w:val="BodyText"/>
      </w:pPr>
    </w:p>
    <w:p w:rsidR="00051809" w:rsidP="00EB0339">
      <w:pPr>
        <w:pStyle w:val="BodyText"/>
      </w:pPr>
    </w:p>
    <w:p w:rsidR="00000000" w:rsidRPr="00EB0339" w:rsidP="00EB0339">
      <w:pPr>
        <w:pStyle w:val="Heading1"/>
      </w:pPr>
      <w:bookmarkStart w:id="4" w:name="O_226247"/>
      <w:bookmarkEnd w:id="4"/>
      <w:r w:rsidRPr="00EB0339">
        <w:t>Licensing/Regulatory Information</w:t>
      </w:r>
    </w:p>
    <w:tbl>
      <w:tblPr>
        <w:tblW w:w="0" w:type="auto"/>
        <w:tblLayout w:type="fixed"/>
        <w:tblCellMar>
          <w:left w:w="62" w:type="dxa"/>
          <w:right w:w="62" w:type="dxa"/>
        </w:tblCellMar>
        <w:tblLook w:val="0000"/>
      </w:tblPr>
      <w:tblGrid>
        <w:gridCol w:w="8460"/>
      </w:tblGrid>
      <w:tr w:rsidTr="0005180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B0339">
            <w:pPr>
              <w:pStyle w:val="BodyText"/>
              <w:rPr>
                <w:lang w:val="en-NZ"/>
              </w:rPr>
            </w:pPr>
            <w:r w:rsidRPr="00EB0339">
              <w:rPr>
                <w:rStyle w:val="SpecialBold"/>
              </w:rPr>
              <w:t>1</w:t>
            </w:r>
            <w:r w:rsidRPr="00EB0339">
              <w:t>.</w:t>
            </w:r>
            <w:r w:rsidRPr="00EB0339">
              <w:rPr>
                <w:rStyle w:val="SpecialBold"/>
              </w:rPr>
              <w:t>2</w:t>
            </w:r>
            <w:r w:rsidRPr="00EB0339">
              <w:t xml:space="preserve">) </w:t>
            </w:r>
            <w:r w:rsidRPr="00EB0339">
              <w:rPr>
                <w:rStyle w:val="SpecialBold"/>
              </w:rPr>
              <w:t>License to practice</w:t>
            </w:r>
          </w:p>
        </w:tc>
      </w:tr>
      <w:tr w:rsidTr="0005180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B0339" w:rsidP="00EB0339">
            <w:pPr>
              <w:pStyle w:val="BodyText"/>
            </w:pPr>
            <w:r w:rsidRPr="00EB0339">
              <w:t>The skills and knowledge described in this unit require a license to practice in the workplace where plant and equipment operate at voltage above 50 V a.c. or 120 V d.c. However other conditions may apply in some jurisdictions subject to regulations relate</w:t>
            </w:r>
            <w:r w:rsidRPr="00EB0339">
              <w:t>d to electrical work. Practice in the workplace and during training is also subject to regulations directly related to occupational health and safety and where applicable contracts of training such as apprenticeships.</w:t>
            </w:r>
          </w:p>
          <w:p w:rsidR="00000000" w:rsidRPr="00EB0339" w:rsidP="00EB0339">
            <w:pPr>
              <w:pStyle w:val="BodyText"/>
            </w:pPr>
            <w:r w:rsidRPr="00EB0339">
              <w:t>Note:</w:t>
            </w:r>
            <w:r w:rsidRPr="00EB0339">
              <w:br/>
              <w:t>1. Compliance with permits may b</w:t>
            </w:r>
            <w:r w:rsidRPr="00EB0339">
              <w:t>e required in various jurisdictions and typically relates to the operation of plant, machinery and equipment such as elevating work platforms, powder operated fixing tools, power operated tools, vehicles, road signage and traffic control and lifting equipm</w:t>
            </w:r>
            <w:r w:rsidRPr="00EB0339">
              <w:t>ent. Permits may also be required for some work environments such as confined spaces, working aloft, near live electrical apparatus and site rehabilitation.</w:t>
            </w:r>
            <w:r w:rsidRPr="00EB0339">
              <w:br/>
              <w:t xml:space="preserve">2. Compliance may be required in various jurisdictions relating to currency in First Aid, confined </w:t>
            </w:r>
            <w:r w:rsidRPr="00EB0339">
              <w:t>space, lifting and risk safety measures.</w:t>
            </w:r>
          </w:p>
        </w:tc>
      </w:tr>
    </w:tbl>
    <w:p w:rsidR="00051809" w:rsidP="00EB0339">
      <w:pPr>
        <w:pStyle w:val="BodyText"/>
      </w:pPr>
    </w:p>
    <w:p w:rsidR="00051809" w:rsidP="00EB0339">
      <w:pPr>
        <w:pStyle w:val="BodyText"/>
      </w:pPr>
    </w:p>
    <w:p w:rsidR="00000000" w:rsidRPr="00EB0339" w:rsidP="00EB0339">
      <w:pPr>
        <w:pStyle w:val="Heading1"/>
      </w:pPr>
      <w:bookmarkStart w:id="5" w:name="O_226248"/>
      <w:bookmarkEnd w:id="5"/>
      <w:r w:rsidRPr="00EB0339">
        <w:t>Pre-Requisites</w:t>
      </w:r>
    </w:p>
    <w:tbl>
      <w:tblPr>
        <w:tblW w:w="0" w:type="auto"/>
        <w:tblLayout w:type="fixed"/>
        <w:tblCellMar>
          <w:left w:w="62" w:type="dxa"/>
          <w:right w:w="62" w:type="dxa"/>
        </w:tblCellMar>
        <w:tblLook w:val="0000"/>
      </w:tblPr>
      <w:tblGrid>
        <w:gridCol w:w="2700"/>
        <w:gridCol w:w="5760"/>
      </w:tblGrid>
      <w:tr w:rsidTr="0005180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B0339" w:rsidP="00EB0339">
            <w:pPr>
              <w:pStyle w:val="BodyText"/>
            </w:pPr>
            <w:r w:rsidRPr="00EB0339">
              <w:rPr>
                <w:rStyle w:val="SpecialBold"/>
              </w:rPr>
              <w:t>Prerequisite Unit</w:t>
            </w:r>
            <w:r w:rsidRPr="00EB0339">
              <w:t>(</w:t>
            </w:r>
            <w:r w:rsidRPr="00EB0339">
              <w:rPr>
                <w:rStyle w:val="SpecialBold"/>
              </w:rPr>
              <w:t>s</w:t>
            </w:r>
            <w:r w:rsidRPr="00EB0339">
              <w:t>)</w:t>
            </w:r>
          </w:p>
        </w:tc>
        <w:tc>
          <w:tcPr>
            <w:tcW w:w="5760" w:type="dxa"/>
            <w:tcBorders>
              <w:top w:val="nil"/>
              <w:left w:val="nil"/>
              <w:bottom w:val="nil"/>
              <w:right w:val="nil"/>
            </w:tcBorders>
            <w:tcMar>
              <w:top w:w="0" w:type="dxa"/>
              <w:left w:w="62" w:type="dxa"/>
              <w:bottom w:w="0" w:type="dxa"/>
              <w:right w:w="62" w:type="dxa"/>
            </w:tcMar>
          </w:tcPr>
          <w:p w:rsidR="00000000" w:rsidP="00EB0339">
            <w:pPr>
              <w:pStyle w:val="BodyText"/>
              <w:rPr>
                <w:lang w:val="en-NZ"/>
              </w:rPr>
            </w:pPr>
            <w:r w:rsidRPr="00EB0339">
              <w:rPr>
                <w:rStyle w:val="SpecialBold"/>
              </w:rPr>
              <w:t>2</w:t>
            </w:r>
            <w:r w:rsidRPr="00EB0339">
              <w:t xml:space="preserve">) </w:t>
            </w:r>
          </w:p>
        </w:tc>
      </w:tr>
      <w:tr w:rsidTr="000518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B0339">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EB0339">
            <w:pPr>
              <w:pStyle w:val="BodyText"/>
              <w:rPr>
                <w:lang w:val="en-NZ"/>
              </w:rPr>
            </w:pPr>
            <w:r w:rsidRPr="00EB0339">
              <w:rPr>
                <w:rStyle w:val="SpecialBold"/>
              </w:rPr>
              <w:t>2</w:t>
            </w:r>
            <w:r w:rsidRPr="00EB0339">
              <w:t>.</w:t>
            </w:r>
            <w:r w:rsidRPr="00EB0339">
              <w:rPr>
                <w:rStyle w:val="SpecialBold"/>
              </w:rPr>
              <w:t>1</w:t>
            </w:r>
            <w:r w:rsidRPr="00EB0339">
              <w:t xml:space="preserve">) </w:t>
            </w:r>
            <w:r w:rsidRPr="00EB0339">
              <w:rPr>
                <w:rStyle w:val="SpecialBold"/>
              </w:rPr>
              <w:t>Competencies</w:t>
            </w:r>
          </w:p>
        </w:tc>
      </w:tr>
      <w:tr w:rsidTr="000518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B0339" w:rsidP="00EB0339">
            <w:pPr>
              <w:pStyle w:val="BodyText"/>
            </w:pPr>
            <w:r w:rsidRPr="00EB0339">
              <w:t>Granting competency in this unit shall be made only after competency in the following unit(s) has/have been confirmed.</w:t>
            </w:r>
          </w:p>
          <w:p w:rsidR="00000000" w:rsidRPr="00EB0339" w:rsidP="00EB0339">
            <w:pPr>
              <w:pStyle w:val="BodyText"/>
            </w:pPr>
            <w:r w:rsidRPr="00EB0339">
              <w:t>UEENEEG015B Find and rectify faults in energy supply network equipment</w:t>
            </w:r>
          </w:p>
          <w:p w:rsidR="00000000" w:rsidRPr="00EB0339" w:rsidP="00EB0339">
            <w:pPr>
              <w:pStyle w:val="BodyText"/>
            </w:pPr>
            <w:r w:rsidRPr="00EB0339">
              <w:t>For the full prerequisite chain details for this unit please refer to Table 2 in Volume 1, Part 2</w:t>
            </w:r>
          </w:p>
        </w:tc>
      </w:tr>
    </w:tbl>
    <w:p w:rsidR="00051809" w:rsidP="00EB0339">
      <w:pPr>
        <w:pStyle w:val="BodyText"/>
      </w:pPr>
    </w:p>
    <w:p w:rsidR="00051809" w:rsidP="00EB0339">
      <w:pPr>
        <w:pStyle w:val="BodyText"/>
      </w:pPr>
    </w:p>
    <w:p w:rsidR="00000000" w:rsidRPr="00EB0339" w:rsidP="00EB0339">
      <w:pPr>
        <w:pStyle w:val="Heading1"/>
      </w:pPr>
      <w:bookmarkStart w:id="6" w:name="O_226250"/>
      <w:bookmarkEnd w:id="6"/>
      <w:r w:rsidRPr="00EB0339">
        <w:t>Employability Skills Information</w:t>
      </w:r>
    </w:p>
    <w:tbl>
      <w:tblPr>
        <w:tblW w:w="0" w:type="auto"/>
        <w:tblLayout w:type="fixed"/>
        <w:tblCellMar>
          <w:left w:w="62" w:type="dxa"/>
          <w:right w:w="62" w:type="dxa"/>
        </w:tblCellMar>
        <w:tblLook w:val="0000"/>
      </w:tblPr>
      <w:tblGrid>
        <w:gridCol w:w="2700"/>
        <w:gridCol w:w="5760"/>
      </w:tblGrid>
      <w:tr w:rsidTr="000518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B0339" w:rsidP="00EB0339">
            <w:pPr>
              <w:pStyle w:val="BodyText"/>
            </w:pPr>
            <w:r w:rsidRPr="00EB0339">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EB0339" w:rsidP="00EB0339">
            <w:pPr>
              <w:pStyle w:val="BodyText"/>
            </w:pPr>
            <w:r w:rsidRPr="00EB0339">
              <w:rPr>
                <w:rStyle w:val="SpecialBold"/>
              </w:rPr>
              <w:t>3</w:t>
            </w:r>
            <w:r w:rsidRPr="00EB0339">
              <w:t>)</w:t>
            </w:r>
          </w:p>
          <w:p w:rsidR="00000000" w:rsidRPr="00EB0339" w:rsidP="00EB0339">
            <w:pPr>
              <w:pStyle w:val="BodyText"/>
            </w:pPr>
            <w:r w:rsidRPr="00EB0339">
              <w:t xml:space="preserve">This unit </w:t>
            </w:r>
            <w:r w:rsidRPr="00EB0339">
              <w:t>contains Employability Skills</w:t>
            </w:r>
          </w:p>
          <w:p w:rsidR="00000000" w:rsidRPr="00EB0339" w:rsidP="00EB0339">
            <w:pPr>
              <w:pStyle w:val="BodyText"/>
            </w:pPr>
            <w:r w:rsidRPr="00EB0339">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EB0339">
              <w:t>requirements.</w:t>
            </w:r>
          </w:p>
        </w:tc>
      </w:tr>
    </w:tbl>
    <w:p w:rsidR="00051809" w:rsidP="00EB0339">
      <w:pPr>
        <w:pStyle w:val="BodyText"/>
      </w:pPr>
    </w:p>
    <w:p w:rsidR="00051809" w:rsidP="00EB0339">
      <w:pPr>
        <w:pStyle w:val="BodyText"/>
      </w:pPr>
    </w:p>
    <w:p w:rsidR="00000000" w:rsidRPr="00EB0339" w:rsidP="00EB0339">
      <w:pPr>
        <w:pStyle w:val="Heading1"/>
      </w:pPr>
      <w:bookmarkStart w:id="7" w:name="O_292686"/>
      <w:bookmarkEnd w:id="7"/>
      <w:r w:rsidRPr="00EB0339">
        <w:t>Elements and Performance Criteria Pre-Content</w:t>
      </w:r>
    </w:p>
    <w:tbl>
      <w:tblPr>
        <w:tblW w:w="0" w:type="auto"/>
        <w:tblLayout w:type="fixed"/>
        <w:tblCellMar>
          <w:left w:w="62" w:type="dxa"/>
          <w:right w:w="62" w:type="dxa"/>
        </w:tblCellMar>
        <w:tblLook w:val="0000"/>
      </w:tblPr>
      <w:tblGrid>
        <w:gridCol w:w="2700"/>
        <w:gridCol w:w="5760"/>
      </w:tblGrid>
      <w:tr w:rsidTr="000518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B0339">
            <w:pPr>
              <w:pStyle w:val="BodyText"/>
              <w:rPr>
                <w:lang w:val="en-NZ"/>
              </w:rPr>
            </w:pPr>
            <w:r w:rsidRPr="00EB0339">
              <w:rPr>
                <w:rStyle w:val="SpecialBold"/>
              </w:rPr>
              <w:t>6</w:t>
            </w:r>
            <w:r w:rsidRPr="00EB0339">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EB0339" w:rsidP="00EB0339">
            <w:pPr>
              <w:pStyle w:val="BodyText"/>
            </w:pPr>
            <w:r w:rsidRPr="00EB0339">
              <w:t>Performance criteria describe the required performance needed to demonstrate achievement of the Element. Ass</w:t>
            </w:r>
            <w:r w:rsidRPr="00EB0339">
              <w:t>essment of performance is to be consistent with the evidence guide.</w:t>
            </w:r>
          </w:p>
        </w:tc>
      </w:tr>
    </w:tbl>
    <w:p w:rsidR="00000000" w:rsidRPr="00EB0339" w:rsidP="00EB0339">
      <w:pPr>
        <w:pStyle w:val="BodyText"/>
      </w:pPr>
    </w:p>
    <w:p w:rsidR="00000000" w:rsidRPr="00EB0339" w:rsidP="00EB0339">
      <w:pPr>
        <w:pStyle w:val="AllowPageBreak"/>
      </w:pPr>
    </w:p>
    <w:p w:rsidR="00000000" w:rsidRPr="00EB0339" w:rsidP="00EB0339">
      <w:pPr>
        <w:pStyle w:val="Heading1"/>
      </w:pPr>
      <w:bookmarkStart w:id="8" w:name="O_239354"/>
      <w:bookmarkEnd w:id="8"/>
      <w:r w:rsidRPr="00EB0339">
        <w:t>Elements and Performance Criteria</w:t>
      </w:r>
    </w:p>
    <w:tbl>
      <w:tblPr>
        <w:tblW w:w="0" w:type="auto"/>
        <w:tblLayout w:type="fixed"/>
        <w:tblCellMar>
          <w:left w:w="62" w:type="dxa"/>
          <w:right w:w="62" w:type="dxa"/>
        </w:tblCellMar>
        <w:tblLook w:val="0000"/>
      </w:tblPr>
      <w:tblGrid>
        <w:gridCol w:w="360"/>
        <w:gridCol w:w="2340"/>
        <w:gridCol w:w="900"/>
        <w:gridCol w:w="4860"/>
      </w:tblGrid>
      <w:tr w:rsidTr="00051809">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EB0339" w:rsidP="00EB0339">
            <w:pPr>
              <w:pStyle w:val="BodyText"/>
            </w:pPr>
            <w:r w:rsidRPr="00EB0339">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EB0339">
            <w:pPr>
              <w:pStyle w:val="BodyText"/>
              <w:rPr>
                <w:lang w:val="en-NZ"/>
              </w:rPr>
            </w:pPr>
            <w:r w:rsidRPr="00EB0339">
              <w:rPr>
                <w:rStyle w:val="SpecialBold"/>
              </w:rPr>
              <w:t>PERFORMANCE CRITERIA</w:t>
            </w:r>
          </w:p>
        </w:tc>
      </w:tr>
      <w:tr w:rsidTr="0005180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EB0339">
            <w:pPr>
              <w:pStyle w:val="BodyText"/>
              <w:rPr>
                <w:lang w:val="en-NZ"/>
              </w:rPr>
            </w:pPr>
            <w:r w:rsidRPr="00EB0339">
              <w:t>1</w:t>
            </w:r>
          </w:p>
        </w:tc>
        <w:tc>
          <w:tcPr>
            <w:tcW w:w="2340" w:type="dxa"/>
            <w:vMerge w:val="restart"/>
            <w:tcBorders>
              <w:top w:val="nil"/>
              <w:left w:val="nil"/>
              <w:bottom w:val="nil"/>
              <w:right w:val="nil"/>
            </w:tcBorders>
            <w:tcMar>
              <w:top w:w="0" w:type="dxa"/>
              <w:left w:w="62" w:type="dxa"/>
              <w:bottom w:w="0" w:type="dxa"/>
              <w:right w:w="62" w:type="dxa"/>
            </w:tcMar>
          </w:tcPr>
          <w:p w:rsidR="00000000" w:rsidP="00EB0339">
            <w:pPr>
              <w:pStyle w:val="BodyText"/>
              <w:rPr>
                <w:lang w:val="en-NZ"/>
              </w:rPr>
            </w:pPr>
            <w:r w:rsidRPr="00EB0339">
              <w:t>Prepare to diagnose and rectify faults.</w:t>
            </w:r>
          </w:p>
        </w:tc>
        <w:tc>
          <w:tcPr>
            <w:tcW w:w="900" w:type="dxa"/>
            <w:tcBorders>
              <w:top w:val="nil"/>
              <w:left w:val="nil"/>
              <w:bottom w:val="nil"/>
              <w:right w:val="nil"/>
            </w:tcBorders>
            <w:tcMar>
              <w:top w:w="0" w:type="dxa"/>
              <w:left w:w="62" w:type="dxa"/>
              <w:bottom w:w="0" w:type="dxa"/>
              <w:right w:w="62" w:type="dxa"/>
            </w:tcMar>
          </w:tcPr>
          <w:p w:rsidR="00000000" w:rsidP="00EB0339">
            <w:pPr>
              <w:pStyle w:val="BodyText"/>
              <w:rPr>
                <w:lang w:val="en-NZ"/>
              </w:rPr>
            </w:pPr>
            <w:r w:rsidRPr="00EB0339">
              <w:t>1.1</w:t>
            </w:r>
          </w:p>
        </w:tc>
        <w:tc>
          <w:tcPr>
            <w:tcW w:w="4860" w:type="dxa"/>
            <w:tcBorders>
              <w:top w:val="nil"/>
              <w:left w:val="nil"/>
              <w:bottom w:val="nil"/>
              <w:right w:val="nil"/>
            </w:tcBorders>
            <w:tcMar>
              <w:top w:w="0" w:type="dxa"/>
              <w:left w:w="62" w:type="dxa"/>
              <w:bottom w:w="0" w:type="dxa"/>
              <w:right w:w="62" w:type="dxa"/>
            </w:tcMar>
          </w:tcPr>
          <w:p w:rsidR="00000000" w:rsidP="00EB0339">
            <w:pPr>
              <w:pStyle w:val="BodyText"/>
              <w:rPr>
                <w:lang w:val="en-NZ"/>
              </w:rPr>
            </w:pPr>
            <w:r w:rsidRPr="00EB0339">
              <w:t xml:space="preserve">OHS procedures for a given work area are identified, obtained and understood. </w:t>
            </w:r>
          </w:p>
        </w:tc>
      </w:tr>
      <w:tr w:rsidTr="0005180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0339">
            <w:pPr>
              <w:pStyle w:val="BodyText"/>
              <w:rPr>
                <w:lang w:val="en-NZ"/>
              </w:rPr>
            </w:pPr>
            <w:r w:rsidRPr="00EB0339">
              <w:t>1.2</w:t>
            </w:r>
          </w:p>
        </w:tc>
        <w:tc>
          <w:tcPr>
            <w:tcW w:w="4860" w:type="dxa"/>
            <w:tcBorders>
              <w:top w:val="nil"/>
              <w:left w:val="nil"/>
              <w:bottom w:val="nil"/>
              <w:right w:val="nil"/>
            </w:tcBorders>
            <w:tcMar>
              <w:top w:w="0" w:type="dxa"/>
              <w:left w:w="62" w:type="dxa"/>
              <w:bottom w:w="0" w:type="dxa"/>
              <w:right w:w="62" w:type="dxa"/>
            </w:tcMar>
          </w:tcPr>
          <w:p w:rsidR="00000000" w:rsidP="00EB0339">
            <w:pPr>
              <w:pStyle w:val="BodyText"/>
              <w:rPr>
                <w:lang w:val="en-NZ"/>
              </w:rPr>
            </w:pPr>
            <w:r w:rsidRPr="00EB0339">
              <w:t>Established OHS risk control measures and procedures in preparation for the work are followed.</w:t>
            </w:r>
          </w:p>
        </w:tc>
      </w:tr>
      <w:tr w:rsidTr="0005180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0339">
            <w:pPr>
              <w:pStyle w:val="BodyText"/>
              <w:rPr>
                <w:lang w:val="en-NZ"/>
              </w:rPr>
            </w:pPr>
            <w:r w:rsidRPr="00EB0339">
              <w:t>1.3</w:t>
            </w:r>
          </w:p>
        </w:tc>
        <w:tc>
          <w:tcPr>
            <w:tcW w:w="4860" w:type="dxa"/>
            <w:tcBorders>
              <w:top w:val="nil"/>
              <w:left w:val="nil"/>
              <w:bottom w:val="nil"/>
              <w:right w:val="nil"/>
            </w:tcBorders>
            <w:tcMar>
              <w:top w:w="0" w:type="dxa"/>
              <w:left w:w="62" w:type="dxa"/>
              <w:bottom w:w="0" w:type="dxa"/>
              <w:right w:w="62" w:type="dxa"/>
            </w:tcMar>
          </w:tcPr>
          <w:p w:rsidR="00000000" w:rsidP="00EB0339">
            <w:pPr>
              <w:pStyle w:val="BodyText"/>
              <w:rPr>
                <w:lang w:val="en-NZ"/>
              </w:rPr>
            </w:pPr>
            <w:r w:rsidRPr="00EB0339">
              <w:t>Safety hazards that have not previously been identified are documented and risk control measures devised and implemented in consultation with appropriate personnel.</w:t>
            </w:r>
          </w:p>
        </w:tc>
      </w:tr>
      <w:tr w:rsidTr="0005180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0339">
            <w:pPr>
              <w:pStyle w:val="BodyText"/>
              <w:rPr>
                <w:lang w:val="en-NZ"/>
              </w:rPr>
            </w:pPr>
            <w:r w:rsidRPr="00EB0339">
              <w:t>1.4</w:t>
            </w:r>
          </w:p>
        </w:tc>
        <w:tc>
          <w:tcPr>
            <w:tcW w:w="4860" w:type="dxa"/>
            <w:tcBorders>
              <w:top w:val="nil"/>
              <w:left w:val="nil"/>
              <w:bottom w:val="nil"/>
              <w:right w:val="nil"/>
            </w:tcBorders>
            <w:tcMar>
              <w:top w:w="0" w:type="dxa"/>
              <w:left w:w="62" w:type="dxa"/>
              <w:bottom w:w="0" w:type="dxa"/>
              <w:right w:w="62" w:type="dxa"/>
            </w:tcMar>
          </w:tcPr>
          <w:p w:rsidR="00000000" w:rsidP="00EB0339">
            <w:pPr>
              <w:pStyle w:val="BodyText"/>
              <w:rPr>
                <w:lang w:val="en-NZ"/>
              </w:rPr>
            </w:pPr>
            <w:r w:rsidRPr="00EB0339">
              <w:t>The extent of faults is determined from reports and other documentation and from dis</w:t>
            </w:r>
            <w:r w:rsidRPr="00EB0339">
              <w:t>cussion with appropriate personnel.</w:t>
            </w:r>
          </w:p>
        </w:tc>
      </w:tr>
      <w:tr w:rsidTr="0005180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0339">
            <w:pPr>
              <w:pStyle w:val="BodyText"/>
              <w:rPr>
                <w:lang w:val="en-NZ"/>
              </w:rPr>
            </w:pPr>
            <w:r w:rsidRPr="00EB0339">
              <w:t>1.5</w:t>
            </w:r>
          </w:p>
        </w:tc>
        <w:tc>
          <w:tcPr>
            <w:tcW w:w="4860" w:type="dxa"/>
            <w:tcBorders>
              <w:top w:val="nil"/>
              <w:left w:val="nil"/>
              <w:bottom w:val="nil"/>
              <w:right w:val="nil"/>
            </w:tcBorders>
            <w:tcMar>
              <w:top w:w="0" w:type="dxa"/>
              <w:left w:w="62" w:type="dxa"/>
              <w:bottom w:w="0" w:type="dxa"/>
              <w:right w:w="62" w:type="dxa"/>
            </w:tcMar>
          </w:tcPr>
          <w:p w:rsidR="00000000" w:rsidP="00EB0339">
            <w:pPr>
              <w:pStyle w:val="BodyText"/>
              <w:rPr>
                <w:lang w:val="en-NZ"/>
              </w:rPr>
            </w:pPr>
            <w:r w:rsidRPr="00EB0339">
              <w:t>Appropriate personnel are consulted to ensure the work is coordinated effectively with others involved on the work site.</w:t>
            </w:r>
          </w:p>
        </w:tc>
      </w:tr>
      <w:tr w:rsidTr="0005180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0339">
            <w:pPr>
              <w:pStyle w:val="BodyText"/>
              <w:rPr>
                <w:lang w:val="en-NZ"/>
              </w:rPr>
            </w:pPr>
            <w:r w:rsidRPr="00EB0339">
              <w:t>1.6</w:t>
            </w:r>
          </w:p>
        </w:tc>
        <w:tc>
          <w:tcPr>
            <w:tcW w:w="4860" w:type="dxa"/>
            <w:tcBorders>
              <w:top w:val="nil"/>
              <w:left w:val="nil"/>
              <w:bottom w:val="nil"/>
              <w:right w:val="nil"/>
            </w:tcBorders>
            <w:tcMar>
              <w:top w:w="0" w:type="dxa"/>
              <w:left w:w="62" w:type="dxa"/>
              <w:bottom w:w="0" w:type="dxa"/>
              <w:right w:w="62" w:type="dxa"/>
            </w:tcMar>
          </w:tcPr>
          <w:p w:rsidR="00000000" w:rsidP="00EB0339">
            <w:pPr>
              <w:pStyle w:val="BodyText"/>
              <w:rPr>
                <w:lang w:val="en-NZ"/>
              </w:rPr>
            </w:pPr>
            <w:r w:rsidRPr="00EB0339">
              <w:t>Tools, equipment and testing devices needed to diagnose faults are obtained in accordance with established procedures and checked for correct operation and safety.</w:t>
            </w:r>
          </w:p>
        </w:tc>
      </w:tr>
      <w:tr w:rsidTr="0005180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EB0339">
            <w:pPr>
              <w:pStyle w:val="BodyText"/>
              <w:rPr>
                <w:lang w:val="en-NZ"/>
              </w:rPr>
            </w:pPr>
            <w:r w:rsidRPr="00EB0339">
              <w:t>2</w:t>
            </w:r>
          </w:p>
        </w:tc>
        <w:tc>
          <w:tcPr>
            <w:tcW w:w="2340" w:type="dxa"/>
            <w:vMerge w:val="restart"/>
            <w:tcBorders>
              <w:top w:val="nil"/>
              <w:left w:val="nil"/>
              <w:bottom w:val="nil"/>
              <w:right w:val="nil"/>
            </w:tcBorders>
            <w:tcMar>
              <w:top w:w="0" w:type="dxa"/>
              <w:left w:w="62" w:type="dxa"/>
              <w:bottom w:w="0" w:type="dxa"/>
              <w:right w:w="62" w:type="dxa"/>
            </w:tcMar>
          </w:tcPr>
          <w:p w:rsidR="00000000" w:rsidP="00EB0339">
            <w:pPr>
              <w:pStyle w:val="BodyText"/>
              <w:rPr>
                <w:lang w:val="en-NZ"/>
              </w:rPr>
            </w:pPr>
            <w:r w:rsidRPr="00EB0339">
              <w:t>Diagnose and rectify faults.</w:t>
            </w:r>
          </w:p>
        </w:tc>
        <w:tc>
          <w:tcPr>
            <w:tcW w:w="900" w:type="dxa"/>
            <w:tcBorders>
              <w:top w:val="nil"/>
              <w:left w:val="nil"/>
              <w:bottom w:val="nil"/>
              <w:right w:val="nil"/>
            </w:tcBorders>
            <w:tcMar>
              <w:top w:w="0" w:type="dxa"/>
              <w:left w:w="62" w:type="dxa"/>
              <w:bottom w:w="0" w:type="dxa"/>
              <w:right w:w="62" w:type="dxa"/>
            </w:tcMar>
          </w:tcPr>
          <w:p w:rsidR="00000000" w:rsidP="00EB0339">
            <w:pPr>
              <w:pStyle w:val="BodyText"/>
              <w:rPr>
                <w:lang w:val="en-NZ"/>
              </w:rPr>
            </w:pPr>
            <w:r w:rsidRPr="00EB0339">
              <w:t>2.1</w:t>
            </w:r>
          </w:p>
        </w:tc>
        <w:tc>
          <w:tcPr>
            <w:tcW w:w="4860" w:type="dxa"/>
            <w:tcBorders>
              <w:top w:val="nil"/>
              <w:left w:val="nil"/>
              <w:bottom w:val="nil"/>
              <w:right w:val="nil"/>
            </w:tcBorders>
            <w:tcMar>
              <w:top w:w="0" w:type="dxa"/>
              <w:left w:w="62" w:type="dxa"/>
              <w:bottom w:w="0" w:type="dxa"/>
              <w:right w:w="62" w:type="dxa"/>
            </w:tcMar>
          </w:tcPr>
          <w:p w:rsidR="00000000" w:rsidP="00EB0339">
            <w:pPr>
              <w:pStyle w:val="BodyText"/>
              <w:rPr>
                <w:lang w:val="en-NZ"/>
              </w:rPr>
            </w:pPr>
            <w:r w:rsidRPr="00EB0339">
              <w:t>OHS risk control measures and procedures for carrying ou</w:t>
            </w:r>
            <w:r w:rsidRPr="00EB0339">
              <w:t>t the work are followed.</w:t>
            </w:r>
          </w:p>
        </w:tc>
      </w:tr>
      <w:tr w:rsidTr="0005180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0339">
            <w:pPr>
              <w:pStyle w:val="BodyText"/>
              <w:rPr>
                <w:lang w:val="en-NZ"/>
              </w:rPr>
            </w:pPr>
            <w:r w:rsidRPr="00EB0339">
              <w:t>2.2</w:t>
            </w:r>
          </w:p>
        </w:tc>
        <w:tc>
          <w:tcPr>
            <w:tcW w:w="4860" w:type="dxa"/>
            <w:tcBorders>
              <w:top w:val="nil"/>
              <w:left w:val="nil"/>
              <w:bottom w:val="nil"/>
              <w:right w:val="nil"/>
            </w:tcBorders>
            <w:tcMar>
              <w:top w:w="0" w:type="dxa"/>
              <w:left w:w="62" w:type="dxa"/>
              <w:bottom w:w="0" w:type="dxa"/>
              <w:right w:w="62" w:type="dxa"/>
            </w:tcMar>
          </w:tcPr>
          <w:p w:rsidR="00000000" w:rsidP="00EB0339">
            <w:pPr>
              <w:pStyle w:val="BodyText"/>
              <w:rPr>
                <w:lang w:val="en-NZ"/>
              </w:rPr>
            </w:pPr>
            <w:r w:rsidRPr="00EB0339">
              <w:t>The need to test or measure live is determined in strict accordance with OHS requirements and when necessary conducted within established safety procedures.</w:t>
            </w:r>
          </w:p>
        </w:tc>
      </w:tr>
      <w:tr w:rsidTr="0005180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0339">
            <w:pPr>
              <w:pStyle w:val="BodyText"/>
              <w:rPr>
                <w:lang w:val="en-NZ"/>
              </w:rPr>
            </w:pPr>
            <w:r w:rsidRPr="00EB0339">
              <w:t>2.3</w:t>
            </w:r>
          </w:p>
        </w:tc>
        <w:tc>
          <w:tcPr>
            <w:tcW w:w="4860" w:type="dxa"/>
            <w:tcBorders>
              <w:top w:val="nil"/>
              <w:left w:val="nil"/>
              <w:bottom w:val="nil"/>
              <w:right w:val="nil"/>
            </w:tcBorders>
            <w:tcMar>
              <w:top w:w="0" w:type="dxa"/>
              <w:left w:w="62" w:type="dxa"/>
              <w:bottom w:w="0" w:type="dxa"/>
              <w:right w:w="62" w:type="dxa"/>
            </w:tcMar>
          </w:tcPr>
          <w:p w:rsidR="00000000" w:rsidP="00EB0339">
            <w:pPr>
              <w:pStyle w:val="BodyText"/>
              <w:rPr>
                <w:lang w:val="en-NZ"/>
              </w:rPr>
            </w:pPr>
            <w:r w:rsidRPr="00EB0339">
              <w:t>Circuits/machines/plant are checked as bein</w:t>
            </w:r>
            <w:r w:rsidRPr="00EB0339">
              <w:t>g isolated where necessary in strict accordance OHS requirements and procedures.</w:t>
            </w:r>
          </w:p>
        </w:tc>
      </w:tr>
      <w:tr w:rsidTr="0005180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0339">
            <w:pPr>
              <w:pStyle w:val="BodyText"/>
              <w:rPr>
                <w:lang w:val="en-NZ"/>
              </w:rPr>
            </w:pPr>
            <w:r w:rsidRPr="00EB0339">
              <w:t>2.4</w:t>
            </w:r>
          </w:p>
        </w:tc>
        <w:tc>
          <w:tcPr>
            <w:tcW w:w="4860" w:type="dxa"/>
            <w:tcBorders>
              <w:top w:val="nil"/>
              <w:left w:val="nil"/>
              <w:bottom w:val="nil"/>
              <w:right w:val="nil"/>
            </w:tcBorders>
            <w:tcMar>
              <w:top w:w="0" w:type="dxa"/>
              <w:left w:w="62" w:type="dxa"/>
              <w:bottom w:w="0" w:type="dxa"/>
              <w:right w:w="62" w:type="dxa"/>
            </w:tcMar>
          </w:tcPr>
          <w:p w:rsidR="00000000" w:rsidP="00EB0339">
            <w:pPr>
              <w:pStyle w:val="BodyText"/>
              <w:rPr>
                <w:lang w:val="en-NZ"/>
              </w:rPr>
            </w:pPr>
            <w:r w:rsidRPr="00EB0339">
              <w:t>Logical diagnostic methods are applied to diagnose electrical energy transmission system faults employing measurements and estimations of system operating parameters re</w:t>
            </w:r>
            <w:r w:rsidRPr="00EB0339">
              <w:t>ferenced to system operational requirements.</w:t>
            </w:r>
          </w:p>
        </w:tc>
      </w:tr>
      <w:tr w:rsidTr="0005180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0339">
            <w:pPr>
              <w:pStyle w:val="BodyText"/>
              <w:rPr>
                <w:lang w:val="en-NZ"/>
              </w:rPr>
            </w:pPr>
            <w:r w:rsidRPr="00EB0339">
              <w:t>2.5</w:t>
            </w:r>
          </w:p>
        </w:tc>
        <w:tc>
          <w:tcPr>
            <w:tcW w:w="4860" w:type="dxa"/>
            <w:tcBorders>
              <w:top w:val="nil"/>
              <w:left w:val="nil"/>
              <w:bottom w:val="nil"/>
              <w:right w:val="nil"/>
            </w:tcBorders>
            <w:tcMar>
              <w:top w:w="0" w:type="dxa"/>
              <w:left w:w="62" w:type="dxa"/>
              <w:bottom w:w="0" w:type="dxa"/>
              <w:right w:w="62" w:type="dxa"/>
            </w:tcMar>
          </w:tcPr>
          <w:p w:rsidR="00000000" w:rsidP="00EB0339">
            <w:pPr>
              <w:pStyle w:val="BodyText"/>
              <w:rPr>
                <w:lang w:val="en-NZ"/>
              </w:rPr>
            </w:pPr>
            <w:r w:rsidRPr="00EB0339">
              <w:t>Suspected fault scenarios are tested as being the source of system problems.</w:t>
            </w:r>
          </w:p>
        </w:tc>
      </w:tr>
      <w:tr w:rsidTr="0005180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0339">
            <w:pPr>
              <w:pStyle w:val="BodyText"/>
              <w:rPr>
                <w:lang w:val="en-NZ"/>
              </w:rPr>
            </w:pPr>
            <w:r w:rsidRPr="00EB0339">
              <w:t>2.6</w:t>
            </w:r>
          </w:p>
        </w:tc>
        <w:tc>
          <w:tcPr>
            <w:tcW w:w="4860" w:type="dxa"/>
            <w:tcBorders>
              <w:top w:val="nil"/>
              <w:left w:val="nil"/>
              <w:bottom w:val="nil"/>
              <w:right w:val="nil"/>
            </w:tcBorders>
            <w:tcMar>
              <w:top w:w="0" w:type="dxa"/>
              <w:left w:w="62" w:type="dxa"/>
              <w:bottom w:w="0" w:type="dxa"/>
              <w:right w:w="62" w:type="dxa"/>
            </w:tcMar>
          </w:tcPr>
          <w:p w:rsidR="00000000" w:rsidP="00EB0339">
            <w:pPr>
              <w:pStyle w:val="BodyText"/>
              <w:rPr>
                <w:lang w:val="en-NZ"/>
              </w:rPr>
            </w:pPr>
            <w:r w:rsidRPr="00EB0339">
              <w:t>Source of the fault is identified and appropriately competent persons are engaged to rectify the fault where it is outside the scope of the control system.</w:t>
            </w:r>
          </w:p>
        </w:tc>
      </w:tr>
      <w:tr w:rsidTr="0005180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0339">
            <w:pPr>
              <w:pStyle w:val="BodyText"/>
              <w:rPr>
                <w:lang w:val="en-NZ"/>
              </w:rPr>
            </w:pPr>
            <w:r w:rsidRPr="00EB0339">
              <w:t>2.7</w:t>
            </w:r>
          </w:p>
        </w:tc>
        <w:tc>
          <w:tcPr>
            <w:tcW w:w="4860" w:type="dxa"/>
            <w:tcBorders>
              <w:top w:val="nil"/>
              <w:left w:val="nil"/>
              <w:bottom w:val="nil"/>
              <w:right w:val="nil"/>
            </w:tcBorders>
            <w:tcMar>
              <w:top w:w="0" w:type="dxa"/>
              <w:left w:w="62" w:type="dxa"/>
              <w:bottom w:w="0" w:type="dxa"/>
              <w:right w:w="62" w:type="dxa"/>
            </w:tcMar>
          </w:tcPr>
          <w:p w:rsidR="00000000" w:rsidP="00EB0339">
            <w:pPr>
              <w:pStyle w:val="BodyText"/>
              <w:rPr>
                <w:lang w:val="en-NZ"/>
              </w:rPr>
            </w:pPr>
            <w:r w:rsidRPr="00EB0339">
              <w:t xml:space="preserve">Faults in the system components are rectified to raise electrical energy transmission system </w:t>
            </w:r>
            <w:r w:rsidRPr="00EB0339">
              <w:t>to its operation standard.</w:t>
            </w:r>
          </w:p>
        </w:tc>
      </w:tr>
      <w:tr w:rsidTr="0005180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0339">
            <w:pPr>
              <w:pStyle w:val="BodyText"/>
              <w:rPr>
                <w:lang w:val="en-NZ"/>
              </w:rPr>
            </w:pPr>
            <w:r w:rsidRPr="00EB0339">
              <w:t>2.8</w:t>
            </w:r>
          </w:p>
        </w:tc>
        <w:tc>
          <w:tcPr>
            <w:tcW w:w="4860" w:type="dxa"/>
            <w:tcBorders>
              <w:top w:val="nil"/>
              <w:left w:val="nil"/>
              <w:bottom w:val="nil"/>
              <w:right w:val="nil"/>
            </w:tcBorders>
            <w:tcMar>
              <w:top w:w="0" w:type="dxa"/>
              <w:left w:w="62" w:type="dxa"/>
              <w:bottom w:w="0" w:type="dxa"/>
              <w:right w:w="62" w:type="dxa"/>
            </w:tcMar>
          </w:tcPr>
          <w:p w:rsidR="00000000" w:rsidP="00EB0339">
            <w:pPr>
              <w:pStyle w:val="BodyText"/>
              <w:rPr>
                <w:lang w:val="en-NZ"/>
              </w:rPr>
            </w:pPr>
            <w:r w:rsidRPr="00EB0339">
              <w:t>System is tested to verify that it operates as intended and to specified requirements.</w:t>
            </w:r>
          </w:p>
        </w:tc>
      </w:tr>
      <w:tr w:rsidTr="0005180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0339">
            <w:pPr>
              <w:pStyle w:val="BodyText"/>
              <w:rPr>
                <w:lang w:val="en-NZ"/>
              </w:rPr>
            </w:pPr>
            <w:r w:rsidRPr="00EB0339">
              <w:t>2.9</w:t>
            </w:r>
          </w:p>
        </w:tc>
        <w:tc>
          <w:tcPr>
            <w:tcW w:w="4860" w:type="dxa"/>
            <w:tcBorders>
              <w:top w:val="nil"/>
              <w:left w:val="nil"/>
              <w:bottom w:val="nil"/>
              <w:right w:val="nil"/>
            </w:tcBorders>
            <w:tcMar>
              <w:top w:w="0" w:type="dxa"/>
              <w:left w:w="62" w:type="dxa"/>
              <w:bottom w:w="0" w:type="dxa"/>
              <w:right w:w="62" w:type="dxa"/>
            </w:tcMar>
          </w:tcPr>
          <w:p w:rsidR="00000000" w:rsidP="00EB0339">
            <w:pPr>
              <w:pStyle w:val="BodyText"/>
              <w:rPr>
                <w:lang w:val="en-NZ"/>
              </w:rPr>
            </w:pPr>
            <w:r w:rsidRPr="00EB0339">
              <w:t>Decisions for dealing with unexpected situations are made from discussions with appropriate persons and job specifications and r</w:t>
            </w:r>
            <w:r w:rsidRPr="00EB0339">
              <w:t>equirements.</w:t>
            </w:r>
          </w:p>
        </w:tc>
      </w:tr>
      <w:tr w:rsidTr="0005180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0339">
            <w:pPr>
              <w:pStyle w:val="BodyText"/>
              <w:rPr>
                <w:lang w:val="en-NZ"/>
              </w:rPr>
            </w:pPr>
            <w:r w:rsidRPr="00EB0339">
              <w:t>2.10</w:t>
            </w:r>
          </w:p>
        </w:tc>
        <w:tc>
          <w:tcPr>
            <w:tcW w:w="4860" w:type="dxa"/>
            <w:tcBorders>
              <w:top w:val="nil"/>
              <w:left w:val="nil"/>
              <w:bottom w:val="nil"/>
              <w:right w:val="nil"/>
            </w:tcBorders>
            <w:tcMar>
              <w:top w:w="0" w:type="dxa"/>
              <w:left w:w="62" w:type="dxa"/>
              <w:bottom w:w="0" w:type="dxa"/>
              <w:right w:w="62" w:type="dxa"/>
            </w:tcMar>
          </w:tcPr>
          <w:p w:rsidR="00000000" w:rsidP="00EB0339">
            <w:pPr>
              <w:pStyle w:val="BodyText"/>
              <w:rPr>
                <w:lang w:val="en-NZ"/>
              </w:rPr>
            </w:pPr>
            <w:r w:rsidRPr="00EB0339">
              <w:t>Methods for dealing with unexpected situations are selected on the basis of safety and specified work outcomes.</w:t>
            </w:r>
          </w:p>
        </w:tc>
      </w:tr>
      <w:tr w:rsidTr="0005180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0339">
            <w:pPr>
              <w:pStyle w:val="BodyText"/>
              <w:rPr>
                <w:lang w:val="en-NZ"/>
              </w:rPr>
            </w:pPr>
            <w:r w:rsidRPr="00EB0339">
              <w:t>2.11</w:t>
            </w:r>
          </w:p>
        </w:tc>
        <w:tc>
          <w:tcPr>
            <w:tcW w:w="4860" w:type="dxa"/>
            <w:tcBorders>
              <w:top w:val="nil"/>
              <w:left w:val="nil"/>
              <w:bottom w:val="nil"/>
              <w:right w:val="nil"/>
            </w:tcBorders>
            <w:tcMar>
              <w:top w:w="0" w:type="dxa"/>
              <w:left w:w="62" w:type="dxa"/>
              <w:bottom w:w="0" w:type="dxa"/>
              <w:right w:w="62" w:type="dxa"/>
            </w:tcMar>
          </w:tcPr>
          <w:p w:rsidR="00000000" w:rsidP="00EB0339">
            <w:pPr>
              <w:pStyle w:val="BodyText"/>
              <w:rPr>
                <w:lang w:val="en-NZ"/>
              </w:rPr>
            </w:pPr>
            <w:r w:rsidRPr="00EB0339">
              <w:t>Diagnosis and rectification activities are carried out efficiently without unnecessary waste of materials or damage to system and the surrounding environment or services and using sustainable energy practices.</w:t>
            </w:r>
          </w:p>
        </w:tc>
      </w:tr>
      <w:tr w:rsidTr="0005180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EB0339">
            <w:pPr>
              <w:pStyle w:val="BodyText"/>
              <w:rPr>
                <w:lang w:val="en-NZ"/>
              </w:rPr>
            </w:pPr>
            <w:r w:rsidRPr="00EB0339">
              <w:t>3</w:t>
            </w:r>
          </w:p>
        </w:tc>
        <w:tc>
          <w:tcPr>
            <w:tcW w:w="2340" w:type="dxa"/>
            <w:tcBorders>
              <w:top w:val="nil"/>
              <w:left w:val="nil"/>
              <w:bottom w:val="nil"/>
              <w:right w:val="nil"/>
            </w:tcBorders>
            <w:tcMar>
              <w:top w:w="0" w:type="dxa"/>
              <w:left w:w="62" w:type="dxa"/>
              <w:bottom w:w="0" w:type="dxa"/>
              <w:right w:w="62" w:type="dxa"/>
            </w:tcMar>
          </w:tcPr>
          <w:p w:rsidR="00000000" w:rsidP="00EB0339">
            <w:pPr>
              <w:pStyle w:val="BodyText"/>
              <w:rPr>
                <w:lang w:val="en-NZ"/>
              </w:rPr>
            </w:pPr>
            <w:r w:rsidRPr="00EB0339">
              <w:t>Complete and report fault diagnosis and rec</w:t>
            </w:r>
            <w:r w:rsidRPr="00EB0339">
              <w:t>tification activities.</w:t>
            </w:r>
          </w:p>
        </w:tc>
        <w:tc>
          <w:tcPr>
            <w:tcW w:w="900" w:type="dxa"/>
            <w:tcBorders>
              <w:top w:val="nil"/>
              <w:left w:val="nil"/>
              <w:bottom w:val="nil"/>
              <w:right w:val="nil"/>
            </w:tcBorders>
            <w:tcMar>
              <w:top w:w="0" w:type="dxa"/>
              <w:left w:w="62" w:type="dxa"/>
              <w:bottom w:w="0" w:type="dxa"/>
              <w:right w:w="62" w:type="dxa"/>
            </w:tcMar>
          </w:tcPr>
          <w:p w:rsidR="00000000" w:rsidP="00EB0339">
            <w:pPr>
              <w:pStyle w:val="BodyText"/>
              <w:rPr>
                <w:lang w:val="en-NZ"/>
              </w:rPr>
            </w:pPr>
            <w:r w:rsidRPr="00EB0339">
              <w:t>3.1</w:t>
            </w:r>
          </w:p>
        </w:tc>
        <w:tc>
          <w:tcPr>
            <w:tcW w:w="4860" w:type="dxa"/>
            <w:tcBorders>
              <w:top w:val="nil"/>
              <w:left w:val="nil"/>
              <w:bottom w:val="nil"/>
              <w:right w:val="nil"/>
            </w:tcBorders>
            <w:tcMar>
              <w:top w:w="0" w:type="dxa"/>
              <w:left w:w="62" w:type="dxa"/>
              <w:bottom w:w="0" w:type="dxa"/>
              <w:right w:w="62" w:type="dxa"/>
            </w:tcMar>
          </w:tcPr>
          <w:p w:rsidR="00000000" w:rsidP="00EB0339">
            <w:pPr>
              <w:pStyle w:val="BodyText"/>
              <w:rPr>
                <w:lang w:val="en-NZ"/>
              </w:rPr>
            </w:pPr>
            <w:r w:rsidRPr="00EB0339">
              <w:t>OHS work completion risk control measures and procedures are followed.</w:t>
            </w:r>
          </w:p>
        </w:tc>
      </w:tr>
      <w:tr w:rsidTr="0005180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0339">
            <w:pPr>
              <w:pStyle w:val="BodyText"/>
              <w:rPr>
                <w:lang w:val="en-NZ"/>
              </w:rPr>
            </w:pPr>
            <w:r w:rsidRPr="00EB0339">
              <w:t>3.2</w:t>
            </w:r>
          </w:p>
        </w:tc>
        <w:tc>
          <w:tcPr>
            <w:tcW w:w="4860" w:type="dxa"/>
            <w:tcBorders>
              <w:top w:val="nil"/>
              <w:left w:val="nil"/>
              <w:bottom w:val="nil"/>
              <w:right w:val="nil"/>
            </w:tcBorders>
            <w:tcMar>
              <w:top w:w="0" w:type="dxa"/>
              <w:left w:w="62" w:type="dxa"/>
              <w:bottom w:w="0" w:type="dxa"/>
              <w:right w:w="62" w:type="dxa"/>
            </w:tcMar>
          </w:tcPr>
          <w:p w:rsidR="00000000" w:rsidP="00EB0339">
            <w:pPr>
              <w:pStyle w:val="BodyText"/>
              <w:rPr>
                <w:lang w:val="en-NZ"/>
              </w:rPr>
            </w:pPr>
            <w:r w:rsidRPr="00EB0339">
              <w:t>Work site is made safe in accordance with established safety procedures.</w:t>
            </w:r>
          </w:p>
        </w:tc>
      </w:tr>
      <w:tr w:rsidTr="0005180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0339">
            <w:pPr>
              <w:pStyle w:val="BodyText"/>
              <w:rPr>
                <w:lang w:val="en-NZ"/>
              </w:rPr>
            </w:pPr>
            <w:r w:rsidRPr="00EB0339">
              <w:t>3.3</w:t>
            </w:r>
          </w:p>
        </w:tc>
        <w:tc>
          <w:tcPr>
            <w:tcW w:w="4860" w:type="dxa"/>
            <w:tcBorders>
              <w:top w:val="nil"/>
              <w:left w:val="nil"/>
              <w:bottom w:val="nil"/>
              <w:right w:val="nil"/>
            </w:tcBorders>
            <w:tcMar>
              <w:top w:w="0" w:type="dxa"/>
              <w:left w:w="62" w:type="dxa"/>
              <w:bottom w:w="0" w:type="dxa"/>
              <w:right w:w="62" w:type="dxa"/>
            </w:tcMar>
          </w:tcPr>
          <w:p w:rsidR="00000000" w:rsidP="00EB0339">
            <w:pPr>
              <w:pStyle w:val="BodyText"/>
              <w:rPr>
                <w:lang w:val="en-NZ"/>
              </w:rPr>
            </w:pPr>
            <w:r w:rsidRPr="00EB0339">
              <w:t>Rectification of faults is documented in accordance with established pr</w:t>
            </w:r>
            <w:r w:rsidRPr="00EB0339">
              <w:t>ocedures.</w:t>
            </w:r>
          </w:p>
        </w:tc>
      </w:tr>
      <w:tr w:rsidTr="0005180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0339">
            <w:pPr>
              <w:pStyle w:val="BodyText"/>
              <w:rPr>
                <w:lang w:val="en-NZ"/>
              </w:rPr>
            </w:pPr>
            <w:r w:rsidRPr="00EB0339">
              <w:t>3.4</w:t>
            </w:r>
          </w:p>
        </w:tc>
        <w:tc>
          <w:tcPr>
            <w:tcW w:w="4860" w:type="dxa"/>
            <w:tcBorders>
              <w:top w:val="nil"/>
              <w:left w:val="nil"/>
              <w:bottom w:val="nil"/>
              <w:right w:val="nil"/>
            </w:tcBorders>
            <w:tcMar>
              <w:top w:w="0" w:type="dxa"/>
              <w:left w:w="62" w:type="dxa"/>
              <w:bottom w:w="0" w:type="dxa"/>
              <w:right w:w="62" w:type="dxa"/>
            </w:tcMar>
          </w:tcPr>
          <w:p w:rsidR="00000000" w:rsidRPr="00EB0339" w:rsidP="00EB0339">
            <w:pPr>
              <w:pStyle w:val="BodyText"/>
            </w:pPr>
            <w:r w:rsidRPr="00EB0339">
              <w:t>Appropriate person or persons notified, in accordance with established procedures, that the system faults have been rectified.</w:t>
            </w:r>
          </w:p>
        </w:tc>
      </w:tr>
    </w:tbl>
    <w:p w:rsidR="00051809" w:rsidP="00EB0339">
      <w:pPr>
        <w:pStyle w:val="BodyText"/>
      </w:pPr>
    </w:p>
    <w:p w:rsidR="00051809" w:rsidP="00EB0339">
      <w:pPr>
        <w:pStyle w:val="BodyText"/>
      </w:pPr>
    </w:p>
    <w:p w:rsidR="00000000" w:rsidRPr="00EB0339" w:rsidP="00EB0339">
      <w:pPr>
        <w:pStyle w:val="Heading1"/>
      </w:pPr>
      <w:bookmarkStart w:id="9" w:name="O_263145"/>
      <w:bookmarkEnd w:id="9"/>
      <w:r w:rsidRPr="00EB0339">
        <w:t>Required Skills and Knowledge</w:t>
      </w:r>
    </w:p>
    <w:tbl>
      <w:tblPr>
        <w:tblW w:w="0" w:type="auto"/>
        <w:tblLayout w:type="fixed"/>
        <w:tblCellMar>
          <w:left w:w="62" w:type="dxa"/>
          <w:right w:w="62" w:type="dxa"/>
        </w:tblCellMar>
        <w:tblLook w:val="0000"/>
      </w:tblPr>
      <w:tblGrid>
        <w:gridCol w:w="2700"/>
        <w:gridCol w:w="1080"/>
        <w:gridCol w:w="4680"/>
      </w:tblGrid>
      <w:tr w:rsidTr="00051809">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EB0339">
            <w:pPr>
              <w:pStyle w:val="BodyText"/>
              <w:rPr>
                <w:lang w:val="en-NZ"/>
              </w:rPr>
            </w:pPr>
            <w:r w:rsidRPr="00EB0339">
              <w:rPr>
                <w:rStyle w:val="SpecialBold"/>
              </w:rPr>
              <w:t>REQUIRED SKILLS AND KNOWLEDGE</w:t>
            </w:r>
          </w:p>
        </w:tc>
      </w:tr>
      <w:tr w:rsidTr="00051809">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EB0339">
            <w:pPr>
              <w:pStyle w:val="BodyText"/>
              <w:rPr>
                <w:lang w:val="en-NZ"/>
              </w:rPr>
            </w:pPr>
            <w:r w:rsidRPr="00EB0339">
              <w:rPr>
                <w:rStyle w:val="SpecialBold"/>
              </w:rPr>
              <w:t>7</w:t>
            </w:r>
            <w:r w:rsidRPr="00EB0339">
              <w:t>) This describes the essential skills and knowledge and their level, required for this unit.</w:t>
            </w:r>
          </w:p>
        </w:tc>
      </w:tr>
      <w:tr w:rsidTr="00051809">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EB0339" w:rsidP="00EB0339">
            <w:pPr>
              <w:pStyle w:val="BodyText"/>
            </w:pPr>
            <w:r w:rsidRPr="00EB0339">
              <w:t>Evidence shall show that knowledge has been acquired of safe working practices and diagnosing and rectifying faults in electrical energy supply transmission sys</w:t>
            </w:r>
            <w:r w:rsidRPr="00EB0339">
              <w:t>tems.</w:t>
            </w:r>
          </w:p>
          <w:p w:rsidR="00000000" w:rsidRPr="00EB0339" w:rsidP="00EB0339">
            <w:pPr>
              <w:pStyle w:val="BodyText"/>
            </w:pPr>
            <w:r w:rsidRPr="00EB0339">
              <w:t>All knowledge and skills detailed in this unit should be contextualised to current industry practices and technologies.</w:t>
            </w:r>
          </w:p>
          <w:p w:rsidR="00000000" w:rsidP="00EB0339">
            <w:pPr>
              <w:pStyle w:val="BodyText"/>
              <w:rPr>
                <w:lang w:val="en-NZ"/>
              </w:rPr>
            </w:pPr>
            <w:r w:rsidRPr="00EB0339">
              <w:t>The extent of the essential knowledge and associated skills (EKAS) required is given in Volume 2 - Part 2.2 EKAS.  It forms an int</w:t>
            </w:r>
            <w:r w:rsidRPr="00EB0339">
              <w:t>egral part of this unit.</w:t>
            </w:r>
          </w:p>
        </w:tc>
      </w:tr>
      <w:tr w:rsidTr="000518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EB0339">
            <w:pPr>
              <w:pStyle w:val="BodyText"/>
              <w:rPr>
                <w:lang w:val="en-NZ"/>
              </w:rPr>
            </w:pPr>
            <w:r w:rsidRPr="00EB0339">
              <w:t>2.6.22.3</w:t>
            </w:r>
          </w:p>
        </w:tc>
        <w:tc>
          <w:tcPr>
            <w:tcW w:w="4680" w:type="dxa"/>
            <w:tcBorders>
              <w:top w:val="nil"/>
              <w:left w:val="nil"/>
              <w:bottom w:val="nil"/>
              <w:right w:val="nil"/>
            </w:tcBorders>
            <w:tcMar>
              <w:top w:w="0" w:type="dxa"/>
              <w:left w:w="62" w:type="dxa"/>
              <w:bottom w:w="0" w:type="dxa"/>
              <w:right w:w="62" w:type="dxa"/>
            </w:tcMar>
          </w:tcPr>
          <w:p w:rsidR="00000000" w:rsidRPr="00EB0339" w:rsidP="00EB0339">
            <w:pPr>
              <w:pStyle w:val="BodyText"/>
            </w:pPr>
            <w:r w:rsidRPr="00EB0339">
              <w:t>Electrical power system transmission faults</w:t>
            </w:r>
          </w:p>
        </w:tc>
      </w:tr>
    </w:tbl>
    <w:p w:rsidR="00051809" w:rsidP="00EB0339">
      <w:pPr>
        <w:pStyle w:val="BodyText"/>
      </w:pPr>
    </w:p>
    <w:p w:rsidR="00051809" w:rsidP="00EB0339">
      <w:pPr>
        <w:pStyle w:val="BodyText"/>
      </w:pPr>
    </w:p>
    <w:p w:rsidR="00000000" w:rsidRPr="00EB0339" w:rsidP="00EB0339">
      <w:pPr>
        <w:pStyle w:val="Heading1"/>
      </w:pPr>
      <w:bookmarkStart w:id="10" w:name="O_247338"/>
      <w:bookmarkEnd w:id="10"/>
      <w:r w:rsidRPr="00EB0339">
        <w:t>Evidence Guide</w:t>
      </w:r>
    </w:p>
    <w:tbl>
      <w:tblPr>
        <w:tblW w:w="0" w:type="auto"/>
        <w:tblLayout w:type="fixed"/>
        <w:tblCellMar>
          <w:left w:w="62" w:type="dxa"/>
          <w:right w:w="62" w:type="dxa"/>
        </w:tblCellMar>
        <w:tblLook w:val="0000"/>
      </w:tblPr>
      <w:tblGrid>
        <w:gridCol w:w="2160"/>
        <w:gridCol w:w="720"/>
        <w:gridCol w:w="540"/>
        <w:gridCol w:w="5040"/>
      </w:tblGrid>
      <w:tr w:rsidTr="00051809">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EB0339">
            <w:pPr>
              <w:pStyle w:val="BodyText"/>
              <w:rPr>
                <w:lang w:val="en-NZ"/>
              </w:rPr>
            </w:pPr>
            <w:r w:rsidRPr="00EB0339">
              <w:rPr>
                <w:rStyle w:val="SpecialBold"/>
              </w:rPr>
              <w:t>EVIDENCE GUIDE</w:t>
            </w:r>
          </w:p>
        </w:tc>
      </w:tr>
      <w:tr w:rsidTr="00051809">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EB0339" w:rsidP="00EB0339">
            <w:pPr>
              <w:pStyle w:val="BodyText"/>
            </w:pPr>
            <w:r w:rsidRPr="00EB0339">
              <w:rPr>
                <w:rStyle w:val="SpecialBold"/>
              </w:rPr>
              <w:t>9</w:t>
            </w:r>
            <w:r w:rsidRPr="00EB0339">
              <w:t>) The evidence guide provides advice on assessment and must be read in conjunction with the Performance Criteria, Re</w:t>
            </w:r>
            <w:r w:rsidRPr="00EB0339">
              <w:t xml:space="preserve">quired Skills and Knowledge, the Range Statement and the Assessment Guidelines for this Training Package. </w:t>
            </w:r>
          </w:p>
          <w:p w:rsidR="00000000" w:rsidP="00EB0339">
            <w:pPr>
              <w:pStyle w:val="BodyText"/>
              <w:rPr>
                <w:lang w:val="en-NZ"/>
              </w:rPr>
            </w:pPr>
            <w:r w:rsidRPr="00EB0339">
              <w:t>The Evidence Guide forms an integral part of this unit. It must be used in conjunction with all parts of this unit and performed in accordance with t</w:t>
            </w:r>
            <w:r w:rsidRPr="00EB0339">
              <w:t>he Assessment Guidelines of this Training Package.</w:t>
            </w:r>
          </w:p>
        </w:tc>
      </w:tr>
      <w:tr w:rsidTr="0005180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EB0339" w:rsidP="00EB0339">
            <w:pPr>
              <w:pStyle w:val="BodyText"/>
            </w:pPr>
            <w:r w:rsidRPr="00EB0339">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EB0339" w:rsidP="00EB0339">
            <w:pPr>
              <w:pStyle w:val="BodyText"/>
            </w:pPr>
            <w:r w:rsidRPr="00EB0339">
              <w:rPr>
                <w:rStyle w:val="SpecialBold"/>
              </w:rPr>
              <w:t>9</w:t>
            </w:r>
            <w:r w:rsidRPr="00EB0339">
              <w:t>.</w:t>
            </w:r>
            <w:r w:rsidRPr="00EB0339">
              <w:rPr>
                <w:rStyle w:val="SpecialBold"/>
              </w:rPr>
              <w:t>1</w:t>
            </w:r>
            <w:r w:rsidRPr="00EB0339">
              <w:t xml:space="preserve">) </w:t>
            </w:r>
          </w:p>
          <w:p w:rsidR="00000000" w:rsidRPr="00EB0339" w:rsidP="00EB0339">
            <w:pPr>
              <w:pStyle w:val="BodyText"/>
            </w:pPr>
            <w:r w:rsidRPr="00EB0339">
              <w:t>Longitudinal competency development approaches to assessment, such as Profiling, require data to be reliably gathered in a form that can be consistently interpreted over time. This approach is best utilised in Apprenticeship programs and reduces assessment</w:t>
            </w:r>
            <w:r w:rsidRPr="00EB0339">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EB0339">
              <w:t>tency in a realistically simulated work environment. It is recognised that, in some circumstances, assessment in part or full can occur outside the workplace. However, it must be in accordance with industry and regulatory policy.</w:t>
            </w:r>
          </w:p>
          <w:p w:rsidR="00000000" w:rsidRPr="00EB0339" w:rsidP="00EB0339">
            <w:pPr>
              <w:pStyle w:val="BodyText"/>
            </w:pPr>
            <w:r w:rsidRPr="00EB0339">
              <w:t>Methods chosen for a parti</w:t>
            </w:r>
            <w:r w:rsidRPr="00EB0339">
              <w:t xml:space="preserve">cular assessment will be influenced by various factors. These include the extent of the assessment, the most effective locations for the assessment activities to take place, access to physical resources, additional safety measures that may be required and </w:t>
            </w:r>
            <w:r w:rsidRPr="00EB0339">
              <w:t>the critical nature of the competencies being assessed.</w:t>
            </w:r>
          </w:p>
          <w:p w:rsidR="00000000" w:rsidRPr="00EB0339" w:rsidP="00EB0339">
            <w:pPr>
              <w:pStyle w:val="BodyText"/>
            </w:pPr>
            <w:r w:rsidRPr="00EB0339">
              <w:t>The critical safety nature of working with electricity, electrical equipment, gas or any other hazardous substance/material carries risk in deeming a person competent. Sources of evidence need to be '</w:t>
            </w:r>
            <w:r w:rsidRPr="00EB0339">
              <w:t>rich' in nature to minimise error in judgment.</w:t>
            </w:r>
          </w:p>
          <w:p w:rsidR="00000000" w:rsidP="00EB0339">
            <w:pPr>
              <w:pStyle w:val="BodyText"/>
              <w:rPr>
                <w:lang w:val="en-NZ"/>
              </w:rPr>
            </w:pPr>
            <w:r w:rsidRPr="00EB0339">
              <w:t xml:space="preserve">Activities associated with normal every day work have a bearing on the decision as to how much and how detailed the data gathered will contribute to its 'richness'. Some skills are more critical to safety and </w:t>
            </w:r>
            <w:r w:rsidRPr="00EB0339">
              <w:t>operational requirements while the same skills may be more or less frequently practised. These points are raised for the assessors to consider when choosing an assessment method and developing assessment instruments. Sample assessment instruments are inclu</w:t>
            </w:r>
            <w:r w:rsidRPr="00EB0339">
              <w:t>ded for Assessors in the Assessment Guidelines of this Training Package.</w:t>
            </w:r>
          </w:p>
        </w:tc>
      </w:tr>
      <w:tr w:rsidTr="00051809">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EB0339" w:rsidP="00EB0339">
            <w:pPr>
              <w:pStyle w:val="BodyText"/>
            </w:pPr>
            <w:r w:rsidRPr="00EB0339">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EB0339" w:rsidP="00EB0339">
            <w:pPr>
              <w:pStyle w:val="BodyText"/>
            </w:pPr>
            <w:r w:rsidRPr="00EB0339">
              <w:rPr>
                <w:rStyle w:val="SpecialBold"/>
              </w:rPr>
              <w:t>9</w:t>
            </w:r>
            <w:r w:rsidRPr="00EB0339">
              <w:t>.</w:t>
            </w:r>
            <w:r w:rsidRPr="00EB0339">
              <w:rPr>
                <w:rStyle w:val="SpecialBold"/>
              </w:rPr>
              <w:t>2</w:t>
            </w:r>
            <w:r w:rsidRPr="00EB0339">
              <w:t xml:space="preserve">) </w:t>
            </w:r>
          </w:p>
          <w:p w:rsidR="00000000" w:rsidP="00EB0339">
            <w:pPr>
              <w:pStyle w:val="BodyText"/>
              <w:rPr>
                <w:lang w:val="en-NZ"/>
              </w:rPr>
            </w:pPr>
            <w:r w:rsidRPr="00EB0339">
              <w:t>Before the critical aspects of evidence are considered all prerequisites shall be met.</w:t>
            </w:r>
          </w:p>
        </w:tc>
      </w:tr>
      <w:tr w:rsidTr="00051809">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EB0339" w:rsidP="00EB0339">
            <w:pPr>
              <w:pStyle w:val="BodyText"/>
            </w:pPr>
            <w:r w:rsidRPr="00EB0339">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EB0339">
            <w:pPr>
              <w:pStyle w:val="ListBullet"/>
              <w:rPr>
                <w:lang w:val="en-NZ"/>
              </w:rPr>
            </w:pPr>
            <w:r w:rsidRPr="00EB0339">
              <w:t>A representative body of work performance demonstrated within the timeframes typically expected of the discipline, work function and industrial environment. In particular this shall incorporate evidence that shows a candidate is able to:</w:t>
            </w:r>
          </w:p>
        </w:tc>
      </w:tr>
      <w:tr w:rsidTr="0005180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B0339">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EB0339" w:rsidP="00EB0339">
            <w:pPr>
              <w:pStyle w:val="ListBullet2"/>
            </w:pPr>
            <w:r w:rsidRPr="00EB0339">
              <w:t>Implement Occ</w:t>
            </w:r>
            <w:r w:rsidRPr="00EB0339">
              <w:t>upational Health and Safety workplace procedures and practices including the use of risk control measures as specified in the performance criteria and range statement</w:t>
            </w:r>
          </w:p>
          <w:p w:rsidR="00000000" w:rsidRPr="00EB0339" w:rsidP="00EB0339">
            <w:pPr>
              <w:pStyle w:val="ListBullet2"/>
            </w:pPr>
            <w:r w:rsidRPr="00EB0339">
              <w:t>Apply sustainable energy principles and practices as specified in the performance criteria and range statement</w:t>
            </w:r>
          </w:p>
          <w:p w:rsidR="00000000" w:rsidRPr="00EB0339" w:rsidP="00EB0339">
            <w:pPr>
              <w:pStyle w:val="ListBullet2"/>
            </w:pPr>
            <w:r w:rsidRPr="00EB0339">
              <w:t>Demonstrate an understanding of the essential knowledge and associated skills as described in this unit .  It may be required by some jurisdictio</w:t>
            </w:r>
            <w:r w:rsidRPr="00EB0339">
              <w:t xml:space="preserve">ns that RTOs provide a percentile graded result for the purpose of regulatory or licensing requirements.   </w:t>
            </w:r>
          </w:p>
          <w:p w:rsidR="00000000" w:rsidRPr="00EB0339" w:rsidP="00EB0339">
            <w:pPr>
              <w:pStyle w:val="ListBullet2"/>
            </w:pPr>
            <w:r w:rsidRPr="00EB0339">
              <w:t>Demonstrate an appropriate level of skills enabling employment</w:t>
            </w:r>
          </w:p>
          <w:p w:rsidR="00000000" w:rsidP="00EB0339">
            <w:pPr>
              <w:pStyle w:val="ListBullet2"/>
              <w:rPr>
                <w:lang w:val="en-NZ"/>
              </w:rPr>
            </w:pPr>
            <w:r w:rsidRPr="00EB0339">
              <w:t>Conduct work observing the relevant Anti Discrimination legislation, regulations, pol</w:t>
            </w:r>
            <w:r w:rsidRPr="00EB0339">
              <w:t>ices and workplace procedures</w:t>
            </w:r>
          </w:p>
        </w:tc>
      </w:tr>
      <w:tr w:rsidTr="0005180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B0339">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EB0339">
            <w:pPr>
              <w:pStyle w:val="ListBullet"/>
              <w:rPr>
                <w:lang w:val="en-NZ"/>
              </w:rPr>
            </w:pPr>
            <w:r w:rsidRPr="00EB0339">
              <w:t>Demonstrated consistent performance across a representative range of contexts from the prescribed items below:</w:t>
            </w:r>
          </w:p>
        </w:tc>
      </w:tr>
      <w:tr w:rsidTr="0005180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B0339">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EB0339">
            <w:pPr>
              <w:pStyle w:val="ListBullet2"/>
              <w:rPr>
                <w:lang w:val="en-NZ"/>
              </w:rPr>
            </w:pPr>
            <w:r w:rsidRPr="00EB0339">
              <w:t xml:space="preserve">Diagnose and rectify faults in electrical energy supply transmission systems as described </w:t>
            </w:r>
            <w:r w:rsidRPr="00EB0339">
              <w:t>in 8) and including:</w:t>
            </w:r>
          </w:p>
        </w:tc>
      </w:tr>
      <w:tr w:rsidTr="0005180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B0339">
            <w:pPr>
              <w:pStyle w:val="BodyText"/>
              <w:rPr>
                <w:lang w:val="en-NZ"/>
              </w:rPr>
            </w:pPr>
            <w:r w:rsidRPr="00EB0339">
              <w:t>A</w:t>
            </w:r>
          </w:p>
        </w:tc>
        <w:tc>
          <w:tcPr>
            <w:tcW w:w="5040" w:type="dxa"/>
            <w:tcBorders>
              <w:top w:val="nil"/>
              <w:left w:val="nil"/>
              <w:bottom w:val="nil"/>
              <w:right w:val="nil"/>
            </w:tcBorders>
            <w:tcMar>
              <w:top w:w="0" w:type="dxa"/>
              <w:left w:w="62" w:type="dxa"/>
              <w:bottom w:w="0" w:type="dxa"/>
              <w:right w:w="62" w:type="dxa"/>
            </w:tcMar>
          </w:tcPr>
          <w:p w:rsidR="00000000" w:rsidP="00EB0339">
            <w:pPr>
              <w:pStyle w:val="BodyText"/>
              <w:rPr>
                <w:lang w:val="en-NZ"/>
              </w:rPr>
            </w:pPr>
            <w:r w:rsidRPr="00EB0339">
              <w:t>Applying logical diagnostic methods.</w:t>
            </w:r>
          </w:p>
        </w:tc>
      </w:tr>
      <w:tr w:rsidTr="0005180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B0339">
            <w:pPr>
              <w:pStyle w:val="BodyText"/>
              <w:rPr>
                <w:lang w:val="en-NZ"/>
              </w:rPr>
            </w:pPr>
            <w:r w:rsidRPr="00EB0339">
              <w:t>B</w:t>
            </w:r>
          </w:p>
        </w:tc>
        <w:tc>
          <w:tcPr>
            <w:tcW w:w="5040" w:type="dxa"/>
            <w:tcBorders>
              <w:top w:val="nil"/>
              <w:left w:val="nil"/>
              <w:bottom w:val="nil"/>
              <w:right w:val="nil"/>
            </w:tcBorders>
            <w:tcMar>
              <w:top w:w="0" w:type="dxa"/>
              <w:left w:w="62" w:type="dxa"/>
              <w:bottom w:w="0" w:type="dxa"/>
              <w:right w:w="62" w:type="dxa"/>
            </w:tcMar>
          </w:tcPr>
          <w:p w:rsidR="00000000" w:rsidP="00EB0339">
            <w:pPr>
              <w:pStyle w:val="BodyText"/>
              <w:rPr>
                <w:lang w:val="en-NZ"/>
              </w:rPr>
            </w:pPr>
            <w:r w:rsidRPr="00EB0339">
              <w:t>Using fault scenarios to test the source of system faults.</w:t>
            </w:r>
          </w:p>
        </w:tc>
      </w:tr>
      <w:tr w:rsidTr="0005180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B0339">
            <w:pPr>
              <w:pStyle w:val="BodyText"/>
              <w:rPr>
                <w:lang w:val="en-NZ"/>
              </w:rPr>
            </w:pPr>
            <w:r w:rsidRPr="00EB0339">
              <w:t>C</w:t>
            </w:r>
          </w:p>
        </w:tc>
        <w:tc>
          <w:tcPr>
            <w:tcW w:w="5040" w:type="dxa"/>
            <w:tcBorders>
              <w:top w:val="nil"/>
              <w:left w:val="nil"/>
              <w:bottom w:val="nil"/>
              <w:right w:val="nil"/>
            </w:tcBorders>
            <w:tcMar>
              <w:top w:w="0" w:type="dxa"/>
              <w:left w:w="62" w:type="dxa"/>
              <w:bottom w:w="0" w:type="dxa"/>
              <w:right w:w="62" w:type="dxa"/>
            </w:tcMar>
          </w:tcPr>
          <w:p w:rsidR="00000000" w:rsidP="00EB0339">
            <w:pPr>
              <w:pStyle w:val="BodyText"/>
              <w:rPr>
                <w:lang w:val="en-NZ"/>
              </w:rPr>
            </w:pPr>
            <w:r w:rsidRPr="00EB0339">
              <w:t>Identifying faults and competency needed to rectify them.</w:t>
            </w:r>
          </w:p>
        </w:tc>
      </w:tr>
      <w:tr w:rsidTr="0005180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B0339">
            <w:pPr>
              <w:pStyle w:val="BodyText"/>
              <w:rPr>
                <w:lang w:val="en-NZ"/>
              </w:rPr>
            </w:pPr>
            <w:r w:rsidRPr="00EB0339">
              <w:t>D</w:t>
            </w:r>
          </w:p>
        </w:tc>
        <w:tc>
          <w:tcPr>
            <w:tcW w:w="5040" w:type="dxa"/>
            <w:tcBorders>
              <w:top w:val="nil"/>
              <w:left w:val="nil"/>
              <w:bottom w:val="nil"/>
              <w:right w:val="nil"/>
            </w:tcBorders>
            <w:tcMar>
              <w:top w:w="0" w:type="dxa"/>
              <w:left w:w="62" w:type="dxa"/>
              <w:bottom w:w="0" w:type="dxa"/>
              <w:right w:w="62" w:type="dxa"/>
            </w:tcMar>
          </w:tcPr>
          <w:p w:rsidR="00000000" w:rsidP="00EB0339">
            <w:pPr>
              <w:pStyle w:val="BodyText"/>
              <w:rPr>
                <w:lang w:val="en-NZ"/>
              </w:rPr>
            </w:pPr>
            <w:r w:rsidRPr="00EB0339">
              <w:t>Rectifying faults in system.</w:t>
            </w:r>
          </w:p>
        </w:tc>
      </w:tr>
      <w:tr w:rsidTr="0005180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B0339">
            <w:pPr>
              <w:pStyle w:val="BodyText"/>
              <w:rPr>
                <w:lang w:val="en-NZ"/>
              </w:rPr>
            </w:pPr>
            <w:r w:rsidRPr="00EB0339">
              <w:t>E</w:t>
            </w:r>
          </w:p>
        </w:tc>
        <w:tc>
          <w:tcPr>
            <w:tcW w:w="5040" w:type="dxa"/>
            <w:tcBorders>
              <w:top w:val="nil"/>
              <w:left w:val="nil"/>
              <w:bottom w:val="nil"/>
              <w:right w:val="nil"/>
            </w:tcBorders>
            <w:tcMar>
              <w:top w:w="0" w:type="dxa"/>
              <w:left w:w="62" w:type="dxa"/>
              <w:bottom w:w="0" w:type="dxa"/>
              <w:right w:w="62" w:type="dxa"/>
            </w:tcMar>
          </w:tcPr>
          <w:p w:rsidR="00000000" w:rsidP="00EB0339">
            <w:pPr>
              <w:pStyle w:val="BodyText"/>
              <w:rPr>
                <w:lang w:val="en-NZ"/>
              </w:rPr>
            </w:pPr>
            <w:r w:rsidRPr="00EB0339">
              <w:t>Verifying that the system operates correctly.</w:t>
            </w:r>
          </w:p>
        </w:tc>
      </w:tr>
      <w:tr w:rsidTr="0005180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B0339">
            <w:pPr>
              <w:pStyle w:val="BodyText"/>
              <w:rPr>
                <w:lang w:val="en-NZ"/>
              </w:rPr>
            </w:pPr>
            <w:r w:rsidRPr="00EB0339">
              <w:t>F</w:t>
            </w:r>
          </w:p>
        </w:tc>
        <w:tc>
          <w:tcPr>
            <w:tcW w:w="5040" w:type="dxa"/>
            <w:tcBorders>
              <w:top w:val="nil"/>
              <w:left w:val="nil"/>
              <w:bottom w:val="nil"/>
              <w:right w:val="nil"/>
            </w:tcBorders>
            <w:tcMar>
              <w:top w:w="0" w:type="dxa"/>
              <w:left w:w="62" w:type="dxa"/>
              <w:bottom w:w="0" w:type="dxa"/>
              <w:right w:w="62" w:type="dxa"/>
            </w:tcMar>
          </w:tcPr>
          <w:p w:rsidR="00000000" w:rsidP="00EB0339">
            <w:pPr>
              <w:pStyle w:val="BodyText"/>
              <w:rPr>
                <w:lang w:val="en-NZ"/>
              </w:rPr>
            </w:pPr>
            <w:r w:rsidRPr="00EB0339">
              <w:t>Documenting fault rectification.</w:t>
            </w:r>
          </w:p>
        </w:tc>
      </w:tr>
      <w:tr w:rsidTr="0005180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B0339">
            <w:pPr>
              <w:pStyle w:val="BodyText"/>
              <w:rPr>
                <w:lang w:val="en-NZ"/>
              </w:rPr>
            </w:pPr>
            <w:r w:rsidRPr="00EB0339">
              <w:t>G</w:t>
            </w:r>
          </w:p>
        </w:tc>
        <w:tc>
          <w:tcPr>
            <w:tcW w:w="5040" w:type="dxa"/>
            <w:tcBorders>
              <w:top w:val="nil"/>
              <w:left w:val="nil"/>
              <w:bottom w:val="nil"/>
              <w:right w:val="nil"/>
            </w:tcBorders>
            <w:tcMar>
              <w:top w:w="0" w:type="dxa"/>
              <w:left w:w="62" w:type="dxa"/>
              <w:bottom w:w="0" w:type="dxa"/>
              <w:right w:w="62" w:type="dxa"/>
            </w:tcMar>
          </w:tcPr>
          <w:p w:rsidR="00000000" w:rsidP="00EB0339">
            <w:pPr>
              <w:pStyle w:val="BodyText"/>
              <w:rPr>
                <w:lang w:val="en-NZ"/>
              </w:rPr>
            </w:pPr>
            <w:r w:rsidRPr="00EB0339">
              <w:t xml:space="preserve">Dealing with unplanned events by drawing on essential knowledge and skills to provide appropriate solutions incorporated in the holistic assessment </w:t>
            </w:r>
            <w:r w:rsidRPr="00EB0339">
              <w:t>with the above listed items.</w:t>
            </w:r>
          </w:p>
        </w:tc>
      </w:tr>
      <w:tr w:rsidTr="0005180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EB0339">
            <w:pPr>
              <w:pStyle w:val="BodyText"/>
              <w:rPr>
                <w:lang w:val="en-NZ"/>
              </w:rPr>
            </w:pPr>
            <w:r w:rsidRPr="00EB0339">
              <w:t>Note:</w:t>
            </w:r>
            <w:r w:rsidRPr="00EB0339">
              <w:br/>
              <w:t>Successful completion of relevant vendor training may be used to contribute to evidence on which competency is deemed. In these cases the alignment of outcomes of vendor training with performance criteria and critical a</w:t>
            </w:r>
            <w:r w:rsidRPr="00EB0339">
              <w:t>spects of evidence shall be clearly identified.</w:t>
            </w:r>
          </w:p>
        </w:tc>
      </w:tr>
      <w:tr w:rsidTr="0005180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EB0339" w:rsidP="00EB0339">
            <w:pPr>
              <w:pStyle w:val="BodyText"/>
            </w:pPr>
            <w:r w:rsidRPr="00EB0339">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EB0339" w:rsidP="00EB0339">
            <w:pPr>
              <w:pStyle w:val="BodyText"/>
            </w:pPr>
            <w:r w:rsidRPr="00EB0339">
              <w:rPr>
                <w:rStyle w:val="SpecialBold"/>
              </w:rPr>
              <w:t>9</w:t>
            </w:r>
            <w:r w:rsidRPr="00EB0339">
              <w:t>.</w:t>
            </w:r>
            <w:r w:rsidRPr="00EB0339">
              <w:rPr>
                <w:rStyle w:val="SpecialBold"/>
              </w:rPr>
              <w:t>3</w:t>
            </w:r>
            <w:r w:rsidRPr="00EB0339">
              <w:t xml:space="preserve">) </w:t>
            </w:r>
          </w:p>
          <w:p w:rsidR="00000000" w:rsidRPr="00EB0339" w:rsidP="00EB0339">
            <w:pPr>
              <w:pStyle w:val="BodyText"/>
            </w:pPr>
            <w:r w:rsidRPr="00EB0339">
              <w:t>This unit should be assessed as it relates to normal work practice using procedures, information and resources typical of a workplace. This should include:</w:t>
            </w:r>
          </w:p>
          <w:p w:rsidR="00000000" w:rsidRPr="00EB0339" w:rsidP="00EB0339">
            <w:pPr>
              <w:pStyle w:val="ListBullet"/>
            </w:pPr>
            <w:r w:rsidRPr="00EB0339">
              <w:t>OHS policy and work procedures and instructions.</w:t>
            </w:r>
          </w:p>
          <w:p w:rsidR="00000000" w:rsidRPr="00EB0339" w:rsidP="00EB0339">
            <w:pPr>
              <w:pStyle w:val="ListBullet"/>
            </w:pPr>
            <w:r w:rsidRPr="00EB0339">
              <w:t>Suitable work environment, facilities, equipment an</w:t>
            </w:r>
            <w:r w:rsidRPr="00EB0339">
              <w:t>d materials to undertake actual work as prescribed by this unit.</w:t>
            </w:r>
          </w:p>
          <w:p w:rsidR="00000000" w:rsidRPr="00EB0339" w:rsidP="00EB0339">
            <w:pPr>
              <w:pStyle w:val="BodyText"/>
            </w:pPr>
            <w:r w:rsidRPr="00EB0339">
              <w:t>These should be part of the formal learning/assessment environment.</w:t>
            </w:r>
          </w:p>
          <w:p w:rsidR="00000000" w:rsidRPr="00EB0339" w:rsidP="00EB0339">
            <w:pPr>
              <w:pStyle w:val="BodyText"/>
            </w:pPr>
            <w:r w:rsidRPr="00EB0339">
              <w:t>Note:</w:t>
            </w:r>
          </w:p>
          <w:p w:rsidR="00000000" w:rsidP="00EB0339">
            <w:pPr>
              <w:pStyle w:val="BodyText"/>
              <w:rPr>
                <w:lang w:val="en-NZ"/>
              </w:rPr>
            </w:pPr>
            <w:r w:rsidRPr="00EB0339">
              <w:t>Where simulation is considered a suitable strategy for assessment, conditions must be authentic and as far as possibl</w:t>
            </w:r>
            <w:r w:rsidRPr="00EB0339">
              <w:t>e reproduce and replicate the workplace and be consistent with the approved industry simulation policy.</w:t>
            </w:r>
          </w:p>
        </w:tc>
      </w:tr>
      <w:tr w:rsidTr="0005180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EB0339">
            <w:pPr>
              <w:pStyle w:val="BodyText"/>
              <w:rPr>
                <w:lang w:val="en-NZ"/>
              </w:rPr>
            </w:pPr>
            <w:r w:rsidRPr="00EB0339">
              <w:t>The resources used for assessment should reflect current industry practices in relation to diagnosing and rectifying faults in electrical energy sup</w:t>
            </w:r>
            <w:r w:rsidRPr="00EB0339">
              <w:t>ply transmission systems.</w:t>
            </w:r>
          </w:p>
        </w:tc>
      </w:tr>
      <w:tr w:rsidTr="0005180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EB0339" w:rsidP="00EB0339">
            <w:pPr>
              <w:pStyle w:val="BodyText"/>
            </w:pPr>
            <w:r w:rsidRPr="00EB0339">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EB0339" w:rsidP="00EB0339">
            <w:pPr>
              <w:pStyle w:val="BodyText"/>
            </w:pPr>
            <w:r w:rsidRPr="00EB0339">
              <w:rPr>
                <w:rStyle w:val="SpecialBold"/>
              </w:rPr>
              <w:t>9</w:t>
            </w:r>
            <w:r w:rsidRPr="00EB0339">
              <w:t>.</w:t>
            </w:r>
            <w:r w:rsidRPr="00EB0339">
              <w:rPr>
                <w:rStyle w:val="SpecialBold"/>
              </w:rPr>
              <w:t>4</w:t>
            </w:r>
            <w:r w:rsidRPr="00EB0339">
              <w:t xml:space="preserve">) </w:t>
            </w:r>
          </w:p>
          <w:p w:rsidR="00000000" w:rsidRPr="00EB0339" w:rsidP="00EB0339">
            <w:pPr>
              <w:pStyle w:val="BodyText"/>
            </w:pPr>
            <w:r w:rsidRPr="00EB0339">
              <w:t>This unit shall be assessed by methods given in Volume 1, Part 3 'Assessment Guidelines'.</w:t>
            </w:r>
          </w:p>
          <w:p w:rsidR="00000000" w:rsidP="00EB0339">
            <w:pPr>
              <w:pStyle w:val="BodyText"/>
              <w:rPr>
                <w:lang w:val="en-NZ"/>
              </w:rPr>
            </w:pPr>
            <w:r w:rsidRPr="00EB0339">
              <w:t>Note:</w:t>
            </w:r>
            <w:r w:rsidRPr="00EB0339">
              <w:br/>
              <w:t>Competent performance with inherent safe working practices is expected in the industry to which this uni</w:t>
            </w:r>
            <w:r w:rsidRPr="00EB0339">
              <w:t>t applies. This requires assessment in a structured environment which is primarily intended for learning/assessment and incorporates all necessary equipment and facilities for learners to develop and demonstrate the essential knowledge and skills described</w:t>
            </w:r>
            <w:r w:rsidRPr="00EB0339">
              <w:t xml:space="preserve"> in this unit.</w:t>
            </w:r>
          </w:p>
        </w:tc>
      </w:tr>
      <w:tr w:rsidTr="00051809">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EB0339" w:rsidP="00EB0339">
            <w:pPr>
              <w:pStyle w:val="BodyText"/>
            </w:pPr>
            <w:r w:rsidRPr="00EB0339">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EB0339">
            <w:pPr>
              <w:pStyle w:val="BodyText"/>
              <w:rPr>
                <w:lang w:val="en-NZ"/>
              </w:rPr>
            </w:pPr>
            <w:r w:rsidRPr="00EB0339">
              <w:rPr>
                <w:rStyle w:val="SpecialBold"/>
              </w:rPr>
              <w:t>9</w:t>
            </w:r>
            <w:r w:rsidRPr="00EB0339">
              <w:t>.</w:t>
            </w:r>
            <w:r w:rsidRPr="00EB0339">
              <w:rPr>
                <w:rStyle w:val="SpecialBold"/>
              </w:rPr>
              <w:t>5</w:t>
            </w:r>
            <w:r w:rsidRPr="00EB0339">
              <w:t>)</w:t>
            </w:r>
          </w:p>
        </w:tc>
      </w:tr>
      <w:tr w:rsidTr="00051809">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EB0339">
            <w:pPr>
              <w:pStyle w:val="BodyText"/>
              <w:rPr>
                <w:lang w:val="en-NZ"/>
              </w:rPr>
            </w:pPr>
            <w:r w:rsidRPr="00EB0339">
              <w:t>There are no concurrent assessment recommendations for this unit.</w:t>
            </w:r>
          </w:p>
        </w:tc>
      </w:tr>
      <w:tr w:rsidTr="0005180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EB0339" w:rsidP="00EB0339">
            <w:pPr>
              <w:pStyle w:val="BodyText"/>
            </w:pPr>
            <w:r w:rsidRPr="00EB0339">
              <w:t>The critical aspects of occupational health and safety covered in unit UEENEEE001B and other discipli</w:t>
            </w:r>
            <w:r w:rsidRPr="00EB0339">
              <w:t>ne specific occupational health and safety units shall be incorporated in relation to this unit.</w:t>
            </w:r>
          </w:p>
        </w:tc>
      </w:tr>
    </w:tbl>
    <w:p w:rsidR="00051809" w:rsidP="00EB0339">
      <w:pPr>
        <w:pStyle w:val="BodyText"/>
      </w:pPr>
    </w:p>
    <w:p w:rsidR="00051809" w:rsidP="00EB0339">
      <w:pPr>
        <w:pStyle w:val="BodyText"/>
      </w:pPr>
    </w:p>
    <w:p w:rsidR="00000000" w:rsidRPr="00EB0339" w:rsidP="00EB0339">
      <w:pPr>
        <w:pStyle w:val="Heading1"/>
      </w:pPr>
      <w:bookmarkStart w:id="11" w:name="O_255321"/>
      <w:bookmarkEnd w:id="11"/>
      <w:r w:rsidRPr="00EB0339">
        <w:t>Range Statement</w:t>
      </w:r>
    </w:p>
    <w:tbl>
      <w:tblPr>
        <w:tblW w:w="0" w:type="auto"/>
        <w:tblLayout w:type="fixed"/>
        <w:tblCellMar>
          <w:left w:w="62" w:type="dxa"/>
          <w:right w:w="62" w:type="dxa"/>
        </w:tblCellMar>
        <w:tblLook w:val="0000"/>
      </w:tblPr>
      <w:tblGrid>
        <w:gridCol w:w="8460"/>
      </w:tblGrid>
      <w:tr w:rsidTr="0005180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B0339">
            <w:pPr>
              <w:pStyle w:val="BodyText"/>
              <w:rPr>
                <w:lang w:val="en-NZ"/>
              </w:rPr>
            </w:pPr>
            <w:r w:rsidRPr="00EB0339">
              <w:rPr>
                <w:rStyle w:val="SpecialBold"/>
              </w:rPr>
              <w:t>RANGE STATEMENT</w:t>
            </w:r>
          </w:p>
        </w:tc>
      </w:tr>
      <w:tr w:rsidTr="0005180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EB0339">
            <w:pPr>
              <w:pStyle w:val="BodyText"/>
              <w:rPr>
                <w:lang w:val="en-NZ"/>
              </w:rPr>
            </w:pPr>
            <w:r w:rsidRPr="00EB0339">
              <w:rPr>
                <w:rStyle w:val="SpecialBold"/>
              </w:rPr>
              <w:t>8</w:t>
            </w:r>
            <w:r w:rsidRPr="00EB0339">
              <w:t xml:space="preserve">) This relates to the unit as a whole providing the range of contexts and conditions to which the </w:t>
            </w:r>
            <w:r w:rsidRPr="00EB0339">
              <w:t>performance criteria apply. It allows for different work environments and situations that will affect performance.</w:t>
            </w:r>
          </w:p>
        </w:tc>
      </w:tr>
      <w:tr w:rsidTr="0005180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EB0339">
            <w:pPr>
              <w:pStyle w:val="BodyText"/>
              <w:rPr>
                <w:lang w:val="en-NZ"/>
              </w:rPr>
            </w:pPr>
            <w:r w:rsidRPr="00EB0339">
              <w:t>This unit shall be demonstrated in relation to diagnosing and rectifying at least four faults in a servo/stepper drive control system.</w:t>
            </w:r>
          </w:p>
        </w:tc>
      </w:tr>
      <w:tr w:rsidTr="0005180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B0339" w:rsidP="00EB0339">
            <w:pPr>
              <w:pStyle w:val="BodyText"/>
            </w:pPr>
            <w:r w:rsidRPr="00EB0339">
              <w:t>Gene</w:t>
            </w:r>
            <w:r w:rsidRPr="00EB0339">
              <w:t>ric terms used throughout  this Vocational Standard shall be regarded as part of the Range Statement in which competency is demonstrated. The definition of these and other terms that apply are given in Volume 2, Part 2.1.</w:t>
            </w:r>
          </w:p>
        </w:tc>
      </w:tr>
    </w:tbl>
    <w:p w:rsidR="00051809" w:rsidP="00EB0339">
      <w:pPr>
        <w:pStyle w:val="BodyText"/>
      </w:pPr>
    </w:p>
    <w:p w:rsidR="00051809" w:rsidP="00EB0339">
      <w:pPr>
        <w:pStyle w:val="BodyText"/>
      </w:pPr>
    </w:p>
    <w:p w:rsidR="00000000" w:rsidRPr="00EB0339" w:rsidP="00EB0339">
      <w:pPr>
        <w:pStyle w:val="Heading1"/>
      </w:pPr>
      <w:bookmarkStart w:id="12" w:name="O_296334"/>
      <w:bookmarkEnd w:id="12"/>
      <w:r w:rsidRPr="00EB0339">
        <w:t>Unit Sector(s)</w:t>
      </w:r>
    </w:p>
    <w:p w:rsidR="00000000" w:rsidRPr="00EB0339" w:rsidP="00EB0339">
      <w:pPr>
        <w:pStyle w:val="BodyText"/>
      </w:pPr>
      <w:r w:rsidRPr="00EB0339">
        <w:t>Not Applicable</w:t>
      </w:r>
    </w:p>
    <w:p w:rsidR="00000000" w:rsidRPr="00EB0339" w:rsidP="00EB0339">
      <w:pPr>
        <w:pStyle w:val="AllowPageBreak"/>
      </w:pPr>
    </w:p>
    <w:p w:rsidR="00000000" w:rsidRPr="00EB0339" w:rsidP="00EB0339">
      <w:pPr>
        <w:pStyle w:val="Heading1"/>
      </w:pPr>
      <w:bookmarkStart w:id="13" w:name="O_226249"/>
      <w:bookmarkEnd w:id="13"/>
      <w:r w:rsidRPr="00EB0339">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051809">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EB0339" w:rsidP="00EB0339">
            <w:pPr>
              <w:pStyle w:val="BodyText"/>
            </w:pPr>
            <w:r w:rsidRPr="00EB0339">
              <w:rPr>
                <w:rStyle w:val="SpecialBold"/>
              </w:rPr>
              <w:t>2</w:t>
            </w:r>
            <w:r w:rsidRPr="00EB0339">
              <w:t>.</w:t>
            </w:r>
            <w:r w:rsidRPr="00EB0339">
              <w:rPr>
                <w:rStyle w:val="SpecialBold"/>
              </w:rPr>
              <w:t>2</w:t>
            </w:r>
            <w:r w:rsidRPr="00EB0339">
              <w:t xml:space="preserve">) </w:t>
            </w:r>
            <w:r w:rsidRPr="00EB0339">
              <w:rPr>
                <w:rStyle w:val="SpecialBold"/>
              </w:rPr>
              <w:t>Literacy and numeracy skills</w:t>
            </w:r>
          </w:p>
          <w:p w:rsidR="00000000" w:rsidP="00EB0339">
            <w:pPr>
              <w:pStyle w:val="BodyText"/>
              <w:rPr>
                <w:lang w:val="en-NZ"/>
              </w:rPr>
            </w:pPr>
            <w:r w:rsidRPr="00EB0339">
              <w:t>Participants are best equipped to achieve competency in this unit if they have reading, writing and numeracy skills indicated by the following scales. Description of each s</w:t>
            </w:r>
            <w:r w:rsidRPr="00EB0339">
              <w:t>cale is given in Volume 2, Part 3 'Literacy and Numeracy'</w:t>
            </w:r>
          </w:p>
        </w:tc>
      </w:tr>
      <w:tr w:rsidTr="00051809">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EB0339">
            <w:pPr>
              <w:pStyle w:val="BodyText"/>
              <w:rPr>
                <w:lang w:val="en-NZ"/>
              </w:rPr>
            </w:pPr>
            <w:r w:rsidRPr="00EB0339">
              <w:t>Reading</w:t>
            </w:r>
          </w:p>
        </w:tc>
        <w:tc>
          <w:tcPr>
            <w:tcW w:w="1182" w:type="dxa"/>
            <w:tcBorders>
              <w:top w:val="nil"/>
              <w:left w:val="nil"/>
              <w:bottom w:val="nil"/>
              <w:right w:val="nil"/>
            </w:tcBorders>
            <w:tcMar>
              <w:top w:w="0" w:type="dxa"/>
              <w:left w:w="62" w:type="dxa"/>
              <w:bottom w:w="0" w:type="dxa"/>
              <w:right w:w="62" w:type="dxa"/>
            </w:tcMar>
          </w:tcPr>
          <w:p w:rsidR="00000000" w:rsidP="00EB0339">
            <w:pPr>
              <w:pStyle w:val="BodyText"/>
              <w:rPr>
                <w:lang w:val="en-NZ"/>
              </w:rPr>
            </w:pPr>
            <w:r w:rsidRPr="00EB0339">
              <w:t>5</w:t>
            </w:r>
          </w:p>
        </w:tc>
        <w:tc>
          <w:tcPr>
            <w:tcW w:w="1739" w:type="dxa"/>
            <w:tcBorders>
              <w:top w:val="nil"/>
              <w:left w:val="nil"/>
              <w:bottom w:val="nil"/>
              <w:right w:val="nil"/>
            </w:tcBorders>
            <w:tcMar>
              <w:top w:w="0" w:type="dxa"/>
              <w:left w:w="62" w:type="dxa"/>
              <w:bottom w:w="0" w:type="dxa"/>
              <w:right w:w="62" w:type="dxa"/>
            </w:tcMar>
          </w:tcPr>
          <w:p w:rsidR="00000000" w:rsidP="00EB0339">
            <w:pPr>
              <w:pStyle w:val="BodyText"/>
              <w:rPr>
                <w:lang w:val="en-NZ"/>
              </w:rPr>
            </w:pPr>
            <w:r w:rsidRPr="00EB0339">
              <w:t>Writing</w:t>
            </w:r>
          </w:p>
        </w:tc>
        <w:tc>
          <w:tcPr>
            <w:tcW w:w="1182" w:type="dxa"/>
            <w:tcBorders>
              <w:top w:val="nil"/>
              <w:left w:val="nil"/>
              <w:bottom w:val="nil"/>
              <w:right w:val="nil"/>
            </w:tcBorders>
            <w:tcMar>
              <w:top w:w="0" w:type="dxa"/>
              <w:left w:w="62" w:type="dxa"/>
              <w:bottom w:w="0" w:type="dxa"/>
              <w:right w:w="62" w:type="dxa"/>
            </w:tcMar>
          </w:tcPr>
          <w:p w:rsidR="00000000" w:rsidP="00EB0339">
            <w:pPr>
              <w:pStyle w:val="BodyText"/>
              <w:rPr>
                <w:lang w:val="en-NZ"/>
              </w:rPr>
            </w:pPr>
            <w:r w:rsidRPr="00EB0339">
              <w:t>5</w:t>
            </w:r>
          </w:p>
        </w:tc>
        <w:tc>
          <w:tcPr>
            <w:tcW w:w="1721" w:type="dxa"/>
            <w:tcBorders>
              <w:top w:val="nil"/>
              <w:left w:val="nil"/>
              <w:bottom w:val="nil"/>
              <w:right w:val="nil"/>
            </w:tcBorders>
            <w:tcMar>
              <w:top w:w="0" w:type="dxa"/>
              <w:left w:w="62" w:type="dxa"/>
              <w:bottom w:w="0" w:type="dxa"/>
              <w:right w:w="62" w:type="dxa"/>
            </w:tcMar>
          </w:tcPr>
          <w:p w:rsidR="00000000" w:rsidP="00EB0339">
            <w:pPr>
              <w:pStyle w:val="BodyText"/>
              <w:rPr>
                <w:lang w:val="en-NZ"/>
              </w:rPr>
            </w:pPr>
            <w:r w:rsidRPr="00EB0339">
              <w:t>Numeracy</w:t>
            </w:r>
          </w:p>
        </w:tc>
        <w:tc>
          <w:tcPr>
            <w:tcW w:w="1182" w:type="dxa"/>
            <w:tcBorders>
              <w:top w:val="nil"/>
              <w:left w:val="nil"/>
              <w:bottom w:val="nil"/>
              <w:right w:val="nil"/>
            </w:tcBorders>
            <w:tcMar>
              <w:top w:w="0" w:type="dxa"/>
              <w:left w:w="62" w:type="dxa"/>
              <w:bottom w:w="0" w:type="dxa"/>
              <w:right w:w="62" w:type="dxa"/>
            </w:tcMar>
          </w:tcPr>
          <w:p w:rsidR="00000000" w:rsidRPr="00EB0339" w:rsidP="00EB0339">
            <w:pPr>
              <w:pStyle w:val="BodyText"/>
            </w:pPr>
            <w:r w:rsidRPr="00EB0339">
              <w:t>5</w:t>
            </w:r>
          </w:p>
        </w:tc>
      </w:tr>
    </w:tbl>
    <w:p w:rsidR="00051809" w:rsidP="00EB0339">
      <w:pPr>
        <w:pStyle w:val="BodyText"/>
      </w:pPr>
    </w:p>
    <w:p w:rsidR="00051809" w:rsidP="00EB0339">
      <w:pPr>
        <w:pStyle w:val="BodyText"/>
      </w:pPr>
    </w:p>
    <w:p w:rsidR="00000000" w:rsidRPr="00EB0339" w:rsidP="00EB0339">
      <w:pPr>
        <w:pStyle w:val="Heading1"/>
      </w:pPr>
      <w:bookmarkStart w:id="14" w:name="O_226252"/>
      <w:bookmarkEnd w:id="14"/>
      <w:r w:rsidRPr="00EB0339">
        <w:t>Custom Content Section</w:t>
      </w:r>
    </w:p>
    <w:tbl>
      <w:tblPr>
        <w:tblW w:w="0" w:type="auto"/>
        <w:tblLayout w:type="fixed"/>
        <w:tblCellMar>
          <w:left w:w="62" w:type="dxa"/>
          <w:right w:w="62" w:type="dxa"/>
        </w:tblCellMar>
        <w:tblLook w:val="0000"/>
      </w:tblPr>
      <w:tblGrid>
        <w:gridCol w:w="2700"/>
        <w:gridCol w:w="5760"/>
      </w:tblGrid>
      <w:tr w:rsidTr="0005180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B0339" w:rsidP="00EB0339">
            <w:pPr>
              <w:pStyle w:val="BodyText"/>
            </w:pPr>
            <w:r w:rsidRPr="00EB0339">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EB0339">
            <w:pPr>
              <w:pStyle w:val="BodyText"/>
              <w:rPr>
                <w:lang w:val="en-NZ"/>
              </w:rPr>
            </w:pPr>
            <w:r w:rsidRPr="00EB0339">
              <w:rPr>
                <w:rStyle w:val="SpecialBold"/>
              </w:rPr>
              <w:t>5</w:t>
            </w:r>
            <w:r w:rsidRPr="00EB0339">
              <w:t>)</w:t>
            </w:r>
          </w:p>
        </w:tc>
      </w:tr>
      <w:tr w:rsidTr="000518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B0339" w:rsidP="00EB0339">
            <w:pPr>
              <w:pStyle w:val="BodyText"/>
            </w:pPr>
            <w:r w:rsidRPr="00EB0339">
              <w:t>Electrical</w:t>
            </w:r>
          </w:p>
        </w:tc>
      </w:tr>
    </w:tbl>
    <w:p w:rsidR="00051809" w:rsidP="00EB0339">
      <w:pPr>
        <w:pStyle w:val="BodyText"/>
      </w:pPr>
    </w:p>
    <w:p w:rsidR="00051809" w:rsidP="00EB0339">
      <w:pPr>
        <w:pStyle w:val="BodyText"/>
      </w:pPr>
    </w:p>
    <w:p w:rsidR="00000000" w:rsidRPr="00EB0339" w:rsidP="00EB0339"/>
    <w:sectPr w:rsidSect="00EB033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3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51809" w:rsidP="0005180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3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809" w:rsidP="00EB033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051809" w:rsidP="00EB033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051809" w:rsidP="00EB033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3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339" w:rsidRPr="00051809" w:rsidP="0005180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3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809" w:rsidRPr="002D2AF8" w:rsidP="00EB0339">
    <w:pPr>
      <w:pStyle w:val="Header"/>
      <w:framePr w:wrap="around"/>
    </w:pPr>
    <w:r>
      <w:fldChar w:fldCharType="begin"/>
    </w:r>
    <w:r>
      <w:instrText xml:space="preserve"> TITLE   \* MERGEFORMAT </w:instrText>
    </w:r>
    <w:r>
      <w:fldChar w:fldCharType="separate"/>
    </w:r>
    <w:r>
      <w:t>UEENEEG042B Diagnose and rectify faults in electrical energy supply transmission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051809" w:rsidP="00EB033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DEEA4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2DE13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95422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033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0339"/>
    <w:pPr>
      <w:spacing w:before="360" w:after="60"/>
      <w:outlineLvl w:val="0"/>
    </w:pPr>
    <w:rPr>
      <w:sz w:val="32"/>
    </w:rPr>
  </w:style>
  <w:style w:type="paragraph" w:styleId="Heading2">
    <w:name w:val="heading 2"/>
    <w:basedOn w:val="HeadingBase"/>
    <w:next w:val="BodyText"/>
    <w:link w:val="Heading2Char"/>
    <w:qFormat/>
    <w:rsid w:val="00EB0339"/>
    <w:pPr>
      <w:keepLines/>
      <w:spacing w:before="240" w:after="120"/>
      <w:outlineLvl w:val="1"/>
    </w:pPr>
    <w:rPr>
      <w:sz w:val="28"/>
      <w:szCs w:val="40"/>
    </w:rPr>
  </w:style>
  <w:style w:type="paragraph" w:styleId="Heading3">
    <w:name w:val="heading 3"/>
    <w:basedOn w:val="HeadingBase"/>
    <w:next w:val="BodyText"/>
    <w:link w:val="Heading3Char"/>
    <w:qFormat/>
    <w:rsid w:val="00EB0339"/>
    <w:pPr>
      <w:spacing w:before="180" w:after="120"/>
      <w:outlineLvl w:val="2"/>
    </w:pPr>
    <w:rPr>
      <w:spacing w:val="-10"/>
      <w:kern w:val="32"/>
    </w:rPr>
  </w:style>
  <w:style w:type="paragraph" w:styleId="Heading4">
    <w:name w:val="heading 4"/>
    <w:basedOn w:val="HeadingBase"/>
    <w:next w:val="BodyText"/>
    <w:link w:val="Heading4Char"/>
    <w:qFormat/>
    <w:rsid w:val="00EB0339"/>
    <w:pPr>
      <w:spacing w:before="160" w:after="120"/>
      <w:outlineLvl w:val="3"/>
    </w:pPr>
    <w:rPr>
      <w:sz w:val="22"/>
    </w:rPr>
  </w:style>
  <w:style w:type="paragraph" w:styleId="Heading5">
    <w:name w:val="heading 5"/>
    <w:basedOn w:val="HeadingBase"/>
    <w:next w:val="Normal"/>
    <w:link w:val="Heading5Char"/>
    <w:qFormat/>
    <w:rsid w:val="00EB0339"/>
    <w:pPr>
      <w:spacing w:before="80"/>
      <w:outlineLvl w:val="4"/>
    </w:pPr>
    <w:rPr>
      <w:color w:val="918585"/>
      <w:sz w:val="20"/>
    </w:rPr>
  </w:style>
  <w:style w:type="paragraph" w:styleId="Heading6">
    <w:name w:val="heading 6"/>
    <w:basedOn w:val="HeadingBase"/>
    <w:next w:val="Normal"/>
    <w:link w:val="Heading6Char"/>
    <w:qFormat/>
    <w:rsid w:val="00EB0339"/>
    <w:pPr>
      <w:spacing w:before="60"/>
      <w:outlineLvl w:val="5"/>
    </w:pPr>
    <w:rPr>
      <w:color w:val="918585"/>
      <w:sz w:val="20"/>
    </w:rPr>
  </w:style>
  <w:style w:type="paragraph" w:styleId="Heading7">
    <w:name w:val="heading 7"/>
    <w:basedOn w:val="Normal"/>
    <w:next w:val="Normal"/>
    <w:link w:val="Heading7Char"/>
    <w:qFormat/>
    <w:rsid w:val="00EB0339"/>
    <w:pPr>
      <w:ind w:left="720"/>
      <w:outlineLvl w:val="6"/>
    </w:pPr>
    <w:rPr>
      <w:i/>
    </w:rPr>
  </w:style>
  <w:style w:type="paragraph" w:styleId="Heading8">
    <w:name w:val="heading 8"/>
    <w:basedOn w:val="Normal"/>
    <w:next w:val="Normal"/>
    <w:link w:val="Heading8Char"/>
    <w:qFormat/>
    <w:rsid w:val="00EB0339"/>
    <w:pPr>
      <w:ind w:left="720"/>
      <w:outlineLvl w:val="7"/>
    </w:pPr>
    <w:rPr>
      <w:i/>
    </w:rPr>
  </w:style>
  <w:style w:type="paragraph" w:styleId="Heading9">
    <w:name w:val="heading 9"/>
    <w:basedOn w:val="Normal"/>
    <w:next w:val="Normal"/>
    <w:link w:val="Heading9Char"/>
    <w:qFormat/>
    <w:rsid w:val="00EB0339"/>
    <w:pPr>
      <w:ind w:left="720"/>
      <w:outlineLvl w:val="8"/>
    </w:pPr>
    <w:rPr>
      <w:i/>
    </w:rPr>
  </w:style>
  <w:style w:type="character" w:default="1" w:styleId="DefaultParagraphFont">
    <w:name w:val="Default Paragraph Font"/>
    <w:uiPriority w:val="1"/>
    <w:unhideWhenUsed/>
    <w:rsid w:val="00EB03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0339"/>
  </w:style>
  <w:style w:type="character" w:customStyle="1" w:styleId="Heading1Char">
    <w:name w:val="Heading 1 Char"/>
    <w:basedOn w:val="DefaultParagraphFont"/>
    <w:link w:val="Heading1"/>
    <w:rsid w:val="00EB0339"/>
    <w:rPr>
      <w:rFonts w:ascii="Times New Roman" w:eastAsia="Times New Roman" w:hAnsi="Times New Roman" w:cs="Times New Roman"/>
      <w:b/>
      <w:sz w:val="32"/>
      <w:szCs w:val="20"/>
      <w:lang w:eastAsia="en-US"/>
    </w:rPr>
  </w:style>
  <w:style w:type="paragraph" w:styleId="BodyText">
    <w:name w:val="Body Text"/>
    <w:basedOn w:val="Normal"/>
    <w:link w:val="BodyTextChar"/>
    <w:rsid w:val="00EB033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B0339"/>
    <w:rPr>
      <w:rFonts w:ascii="Times New Roman" w:eastAsia="Times New Roman" w:hAnsi="Times New Roman" w:cs="Times New Roman"/>
      <w:sz w:val="24"/>
      <w:lang w:eastAsia="en-US"/>
    </w:rPr>
  </w:style>
  <w:style w:type="paragraph" w:styleId="Footer">
    <w:name w:val="footer"/>
    <w:basedOn w:val="Normal"/>
    <w:link w:val="FooterChar"/>
    <w:rsid w:val="00EB03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0339"/>
    <w:rPr>
      <w:rFonts w:ascii="Times New Roman" w:eastAsia="Times New Roman" w:hAnsi="Times New Roman" w:cs="Times New Roman"/>
      <w:sz w:val="16"/>
      <w:lang w:eastAsia="en-US"/>
    </w:rPr>
  </w:style>
  <w:style w:type="paragraph" w:styleId="ListBullet">
    <w:name w:val="List Bullet"/>
    <w:basedOn w:val="List"/>
    <w:rsid w:val="00EB0339"/>
    <w:pPr>
      <w:numPr>
        <w:numId w:val="13"/>
      </w:numPr>
      <w:tabs>
        <w:tab w:val="clear" w:pos="340"/>
      </w:tabs>
      <w:spacing w:before="40" w:after="40"/>
    </w:pPr>
  </w:style>
  <w:style w:type="character" w:customStyle="1" w:styleId="SpecialBold">
    <w:name w:val="Special Bold"/>
    <w:basedOn w:val="DefaultParagraphFont"/>
    <w:rsid w:val="00EB0339"/>
    <w:rPr>
      <w:b/>
      <w:spacing w:val="0"/>
    </w:rPr>
  </w:style>
  <w:style w:type="paragraph" w:styleId="ListBullet2">
    <w:name w:val="List Bullet 2"/>
    <w:basedOn w:val="List2"/>
    <w:rsid w:val="00EB0339"/>
    <w:pPr>
      <w:numPr>
        <w:numId w:val="14"/>
      </w:numPr>
      <w:tabs>
        <w:tab w:val="clear" w:pos="680"/>
      </w:tabs>
    </w:pPr>
  </w:style>
  <w:style w:type="paragraph" w:customStyle="1" w:styleId="SuperHeading">
    <w:name w:val="SuperHeading"/>
    <w:basedOn w:val="Normal"/>
    <w:rsid w:val="00EB0339"/>
    <w:pPr>
      <w:spacing w:before="240" w:after="120"/>
      <w:outlineLvl w:val="0"/>
    </w:pPr>
    <w:rPr>
      <w:rFonts w:ascii="Times New Roman" w:hAnsi="Times New Roman"/>
      <w:b/>
      <w:sz w:val="28"/>
    </w:rPr>
  </w:style>
  <w:style w:type="paragraph" w:customStyle="1" w:styleId="AllowPageBreak">
    <w:name w:val="AllowPageBreak"/>
    <w:rsid w:val="00EB033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B03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03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03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03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03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033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033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0339"/>
    <w:rPr>
      <w:rFonts w:ascii="Courier New" w:eastAsia="Times New Roman" w:hAnsi="Courier New" w:cs="Times New Roman"/>
      <w:i/>
      <w:szCs w:val="20"/>
      <w:lang w:eastAsia="en-US"/>
    </w:rPr>
  </w:style>
  <w:style w:type="paragraph" w:customStyle="1" w:styleId="HeadingBase">
    <w:name w:val="Heading Base"/>
    <w:rsid w:val="00EB03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0339"/>
    <w:pPr>
      <w:tabs>
        <w:tab w:val="right" w:leader="dot" w:pos="9072"/>
      </w:tabs>
      <w:ind w:left="567"/>
    </w:pPr>
    <w:rPr>
      <w:szCs w:val="22"/>
    </w:rPr>
  </w:style>
  <w:style w:type="paragraph" w:customStyle="1" w:styleId="TOCBase">
    <w:name w:val="TOC Base"/>
    <w:rsid w:val="00EB03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0339"/>
    <w:pPr>
      <w:tabs>
        <w:tab w:val="right" w:leader="dot" w:pos="9072"/>
      </w:tabs>
      <w:spacing w:before="40" w:after="40"/>
      <w:ind w:left="284"/>
    </w:pPr>
    <w:rPr>
      <w:rFonts w:ascii="Times New Roman" w:hAnsi="Times New Roman"/>
    </w:rPr>
  </w:style>
  <w:style w:type="paragraph" w:styleId="TOC1">
    <w:name w:val="toc 1"/>
    <w:basedOn w:val="TOCBase"/>
    <w:next w:val="Normal"/>
    <w:rsid w:val="00EB033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B0339"/>
    <w:pPr>
      <w:spacing w:before="5040"/>
      <w:jc w:val="center"/>
    </w:pPr>
    <w:rPr>
      <w:sz w:val="48"/>
      <w:szCs w:val="72"/>
      <w:lang w:val="en-US"/>
    </w:rPr>
  </w:style>
  <w:style w:type="character" w:customStyle="1" w:styleId="TitleChar">
    <w:name w:val="Title Char"/>
    <w:basedOn w:val="DefaultParagraphFont"/>
    <w:link w:val="Title"/>
    <w:rsid w:val="00EB03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0339"/>
    <w:pPr>
      <w:tabs>
        <w:tab w:val="left" w:pos="3600"/>
        <w:tab w:val="left" w:pos="3958"/>
      </w:tabs>
    </w:pPr>
  </w:style>
  <w:style w:type="paragraph" w:styleId="List">
    <w:name w:val="List"/>
    <w:basedOn w:val="BodyText"/>
    <w:next w:val="BodyText"/>
    <w:rsid w:val="00EB0339"/>
    <w:pPr>
      <w:tabs>
        <w:tab w:val="left" w:pos="340"/>
      </w:tabs>
      <w:spacing w:before="60" w:after="60"/>
      <w:ind w:left="340" w:hanging="340"/>
    </w:pPr>
  </w:style>
  <w:style w:type="paragraph" w:customStyle="1" w:styleId="Note">
    <w:name w:val="Note"/>
    <w:basedOn w:val="BodyText"/>
    <w:rsid w:val="00EB03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0339"/>
    <w:pPr>
      <w:framePr w:wrap="auto" w:hAnchor="text" w:y="6049"/>
    </w:pPr>
    <w:rPr>
      <w:color w:val="000000"/>
      <w:sz w:val="40"/>
    </w:rPr>
  </w:style>
  <w:style w:type="paragraph" w:customStyle="1" w:styleId="TOCTitle">
    <w:name w:val="TOCTitle"/>
    <w:basedOn w:val="Heading1"/>
    <w:rsid w:val="00EB0339"/>
    <w:pPr>
      <w:spacing w:after="240"/>
      <w:jc w:val="center"/>
      <w:outlineLvl w:val="9"/>
    </w:pPr>
    <w:rPr>
      <w:caps/>
    </w:rPr>
  </w:style>
  <w:style w:type="paragraph" w:customStyle="1" w:styleId="Version">
    <w:name w:val="Version"/>
    <w:rsid w:val="00EB033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B0339"/>
    <w:pPr>
      <w:keepNext w:val="0"/>
      <w:tabs>
        <w:tab w:val="right" w:pos="4176"/>
      </w:tabs>
      <w:ind w:left="198" w:hanging="198"/>
    </w:pPr>
    <w:rPr>
      <w:rFonts w:ascii="Garamond" w:hAnsi="Garamond"/>
    </w:rPr>
  </w:style>
  <w:style w:type="paragraph" w:styleId="IndexHeading">
    <w:name w:val="index heading"/>
    <w:basedOn w:val="Normal"/>
    <w:next w:val="Index1"/>
    <w:semiHidden/>
    <w:rsid w:val="00EB0339"/>
    <w:pPr>
      <w:spacing w:before="120" w:after="120"/>
    </w:pPr>
    <w:rPr>
      <w:rFonts w:ascii="Arial" w:hAnsi="Arial"/>
      <w:b/>
      <w:color w:val="918585"/>
      <w:sz w:val="24"/>
    </w:rPr>
  </w:style>
  <w:style w:type="paragraph" w:styleId="Header">
    <w:name w:val="header"/>
    <w:basedOn w:val="Normal"/>
    <w:link w:val="HeaderChar"/>
    <w:rsid w:val="00EB03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0339"/>
    <w:rPr>
      <w:rFonts w:ascii="Times New Roman" w:eastAsia="Times New Roman" w:hAnsi="Times New Roman" w:cs="Times New Roman"/>
      <w:sz w:val="16"/>
      <w:szCs w:val="20"/>
      <w:lang w:val="en-GB" w:eastAsia="en-US"/>
    </w:rPr>
  </w:style>
  <w:style w:type="paragraph" w:customStyle="1" w:styleId="Chapter">
    <w:name w:val="Chapter"/>
    <w:basedOn w:val="Normal"/>
    <w:rsid w:val="00EB0339"/>
    <w:pPr>
      <w:spacing w:before="240"/>
    </w:pPr>
    <w:rPr>
      <w:rFonts w:ascii="Times New Roman" w:hAnsi="Times New Roman"/>
      <w:smallCaps/>
      <w:spacing w:val="80"/>
      <w:sz w:val="28"/>
    </w:rPr>
  </w:style>
  <w:style w:type="paragraph" w:customStyle="1" w:styleId="InChapter">
    <w:name w:val="InChapter"/>
    <w:basedOn w:val="Heading3"/>
    <w:rsid w:val="00EB0339"/>
    <w:pPr>
      <w:spacing w:after="240"/>
      <w:outlineLvl w:val="9"/>
    </w:pPr>
    <w:rPr>
      <w:noProof/>
    </w:rPr>
  </w:style>
  <w:style w:type="paragraph" w:styleId="Index2">
    <w:name w:val="index 2"/>
    <w:basedOn w:val="Normal"/>
    <w:next w:val="Normal"/>
    <w:semiHidden/>
    <w:rsid w:val="00EB0339"/>
    <w:pPr>
      <w:tabs>
        <w:tab w:val="right" w:pos="4176"/>
      </w:tabs>
      <w:ind w:left="568" w:hanging="284"/>
    </w:pPr>
    <w:rPr>
      <w:rFonts w:ascii="Garamond" w:hAnsi="Garamond"/>
    </w:rPr>
  </w:style>
  <w:style w:type="paragraph" w:customStyle="1" w:styleId="Byline">
    <w:name w:val="Byline"/>
    <w:rsid w:val="00EB03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0339"/>
    <w:pPr>
      <w:tabs>
        <w:tab w:val="clear" w:pos="3600"/>
        <w:tab w:val="clear" w:pos="3958"/>
      </w:tabs>
      <w:jc w:val="right"/>
    </w:pPr>
  </w:style>
  <w:style w:type="character" w:styleId="Emphasis">
    <w:name w:val="Emphasis"/>
    <w:basedOn w:val="DefaultParagraphFont"/>
    <w:qFormat/>
    <w:rsid w:val="00EB0339"/>
    <w:rPr>
      <w:i/>
    </w:rPr>
  </w:style>
  <w:style w:type="paragraph" w:styleId="Caption">
    <w:name w:val="caption"/>
    <w:basedOn w:val="BodyText"/>
    <w:next w:val="Normal"/>
    <w:qFormat/>
    <w:rsid w:val="00EB0339"/>
    <w:pPr>
      <w:framePr w:w="2268" w:hSpace="181" w:vSpace="181" w:wrap="around" w:vAnchor="text" w:hAnchor="page" w:x="1135" w:y="285" w:anchorLock="1"/>
    </w:pPr>
    <w:rPr>
      <w:i/>
    </w:rPr>
  </w:style>
  <w:style w:type="paragraph" w:customStyle="1" w:styleId="MiniTOCTitle">
    <w:name w:val="MiniTOCTitle"/>
    <w:basedOn w:val="Heading4"/>
    <w:rsid w:val="00EB0339"/>
    <w:pPr>
      <w:spacing w:before="240"/>
      <w:outlineLvl w:val="9"/>
    </w:pPr>
    <w:rPr>
      <w:noProof/>
      <w:sz w:val="24"/>
    </w:rPr>
  </w:style>
  <w:style w:type="paragraph" w:customStyle="1" w:styleId="MiniTOCItem">
    <w:name w:val="MiniTOCItem"/>
    <w:basedOn w:val="ListBullet"/>
    <w:rsid w:val="00EB0339"/>
    <w:pPr>
      <w:numPr>
        <w:numId w:val="0"/>
      </w:numPr>
      <w:tabs>
        <w:tab w:val="right" w:leader="dot" w:pos="6521"/>
      </w:tabs>
      <w:spacing w:before="0" w:after="0"/>
    </w:pPr>
  </w:style>
  <w:style w:type="paragraph" w:customStyle="1" w:styleId="TOFTitle">
    <w:name w:val="TOFTitle"/>
    <w:basedOn w:val="TOCTitle"/>
    <w:rsid w:val="00EB0339"/>
  </w:style>
  <w:style w:type="paragraph" w:styleId="TableofFigures">
    <w:name w:val="table of figures"/>
    <w:basedOn w:val="Normal"/>
    <w:next w:val="Normal"/>
    <w:semiHidden/>
    <w:rsid w:val="00EB0339"/>
    <w:pPr>
      <w:tabs>
        <w:tab w:val="right" w:leader="dot" w:pos="9072"/>
      </w:tabs>
      <w:ind w:left="970" w:hanging="403"/>
    </w:pPr>
    <w:rPr>
      <w:rFonts w:ascii="Times New Roman" w:hAnsi="Times New Roman"/>
      <w:b/>
    </w:rPr>
  </w:style>
  <w:style w:type="paragraph" w:styleId="ListNumber">
    <w:name w:val="List Number"/>
    <w:basedOn w:val="List"/>
    <w:rsid w:val="00EB0339"/>
    <w:pPr>
      <w:numPr>
        <w:numId w:val="11"/>
      </w:numPr>
    </w:pPr>
  </w:style>
  <w:style w:type="character" w:customStyle="1" w:styleId="WingdingSymbols">
    <w:name w:val="Wingding Symbols"/>
    <w:rsid w:val="00EB0339"/>
    <w:rPr>
      <w:rFonts w:ascii="Wingdings" w:hAnsi="Wingdings"/>
    </w:rPr>
  </w:style>
  <w:style w:type="paragraph" w:customStyle="1" w:styleId="TableHeading">
    <w:name w:val="Table Heading"/>
    <w:basedOn w:val="HeadingBase"/>
    <w:rsid w:val="00EB0339"/>
    <w:pPr>
      <w:keepLines/>
      <w:pBdr>
        <w:bottom w:val="single" w:sz="6" w:space="1" w:color="918585"/>
      </w:pBdr>
      <w:spacing w:before="240"/>
    </w:pPr>
  </w:style>
  <w:style w:type="character" w:customStyle="1" w:styleId="HotSpot">
    <w:name w:val="HotSpot"/>
    <w:rsid w:val="00EB0339"/>
    <w:rPr>
      <w:color w:val="0033CC"/>
      <w:u w:val="none"/>
    </w:rPr>
  </w:style>
  <w:style w:type="paragraph" w:customStyle="1" w:styleId="BodyTextRight">
    <w:name w:val="Body Text Right"/>
    <w:basedOn w:val="BodyText"/>
    <w:rsid w:val="00EB0339"/>
    <w:pPr>
      <w:spacing w:before="0" w:after="0"/>
      <w:jc w:val="right"/>
    </w:pPr>
  </w:style>
  <w:style w:type="paragraph" w:styleId="Index3">
    <w:name w:val="index 3"/>
    <w:basedOn w:val="ListNumber2"/>
    <w:next w:val="Normal"/>
    <w:semiHidden/>
    <w:rsid w:val="00EB0339"/>
    <w:pPr>
      <w:numPr>
        <w:numId w:val="0"/>
      </w:numPr>
      <w:tabs>
        <w:tab w:val="right" w:leader="dot" w:pos="4176"/>
      </w:tabs>
    </w:pPr>
  </w:style>
  <w:style w:type="paragraph" w:styleId="ListNumber2">
    <w:name w:val="List Number 2"/>
    <w:basedOn w:val="List2"/>
    <w:rsid w:val="00EB0339"/>
    <w:pPr>
      <w:numPr>
        <w:numId w:val="10"/>
      </w:numPr>
      <w:tabs>
        <w:tab w:val="clear" w:pos="1060"/>
      </w:tabs>
    </w:pPr>
  </w:style>
  <w:style w:type="paragraph" w:customStyle="1" w:styleId="MarginNote">
    <w:name w:val="Margin Note"/>
    <w:basedOn w:val="BodyText"/>
    <w:rsid w:val="00EB03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03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033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0339"/>
    <w:rPr>
      <w:sz w:val="32"/>
    </w:rPr>
  </w:style>
  <w:style w:type="paragraph" w:customStyle="1" w:styleId="HeadingProcedure">
    <w:name w:val="Heading Procedure"/>
    <w:basedOn w:val="HeadingBase"/>
    <w:next w:val="Normal"/>
    <w:rsid w:val="00EB0339"/>
    <w:pPr>
      <w:tabs>
        <w:tab w:val="left" w:pos="0"/>
      </w:tabs>
      <w:spacing w:before="120" w:after="60"/>
    </w:pPr>
    <w:rPr>
      <w:i/>
      <w:color w:val="918585"/>
      <w:sz w:val="22"/>
    </w:rPr>
  </w:style>
  <w:style w:type="paragraph" w:customStyle="1" w:styleId="TableBodyText">
    <w:name w:val="Table Body Text"/>
    <w:basedOn w:val="BodyText"/>
    <w:rsid w:val="00EB0339"/>
    <w:pPr>
      <w:spacing w:before="60" w:after="60"/>
    </w:pPr>
  </w:style>
  <w:style w:type="paragraph" w:styleId="ListContinue">
    <w:name w:val="List Continue"/>
    <w:basedOn w:val="List"/>
    <w:rsid w:val="00EB0339"/>
    <w:pPr>
      <w:ind w:firstLine="0"/>
    </w:pPr>
  </w:style>
  <w:style w:type="paragraph" w:customStyle="1" w:styleId="ListNote">
    <w:name w:val="List Note"/>
    <w:basedOn w:val="List"/>
    <w:rsid w:val="00EB0339"/>
    <w:pPr>
      <w:pBdr>
        <w:top w:val="single" w:sz="6" w:space="2" w:color="918585"/>
        <w:bottom w:val="single" w:sz="6" w:space="2" w:color="918585"/>
      </w:pBdr>
      <w:tabs>
        <w:tab w:val="left" w:pos="1021"/>
      </w:tabs>
      <w:ind w:firstLine="0"/>
    </w:pPr>
  </w:style>
  <w:style w:type="paragraph" w:customStyle="1" w:styleId="Warning">
    <w:name w:val="Warning"/>
    <w:basedOn w:val="BodyText"/>
    <w:rsid w:val="00EB0339"/>
    <w:pPr>
      <w:shd w:val="clear" w:color="auto" w:fill="D9D9D9"/>
      <w:tabs>
        <w:tab w:val="left" w:pos="992"/>
      </w:tabs>
      <w:ind w:left="119" w:right="119"/>
    </w:pPr>
    <w:rPr>
      <w:sz w:val="20"/>
    </w:rPr>
  </w:style>
  <w:style w:type="paragraph" w:customStyle="1" w:styleId="MarginIcons">
    <w:name w:val="Margin Icons"/>
    <w:basedOn w:val="BodyText"/>
    <w:rsid w:val="00EB03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0339"/>
    <w:rPr>
      <w:rFonts w:ascii="Courier New" w:hAnsi="Courier New"/>
    </w:rPr>
  </w:style>
  <w:style w:type="paragraph" w:customStyle="1" w:styleId="NoteBullet">
    <w:name w:val="Note Bullet"/>
    <w:basedOn w:val="Note"/>
    <w:rsid w:val="00EB0339"/>
    <w:pPr>
      <w:tabs>
        <w:tab w:val="clear" w:pos="680"/>
      </w:tabs>
      <w:spacing w:before="60" w:after="60"/>
    </w:pPr>
  </w:style>
  <w:style w:type="paragraph" w:customStyle="1" w:styleId="SubHeading2">
    <w:name w:val="SubHeading2"/>
    <w:basedOn w:val="HeadingBase"/>
    <w:rsid w:val="00EB0339"/>
    <w:pPr>
      <w:spacing w:before="240" w:after="60"/>
    </w:pPr>
    <w:rPr>
      <w:sz w:val="20"/>
    </w:rPr>
  </w:style>
  <w:style w:type="paragraph" w:customStyle="1" w:styleId="SubHeading1">
    <w:name w:val="SubHeading1"/>
    <w:basedOn w:val="HeadingBase"/>
    <w:rsid w:val="00EB0339"/>
    <w:pPr>
      <w:spacing w:before="240" w:after="60"/>
    </w:pPr>
    <w:rPr>
      <w:color w:val="918585"/>
      <w:sz w:val="22"/>
    </w:rPr>
  </w:style>
  <w:style w:type="paragraph" w:customStyle="1" w:styleId="SideHeading">
    <w:name w:val="Side Heading"/>
    <w:basedOn w:val="HeadingBase"/>
    <w:rsid w:val="00EB03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0339"/>
    <w:pPr>
      <w:numPr>
        <w:numId w:val="12"/>
      </w:numPr>
    </w:pPr>
  </w:style>
  <w:style w:type="paragraph" w:styleId="PlainText">
    <w:name w:val="Plain Text"/>
    <w:basedOn w:val="Normal"/>
    <w:link w:val="PlainTextChar"/>
    <w:rsid w:val="00EB0339"/>
    <w:rPr>
      <w:sz w:val="20"/>
    </w:rPr>
  </w:style>
  <w:style w:type="character" w:customStyle="1" w:styleId="PlainTextChar">
    <w:name w:val="Plain Text Char"/>
    <w:basedOn w:val="DefaultParagraphFont"/>
    <w:link w:val="PlainText"/>
    <w:rsid w:val="00EB0339"/>
    <w:rPr>
      <w:rFonts w:ascii="Courier New" w:eastAsia="Times New Roman" w:hAnsi="Courier New" w:cs="Times New Roman"/>
      <w:sz w:val="20"/>
      <w:szCs w:val="20"/>
      <w:lang w:eastAsia="en-US"/>
    </w:rPr>
  </w:style>
  <w:style w:type="character" w:customStyle="1" w:styleId="MenuOption">
    <w:name w:val="Menu Option"/>
    <w:basedOn w:val="DefaultParagraphFont"/>
    <w:rsid w:val="00EB0339"/>
    <w:rPr>
      <w:b/>
      <w:smallCaps/>
    </w:rPr>
  </w:style>
  <w:style w:type="paragraph" w:customStyle="1" w:styleId="TableListNumber">
    <w:name w:val="Table List Number"/>
    <w:basedOn w:val="ListNumber"/>
    <w:rsid w:val="00EB0339"/>
    <w:pPr>
      <w:numPr>
        <w:numId w:val="0"/>
      </w:numPr>
    </w:pPr>
  </w:style>
  <w:style w:type="paragraph" w:styleId="TOC4">
    <w:name w:val="toc 4"/>
    <w:basedOn w:val="TOCBase"/>
    <w:next w:val="Normal"/>
    <w:semiHidden/>
    <w:rsid w:val="00EB0339"/>
    <w:pPr>
      <w:tabs>
        <w:tab w:val="right" w:leader="dot" w:pos="9071"/>
      </w:tabs>
      <w:ind w:left="1701"/>
    </w:pPr>
  </w:style>
  <w:style w:type="paragraph" w:customStyle="1" w:styleId="ListAlpha">
    <w:name w:val="List Alpha"/>
    <w:basedOn w:val="List"/>
    <w:rsid w:val="00EB0339"/>
    <w:pPr>
      <w:numPr>
        <w:numId w:val="9"/>
      </w:numPr>
    </w:pPr>
  </w:style>
  <w:style w:type="paragraph" w:customStyle="1" w:styleId="ListAlpha2">
    <w:name w:val="List Alpha 2"/>
    <w:basedOn w:val="List2"/>
    <w:rsid w:val="00EB0339"/>
    <w:pPr>
      <w:numPr>
        <w:numId w:val="8"/>
      </w:numPr>
    </w:pPr>
  </w:style>
  <w:style w:type="paragraph" w:styleId="List2">
    <w:name w:val="List 2"/>
    <w:basedOn w:val="BodyText"/>
    <w:rsid w:val="00EB0339"/>
    <w:pPr>
      <w:tabs>
        <w:tab w:val="left" w:pos="680"/>
      </w:tabs>
      <w:spacing w:before="60" w:after="60"/>
      <w:ind w:left="680" w:hanging="340"/>
    </w:pPr>
  </w:style>
  <w:style w:type="paragraph" w:styleId="List3">
    <w:name w:val="List 3"/>
    <w:basedOn w:val="BodyText"/>
    <w:rsid w:val="00EB0339"/>
    <w:pPr>
      <w:tabs>
        <w:tab w:val="left" w:pos="1021"/>
      </w:tabs>
      <w:spacing w:before="60" w:after="60"/>
      <w:ind w:left="1020" w:hanging="340"/>
    </w:pPr>
  </w:style>
  <w:style w:type="paragraph" w:styleId="List4">
    <w:name w:val="List 4"/>
    <w:basedOn w:val="BodyText"/>
    <w:rsid w:val="00EB0339"/>
    <w:pPr>
      <w:tabs>
        <w:tab w:val="left" w:pos="1361"/>
      </w:tabs>
      <w:spacing w:before="60" w:after="60"/>
      <w:ind w:left="1361" w:hanging="340"/>
    </w:pPr>
  </w:style>
  <w:style w:type="paragraph" w:styleId="List5">
    <w:name w:val="List 5"/>
    <w:basedOn w:val="BodyText"/>
    <w:rsid w:val="00EB0339"/>
    <w:pPr>
      <w:tabs>
        <w:tab w:val="left" w:pos="1701"/>
      </w:tabs>
      <w:spacing w:before="60" w:after="60"/>
      <w:ind w:left="1701" w:hanging="340"/>
    </w:pPr>
  </w:style>
  <w:style w:type="paragraph" w:styleId="ListBullet3">
    <w:name w:val="List Bullet 3"/>
    <w:basedOn w:val="List3"/>
    <w:rsid w:val="00EB0339"/>
    <w:pPr>
      <w:numPr>
        <w:numId w:val="15"/>
      </w:numPr>
      <w:tabs>
        <w:tab w:val="clear" w:pos="1021"/>
      </w:tabs>
      <w:ind w:left="1037" w:hanging="357"/>
    </w:pPr>
  </w:style>
  <w:style w:type="paragraph" w:styleId="ListBullet4">
    <w:name w:val="List Bullet 4"/>
    <w:basedOn w:val="List4"/>
    <w:rsid w:val="00EB0339"/>
    <w:pPr>
      <w:numPr>
        <w:numId w:val="3"/>
      </w:numPr>
    </w:pPr>
  </w:style>
  <w:style w:type="paragraph" w:styleId="ListBullet5">
    <w:name w:val="List Bullet 5"/>
    <w:basedOn w:val="List5"/>
    <w:rsid w:val="00EB0339"/>
    <w:pPr>
      <w:numPr>
        <w:numId w:val="4"/>
      </w:numPr>
    </w:pPr>
  </w:style>
  <w:style w:type="paragraph" w:styleId="ListContinue2">
    <w:name w:val="List Continue 2"/>
    <w:basedOn w:val="List2"/>
    <w:rsid w:val="00EB0339"/>
    <w:pPr>
      <w:ind w:firstLine="0"/>
    </w:pPr>
  </w:style>
  <w:style w:type="paragraph" w:styleId="ListContinue3">
    <w:name w:val="List Continue 3"/>
    <w:basedOn w:val="List3"/>
    <w:rsid w:val="00EB0339"/>
    <w:pPr>
      <w:ind w:left="1021" w:firstLine="0"/>
    </w:pPr>
  </w:style>
  <w:style w:type="paragraph" w:styleId="ListContinue4">
    <w:name w:val="List Continue 4"/>
    <w:basedOn w:val="List4"/>
    <w:rsid w:val="00EB0339"/>
    <w:pPr>
      <w:ind w:firstLine="0"/>
    </w:pPr>
  </w:style>
  <w:style w:type="paragraph" w:styleId="ListContinue5">
    <w:name w:val="List Continue 5"/>
    <w:basedOn w:val="List5"/>
    <w:rsid w:val="00EB0339"/>
    <w:pPr>
      <w:ind w:firstLine="0"/>
    </w:pPr>
  </w:style>
  <w:style w:type="paragraph" w:styleId="ListNumber3">
    <w:name w:val="List Number 3"/>
    <w:basedOn w:val="List3"/>
    <w:rsid w:val="00EB0339"/>
    <w:pPr>
      <w:numPr>
        <w:numId w:val="5"/>
      </w:numPr>
    </w:pPr>
  </w:style>
  <w:style w:type="paragraph" w:styleId="ListNumber4">
    <w:name w:val="List Number 4"/>
    <w:basedOn w:val="List4"/>
    <w:rsid w:val="00EB0339"/>
    <w:pPr>
      <w:numPr>
        <w:numId w:val="6"/>
      </w:numPr>
    </w:pPr>
  </w:style>
  <w:style w:type="paragraph" w:styleId="ListNumber5">
    <w:name w:val="List Number 5"/>
    <w:basedOn w:val="List5"/>
    <w:rsid w:val="00EB0339"/>
    <w:pPr>
      <w:numPr>
        <w:numId w:val="7"/>
      </w:numPr>
    </w:pPr>
  </w:style>
  <w:style w:type="paragraph" w:styleId="BlockText">
    <w:name w:val="Block Text"/>
    <w:basedOn w:val="Normal"/>
    <w:rsid w:val="00EB0339"/>
    <w:pPr>
      <w:spacing w:after="120"/>
      <w:ind w:left="1440" w:right="1440"/>
    </w:pPr>
  </w:style>
  <w:style w:type="character" w:customStyle="1" w:styleId="Subscript">
    <w:name w:val="Subscript"/>
    <w:basedOn w:val="DefaultParagraphFont"/>
    <w:rsid w:val="00EB0339"/>
    <w:rPr>
      <w:sz w:val="16"/>
      <w:vertAlign w:val="subscript"/>
    </w:rPr>
  </w:style>
  <w:style w:type="character" w:customStyle="1" w:styleId="Superscript">
    <w:name w:val="Superscript"/>
    <w:basedOn w:val="DefaultParagraphFont"/>
    <w:rsid w:val="00EB0339"/>
    <w:rPr>
      <w:sz w:val="16"/>
      <w:vertAlign w:val="superscript"/>
    </w:rPr>
  </w:style>
  <w:style w:type="character" w:customStyle="1" w:styleId="Symbols">
    <w:name w:val="Symbols"/>
    <w:basedOn w:val="DefaultParagraphFont"/>
    <w:rsid w:val="00EB0339"/>
    <w:rPr>
      <w:rFonts w:ascii="Symbol" w:hAnsi="Symbol"/>
    </w:rPr>
  </w:style>
  <w:style w:type="character" w:customStyle="1" w:styleId="MenuOptions">
    <w:name w:val="Menu Options"/>
    <w:basedOn w:val="DefaultParagraphFont"/>
    <w:rsid w:val="00EB0339"/>
    <w:rPr>
      <w:rFonts w:ascii="Arial Narrow" w:hAnsi="Arial Narrow"/>
      <w:smallCaps/>
    </w:rPr>
  </w:style>
  <w:style w:type="character" w:customStyle="1" w:styleId="Buttons">
    <w:name w:val="Buttons"/>
    <w:basedOn w:val="DefaultParagraphFont"/>
    <w:rsid w:val="00EB0339"/>
    <w:rPr>
      <w:b/>
    </w:rPr>
  </w:style>
  <w:style w:type="character" w:customStyle="1" w:styleId="Underlined">
    <w:name w:val="Underlined"/>
    <w:basedOn w:val="DefaultParagraphFont"/>
    <w:rsid w:val="00EB0339"/>
    <w:rPr>
      <w:u w:val="single"/>
    </w:rPr>
  </w:style>
  <w:style w:type="paragraph" w:customStyle="1" w:styleId="TableBodyTextRight">
    <w:name w:val="Table Body Text Right"/>
    <w:basedOn w:val="TableBodyText"/>
    <w:rsid w:val="00EB0339"/>
    <w:pPr>
      <w:widowControl w:val="0"/>
      <w:autoSpaceDE w:val="0"/>
      <w:autoSpaceDN w:val="0"/>
      <w:adjustRightInd w:val="0"/>
      <w:jc w:val="right"/>
    </w:pPr>
    <w:rPr>
      <w:rFonts w:cs="Arial"/>
      <w:szCs w:val="18"/>
    </w:rPr>
  </w:style>
  <w:style w:type="paragraph" w:customStyle="1" w:styleId="CopyrightText">
    <w:name w:val="Copyright Text"/>
    <w:basedOn w:val="BodyText"/>
    <w:rsid w:val="00EB0339"/>
    <w:rPr>
      <w:sz w:val="18"/>
    </w:rPr>
  </w:style>
  <w:style w:type="paragraph" w:customStyle="1" w:styleId="BodySmallRight">
    <w:name w:val="Body Small Right"/>
    <w:basedOn w:val="BodyTextRight"/>
    <w:rsid w:val="00EB0339"/>
    <w:rPr>
      <w:sz w:val="18"/>
      <w:szCs w:val="18"/>
    </w:rPr>
  </w:style>
  <w:style w:type="paragraph" w:customStyle="1" w:styleId="MarginEdition">
    <w:name w:val="Margin Edition"/>
    <w:basedOn w:val="MarginNote"/>
    <w:rsid w:val="00EB0339"/>
    <w:pPr>
      <w:spacing w:before="0" w:after="0"/>
    </w:pPr>
    <w:rPr>
      <w:rFonts w:ascii="Times New Roman" w:hAnsi="Times New Roman"/>
      <w:color w:val="999999"/>
    </w:rPr>
  </w:style>
  <w:style w:type="paragraph" w:customStyle="1" w:styleId="Spacer">
    <w:name w:val="Spacer"/>
    <w:basedOn w:val="Normal"/>
    <w:rsid w:val="00EB0339"/>
    <w:rPr>
      <w:sz w:val="2"/>
      <w:szCs w:val="2"/>
    </w:rPr>
  </w:style>
  <w:style w:type="character" w:customStyle="1" w:styleId="Small">
    <w:name w:val="Small"/>
    <w:basedOn w:val="DefaultParagraphFont"/>
    <w:rsid w:val="00EB0339"/>
    <w:rPr>
      <w:sz w:val="16"/>
    </w:rPr>
  </w:style>
  <w:style w:type="paragraph" w:customStyle="1" w:styleId="WideTable">
    <w:name w:val="Wide Table"/>
    <w:basedOn w:val="Normal"/>
    <w:rsid w:val="00EB0339"/>
    <w:pPr>
      <w:ind w:left="-1418"/>
    </w:pPr>
    <w:rPr>
      <w:sz w:val="2"/>
      <w:szCs w:val="2"/>
    </w:rPr>
  </w:style>
  <w:style w:type="character" w:styleId="PageNumber">
    <w:name w:val="page number"/>
    <w:basedOn w:val="DefaultParagraphFont"/>
    <w:rsid w:val="00EB0339"/>
  </w:style>
  <w:style w:type="paragraph" w:styleId="Quote">
    <w:name w:val="Quote"/>
    <w:basedOn w:val="Heading1"/>
    <w:link w:val="QuoteChar"/>
    <w:qFormat/>
    <w:rsid w:val="00EB0339"/>
    <w:rPr>
      <w:b w:val="0"/>
      <w:sz w:val="72"/>
      <w:szCs w:val="72"/>
      <w:lang w:val="en-NZ"/>
    </w:rPr>
  </w:style>
  <w:style w:type="character" w:customStyle="1" w:styleId="QuoteChar">
    <w:name w:val="Quote Char"/>
    <w:basedOn w:val="DefaultParagraphFont"/>
    <w:link w:val="Quote"/>
    <w:rsid w:val="00EB03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0339"/>
    <w:pPr>
      <w:pageBreakBefore/>
    </w:pPr>
  </w:style>
  <w:style w:type="paragraph" w:customStyle="1" w:styleId="Border">
    <w:name w:val="Border"/>
    <w:basedOn w:val="Normal"/>
    <w:qFormat/>
    <w:rsid w:val="00EB03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0339"/>
    <w:rPr>
      <w:b/>
      <w:bCs/>
      <w:i/>
      <w:iCs/>
      <w:color w:val="auto"/>
    </w:rPr>
  </w:style>
  <w:style w:type="paragraph" w:styleId="IntenseQuote">
    <w:name w:val="Intense Quote"/>
    <w:basedOn w:val="Normal"/>
    <w:next w:val="Normal"/>
    <w:link w:val="IntenseQuoteChar"/>
    <w:uiPriority w:val="30"/>
    <w:qFormat/>
    <w:rsid w:val="00EB03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033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0339"/>
    <w:rPr>
      <w:smallCaps/>
      <w:color w:val="auto"/>
      <w:u w:val="single"/>
    </w:rPr>
  </w:style>
  <w:style w:type="character" w:styleId="IntenseReference">
    <w:name w:val="Intense Reference"/>
    <w:basedOn w:val="DefaultParagraphFont"/>
    <w:uiPriority w:val="32"/>
    <w:qFormat/>
    <w:rsid w:val="00EB0339"/>
    <w:rPr>
      <w:b/>
      <w:bCs/>
      <w:smallCaps/>
      <w:color w:val="auto"/>
      <w:spacing w:val="5"/>
      <w:u w:val="single"/>
    </w:rPr>
  </w:style>
  <w:style w:type="paragraph" w:customStyle="1" w:styleId="2ColumnHeading">
    <w:name w:val="2Column Heading"/>
    <w:basedOn w:val="BodyText"/>
    <w:qFormat/>
    <w:rsid w:val="00EB0339"/>
    <w:pPr>
      <w:spacing w:after="60"/>
      <w:ind w:left="-2268"/>
    </w:pPr>
    <w:rPr>
      <w:b/>
    </w:rPr>
  </w:style>
  <w:style w:type="paragraph" w:customStyle="1" w:styleId="Heading1TOC">
    <w:name w:val="Heading1 TOC"/>
    <w:basedOn w:val="Normal"/>
    <w:qFormat/>
    <w:rsid w:val="00EB0339"/>
    <w:pPr>
      <w:spacing w:before="240" w:after="120"/>
    </w:pPr>
    <w:rPr>
      <w:rFonts w:ascii="Times New Roman" w:hAnsi="Times New Roman"/>
      <w:b/>
      <w:sz w:val="32"/>
    </w:rPr>
  </w:style>
  <w:style w:type="paragraph" w:customStyle="1" w:styleId="Heading2TOC">
    <w:name w:val="Heading2 TOC"/>
    <w:basedOn w:val="Normal"/>
    <w:qFormat/>
    <w:rsid w:val="00EB0339"/>
    <w:pPr>
      <w:spacing w:before="240" w:after="60"/>
    </w:pPr>
    <w:rPr>
      <w:rFonts w:ascii="Times New Roman" w:hAnsi="Times New Roman"/>
      <w:b/>
      <w:sz w:val="28"/>
    </w:rPr>
  </w:style>
  <w:style w:type="character" w:customStyle="1" w:styleId="Underline">
    <w:name w:val="Underline"/>
    <w:basedOn w:val="DefaultParagraphFont"/>
    <w:qFormat/>
    <w:rsid w:val="00EB0339"/>
    <w:rPr>
      <w:u w:val="single"/>
    </w:rPr>
  </w:style>
  <w:style w:type="character" w:customStyle="1" w:styleId="BoldandItalics">
    <w:name w:val="Bold and Italics"/>
    <w:qFormat/>
    <w:rsid w:val="00EB0339"/>
    <w:rPr>
      <w:b/>
      <w:i/>
      <w:u w:val="none"/>
    </w:rPr>
  </w:style>
  <w:style w:type="paragraph" w:styleId="BalloonText">
    <w:name w:val="Balloon Text"/>
    <w:basedOn w:val="Normal"/>
    <w:link w:val="BalloonTextChar"/>
    <w:rsid w:val="00EB0339"/>
    <w:rPr>
      <w:rFonts w:ascii="Tahoma" w:hAnsi="Tahoma" w:cs="Tahoma"/>
      <w:sz w:val="16"/>
      <w:szCs w:val="16"/>
    </w:rPr>
  </w:style>
  <w:style w:type="character" w:customStyle="1" w:styleId="BalloonTextChar">
    <w:name w:val="Balloon Text Char"/>
    <w:basedOn w:val="DefaultParagraphFont"/>
    <w:link w:val="BalloonText"/>
    <w:rsid w:val="00EB033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033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B033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0339"/>
    <w:rPr>
      <w:b/>
      <w:color w:val="660033"/>
      <w:spacing w:val="0"/>
    </w:rPr>
  </w:style>
  <w:style w:type="paragraph" w:customStyle="1" w:styleId="Nameditemlist">
    <w:name w:val="Named item list"/>
    <w:basedOn w:val="BodyText"/>
    <w:qFormat/>
    <w:rsid w:val="00EB033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2021</Words>
  <Characters>11895</Characters>
  <Application>Microsoft Office Word</Application>
  <DocSecurity>0</DocSecurity>
  <Lines>450</Lines>
  <Paragraphs>166</Paragraphs>
  <ScaleCrop>false</ScaleCrop>
  <Company>Author-it Software Corporation Ltd.</Company>
  <LinksUpToDate>false</LinksUpToDate>
  <CharactersWithSpaces>13775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UEENEEG042B Diagnose and rectify faults in electrical energy supply transmission systems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2012-10-10T02:36:00Z</dcterms:created>
  <dcterms:modified xsi:type="dcterms:W3CDTF">2012-10-10T02:36:00Z</dcterms:modified>
</cp:coreProperties>
</file>