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456" w:rsidP="00C47456">
      <w:pPr>
        <w:pStyle w:val="Title"/>
      </w:pPr>
      <w:r>
        <w:fldChar w:fldCharType="begin"/>
      </w:r>
      <w:r>
        <w:instrText xml:space="preserve"> TITLE   \* MERGEFORMAT </w:instrText>
      </w:r>
      <w:r>
        <w:fldChar w:fldCharType="separate"/>
      </w:r>
      <w:r>
        <w:t>UEENEEG034B Perform high voltage field switching to a given schedule</w:t>
      </w:r>
      <w:r>
        <w:fldChar w:fldCharType="end"/>
      </w:r>
    </w:p>
    <w:p w:rsidR="00C47456" w:rsidP="00C47456">
      <w:pPr>
        <w:pStyle w:val="Version"/>
        <w:sectPr w:rsidSect="002E72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25B" w:rsidP="002E725B">
      <w:pPr>
        <w:pStyle w:val="SuperHeading"/>
      </w:pPr>
      <w:r w:rsidRPr="002E725B">
        <w:t>UEENEEG034B Perform high voltage field switching to a given schedule</w:t>
      </w:r>
    </w:p>
    <w:p w:rsidR="00000000" w:rsidRPr="002E725B" w:rsidP="002E725B">
      <w:pPr>
        <w:pStyle w:val="Heading1"/>
      </w:pPr>
      <w:bookmarkStart w:id="1" w:name="O_274632"/>
      <w:bookmarkEnd w:id="1"/>
      <w:r w:rsidRPr="002E725B">
        <w:t>Modification History</w:t>
      </w:r>
    </w:p>
    <w:p w:rsidR="00000000" w:rsidRPr="002E725B" w:rsidP="002E725B">
      <w:pPr>
        <w:pStyle w:val="BodyText"/>
      </w:pPr>
      <w:r w:rsidRPr="002E725B">
        <w:t>Not Applicable</w:t>
      </w:r>
    </w:p>
    <w:p w:rsidR="00000000" w:rsidRPr="002E725B" w:rsidP="002E725B">
      <w:pPr>
        <w:pStyle w:val="AllowPageBreak"/>
      </w:pPr>
    </w:p>
    <w:p w:rsidR="00000000" w:rsidRPr="002E725B" w:rsidP="002E725B">
      <w:pPr>
        <w:pStyle w:val="Heading1"/>
      </w:pPr>
      <w:bookmarkStart w:id="2" w:name="O_226190"/>
      <w:bookmarkEnd w:id="2"/>
      <w:r w:rsidRPr="002E725B">
        <w:t>Unit Descriptor</w:t>
      </w:r>
    </w:p>
    <w:tbl>
      <w:tblPr>
        <w:tblW w:w="0" w:type="auto"/>
        <w:tblLayout w:type="fixed"/>
        <w:tblCellMar>
          <w:left w:w="62" w:type="dxa"/>
          <w:right w:w="62" w:type="dxa"/>
        </w:tblCellMar>
        <w:tblLook w:val="0000"/>
      </w:tblPr>
      <w:tblGrid>
        <w:gridCol w:w="2700"/>
        <w:gridCol w:w="5760"/>
      </w:tblGrid>
      <w:tr w:rsidTr="00C474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1</w:t>
            </w:r>
            <w:r w:rsidRPr="002E725B">
              <w:t xml:space="preserve">) </w:t>
            </w:r>
          </w:p>
          <w:p w:rsidR="00000000" w:rsidP="002E725B">
            <w:pPr>
              <w:pStyle w:val="BodyText"/>
              <w:rPr>
                <w:lang w:val="en-NZ"/>
              </w:rPr>
            </w:pPr>
            <w:r w:rsidRPr="002E725B">
              <w:rPr>
                <w:rStyle w:val="SpecialBold"/>
              </w:rPr>
              <w:t>1</w:t>
            </w:r>
            <w:r w:rsidRPr="002E725B">
              <w:t>.</w:t>
            </w:r>
            <w:r w:rsidRPr="002E725B">
              <w:rPr>
                <w:rStyle w:val="SpecialBold"/>
              </w:rPr>
              <w:t>1</w:t>
            </w:r>
            <w:r w:rsidRPr="002E725B">
              <w:t xml:space="preserve">) </w:t>
            </w:r>
            <w:r w:rsidRPr="002E725B">
              <w:rPr>
                <w:rStyle w:val="SpecialBold"/>
              </w:rPr>
              <w:t>Descriptor</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This unit covers the carrying out of high voltage switching operations involving the operation of circuit breaking and isolation devices from a given switching schedule and according to enterprise procedures. It also encompasses the process of; communicati</w:t>
            </w:r>
            <w:r w:rsidRPr="002E725B">
              <w:t>ng with the Switching Control Officer or Electrical Control Officer, isolating the electrical equipment and the line or work site, as well as proving that the area is de-energised and earthed, issuing/accepting electrical permits and the returning of the a</w:t>
            </w:r>
            <w:r w:rsidRPr="002E725B">
              <w:t>ffected circuits to service.</w:t>
            </w:r>
          </w:p>
        </w:tc>
      </w:tr>
    </w:tbl>
    <w:p w:rsidR="00C47456" w:rsidP="002E725B">
      <w:pPr>
        <w:pStyle w:val="BodyText"/>
      </w:pPr>
    </w:p>
    <w:p w:rsidR="00C47456" w:rsidP="002E725B">
      <w:pPr>
        <w:pStyle w:val="BodyText"/>
      </w:pPr>
    </w:p>
    <w:p w:rsidR="00000000" w:rsidRPr="002E725B" w:rsidP="002E725B">
      <w:pPr>
        <w:pStyle w:val="Heading1"/>
      </w:pPr>
      <w:bookmarkStart w:id="3" w:name="O_226195"/>
      <w:bookmarkEnd w:id="3"/>
      <w:r w:rsidRPr="002E725B">
        <w:t>Application of the Unit</w:t>
      </w:r>
    </w:p>
    <w:tbl>
      <w:tblPr>
        <w:tblW w:w="0" w:type="auto"/>
        <w:tblLayout w:type="fixed"/>
        <w:tblCellMar>
          <w:left w:w="62" w:type="dxa"/>
          <w:right w:w="62" w:type="dxa"/>
        </w:tblCellMar>
        <w:tblLook w:val="0000"/>
      </w:tblPr>
      <w:tblGrid>
        <w:gridCol w:w="2700"/>
        <w:gridCol w:w="5760"/>
      </w:tblGrid>
      <w:tr w:rsidTr="00C474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4</w:t>
            </w:r>
            <w:r w:rsidRPr="002E725B">
              <w:t>)</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This unit is intended to augment formally acquired competencies. It is suitable for employment-based programs under an approved contract of training.</w:t>
            </w:r>
          </w:p>
        </w:tc>
      </w:tr>
    </w:tbl>
    <w:p w:rsidR="00C47456" w:rsidP="002E725B">
      <w:pPr>
        <w:pStyle w:val="BodyText"/>
      </w:pPr>
    </w:p>
    <w:p w:rsidR="00C47456" w:rsidP="002E725B">
      <w:pPr>
        <w:pStyle w:val="BodyText"/>
      </w:pPr>
    </w:p>
    <w:p w:rsidR="00000000" w:rsidRPr="002E725B" w:rsidP="002E725B">
      <w:pPr>
        <w:pStyle w:val="Heading1"/>
      </w:pPr>
      <w:bookmarkStart w:id="4" w:name="O_226191"/>
      <w:bookmarkEnd w:id="4"/>
      <w:r w:rsidRPr="002E725B">
        <w:t>Licensing/Regulatory Information</w:t>
      </w:r>
    </w:p>
    <w:tbl>
      <w:tblPr>
        <w:tblW w:w="0" w:type="auto"/>
        <w:tblLayout w:type="fixed"/>
        <w:tblCellMar>
          <w:left w:w="62" w:type="dxa"/>
          <w:right w:w="62" w:type="dxa"/>
        </w:tblCellMar>
        <w:tblLook w:val="0000"/>
      </w:tblPr>
      <w:tblGrid>
        <w:gridCol w:w="8460"/>
      </w:tblGrid>
      <w:tr w:rsidTr="00C474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1</w:t>
            </w:r>
            <w:r w:rsidRPr="002E725B">
              <w:t>.</w:t>
            </w:r>
            <w:r w:rsidRPr="002E725B">
              <w:rPr>
                <w:rStyle w:val="SpecialBold"/>
              </w:rPr>
              <w:t>2</w:t>
            </w:r>
            <w:r w:rsidRPr="002E725B">
              <w:t xml:space="preserve">) </w:t>
            </w:r>
            <w:r w:rsidRPr="002E725B">
              <w:rPr>
                <w:rStyle w:val="SpecialBold"/>
              </w:rPr>
              <w:t>License to practice</w:t>
            </w:r>
          </w:p>
        </w:tc>
      </w:tr>
      <w:tr w:rsidTr="00C474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The skills and knowledge described in this unit are not subject to licence regulation other than those directly related to occupational health and safety, electricity/telecommunicat</w:t>
            </w:r>
            <w:r w:rsidRPr="002E725B">
              <w:t>ions/gas/water industry safety and compliance, industrial relations, environmental protection, anti discrimination and training. Commonwealth, State/Territory or Local Government legislation and regulations may exist that limits the age of operating certai</w:t>
            </w:r>
            <w:r w:rsidRPr="002E725B">
              <w:t>n equipment.</w:t>
            </w:r>
          </w:p>
        </w:tc>
      </w:tr>
    </w:tbl>
    <w:p w:rsidR="00C47456" w:rsidP="002E725B">
      <w:pPr>
        <w:pStyle w:val="BodyText"/>
      </w:pPr>
    </w:p>
    <w:p w:rsidR="00C47456" w:rsidP="002E725B">
      <w:pPr>
        <w:pStyle w:val="BodyText"/>
      </w:pPr>
    </w:p>
    <w:p w:rsidR="00000000" w:rsidRPr="002E725B" w:rsidP="002E725B">
      <w:pPr>
        <w:pStyle w:val="Heading1"/>
      </w:pPr>
      <w:bookmarkStart w:id="5" w:name="O_226192"/>
      <w:bookmarkEnd w:id="5"/>
      <w:r w:rsidRPr="002E725B">
        <w:t>Pre-Requisites</w:t>
      </w:r>
    </w:p>
    <w:tbl>
      <w:tblPr>
        <w:tblW w:w="0" w:type="auto"/>
        <w:tblLayout w:type="fixed"/>
        <w:tblCellMar>
          <w:left w:w="62" w:type="dxa"/>
          <w:right w:w="62" w:type="dxa"/>
        </w:tblCellMar>
        <w:tblLook w:val="0000"/>
      </w:tblPr>
      <w:tblGrid>
        <w:gridCol w:w="2700"/>
        <w:gridCol w:w="5760"/>
      </w:tblGrid>
      <w:tr w:rsidTr="00C474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Prerequisite Unit</w:t>
            </w:r>
            <w:r w:rsidRPr="002E725B">
              <w:t>(</w:t>
            </w:r>
            <w:r w:rsidRPr="002E725B">
              <w:rPr>
                <w:rStyle w:val="SpecialBold"/>
              </w:rPr>
              <w:t>s</w:t>
            </w:r>
            <w:r w:rsidRPr="002E725B">
              <w:t>)</w:t>
            </w:r>
          </w:p>
        </w:tc>
        <w:tc>
          <w:tcPr>
            <w:tcW w:w="57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2</w:t>
            </w:r>
            <w:r w:rsidRPr="002E725B">
              <w:t xml:space="preserve">) </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725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2</w:t>
            </w:r>
            <w:r w:rsidRPr="002E725B">
              <w:t>.</w:t>
            </w:r>
            <w:r w:rsidRPr="002E725B">
              <w:rPr>
                <w:rStyle w:val="SpecialBold"/>
              </w:rPr>
              <w:t>1</w:t>
            </w:r>
            <w:r w:rsidRPr="002E725B">
              <w:t xml:space="preserve">) </w:t>
            </w:r>
            <w:r w:rsidRPr="002E725B">
              <w:rPr>
                <w:rStyle w:val="SpecialBold"/>
              </w:rPr>
              <w:t>Competencies</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Granting competency in this unit shall be made only after competency in the following unit(s) has/have been confirmed.</w:t>
            </w:r>
          </w:p>
          <w:p w:rsidR="00000000" w:rsidRPr="002E725B" w:rsidP="002E725B">
            <w:pPr>
              <w:pStyle w:val="BodyText"/>
            </w:pPr>
            <w:r w:rsidRPr="002E725B">
              <w:t>UEENEEG015B Find and rectify faults in energy supply network equipment</w:t>
            </w:r>
          </w:p>
          <w:p w:rsidR="00000000" w:rsidRPr="002E725B" w:rsidP="002E725B">
            <w:pPr>
              <w:pStyle w:val="BodyText"/>
            </w:pPr>
            <w:r w:rsidRPr="002E725B">
              <w:t>For the full prerequisite chain details for this unit please refer to Table 2 in Volume 1, Part 2</w:t>
            </w:r>
          </w:p>
        </w:tc>
      </w:tr>
    </w:tbl>
    <w:p w:rsidR="00C47456" w:rsidP="002E725B">
      <w:pPr>
        <w:pStyle w:val="BodyText"/>
      </w:pPr>
    </w:p>
    <w:p w:rsidR="00C47456" w:rsidP="002E725B">
      <w:pPr>
        <w:pStyle w:val="BodyText"/>
      </w:pPr>
    </w:p>
    <w:p w:rsidR="00000000" w:rsidRPr="002E725B" w:rsidP="002E725B">
      <w:pPr>
        <w:pStyle w:val="Heading1"/>
      </w:pPr>
      <w:bookmarkStart w:id="6" w:name="O_226194"/>
      <w:bookmarkEnd w:id="6"/>
      <w:r w:rsidRPr="002E725B">
        <w:t>Employability Skills Information</w:t>
      </w:r>
    </w:p>
    <w:tbl>
      <w:tblPr>
        <w:tblW w:w="0" w:type="auto"/>
        <w:tblLayout w:type="fixed"/>
        <w:tblCellMar>
          <w:left w:w="62" w:type="dxa"/>
          <w:right w:w="62" w:type="dxa"/>
        </w:tblCellMar>
        <w:tblLook w:val="0000"/>
      </w:tblPr>
      <w:tblGrid>
        <w:gridCol w:w="2700"/>
        <w:gridCol w:w="5760"/>
      </w:tblGrid>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3</w:t>
            </w:r>
            <w:r w:rsidRPr="002E725B">
              <w:t>)</w:t>
            </w:r>
          </w:p>
          <w:p w:rsidR="00000000" w:rsidRPr="002E725B" w:rsidP="002E725B">
            <w:pPr>
              <w:pStyle w:val="BodyText"/>
            </w:pPr>
            <w:r w:rsidRPr="002E725B">
              <w:t xml:space="preserve">This unit </w:t>
            </w:r>
            <w:r w:rsidRPr="002E725B">
              <w:t>contains Employability Skills</w:t>
            </w:r>
          </w:p>
          <w:p w:rsidR="00000000" w:rsidRPr="002E725B" w:rsidP="002E725B">
            <w:pPr>
              <w:pStyle w:val="BodyText"/>
            </w:pPr>
            <w:r w:rsidRPr="002E725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E725B">
              <w:t>requirements.</w:t>
            </w:r>
          </w:p>
        </w:tc>
      </w:tr>
    </w:tbl>
    <w:p w:rsidR="00C47456" w:rsidP="002E725B">
      <w:pPr>
        <w:pStyle w:val="BodyText"/>
      </w:pPr>
    </w:p>
    <w:p w:rsidR="00C47456" w:rsidP="002E725B">
      <w:pPr>
        <w:pStyle w:val="BodyText"/>
      </w:pPr>
    </w:p>
    <w:p w:rsidR="00000000" w:rsidRPr="002E725B" w:rsidP="002E725B">
      <w:pPr>
        <w:pStyle w:val="Heading1"/>
      </w:pPr>
      <w:bookmarkStart w:id="7" w:name="O_292678"/>
      <w:bookmarkEnd w:id="7"/>
      <w:r w:rsidRPr="002E725B">
        <w:t>Elements and Performance Criteria Pre-Content</w:t>
      </w:r>
    </w:p>
    <w:tbl>
      <w:tblPr>
        <w:tblW w:w="0" w:type="auto"/>
        <w:tblLayout w:type="fixed"/>
        <w:tblCellMar>
          <w:left w:w="62" w:type="dxa"/>
          <w:right w:w="62" w:type="dxa"/>
        </w:tblCellMar>
        <w:tblLook w:val="0000"/>
      </w:tblPr>
      <w:tblGrid>
        <w:gridCol w:w="2700"/>
        <w:gridCol w:w="5760"/>
      </w:tblGrid>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6</w:t>
            </w:r>
            <w:r w:rsidRPr="002E725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Performance criteria describe the required performance needed to demonstrate achievement of the Element. Ass</w:t>
            </w:r>
            <w:r w:rsidRPr="002E725B">
              <w:t>essment of performance is to be consistent with the evidence guide.</w:t>
            </w:r>
          </w:p>
        </w:tc>
      </w:tr>
    </w:tbl>
    <w:p w:rsidR="00000000" w:rsidRPr="002E725B" w:rsidP="002E725B">
      <w:pPr>
        <w:pStyle w:val="BodyText"/>
      </w:pPr>
    </w:p>
    <w:p w:rsidR="00000000" w:rsidRPr="002E725B" w:rsidP="002E725B">
      <w:pPr>
        <w:pStyle w:val="AllowPageBreak"/>
      </w:pPr>
    </w:p>
    <w:p w:rsidR="00000000" w:rsidRPr="002E725B" w:rsidP="002E725B">
      <w:pPr>
        <w:pStyle w:val="Heading1"/>
      </w:pPr>
      <w:bookmarkStart w:id="8" w:name="O_239346"/>
      <w:bookmarkEnd w:id="8"/>
      <w:r w:rsidRPr="002E725B">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C474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PERFORMANCE CRITERIA</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w:t>
            </w:r>
          </w:p>
        </w:tc>
        <w:tc>
          <w:tcPr>
            <w:tcW w:w="2340" w:type="dxa"/>
            <w:vMerge w:val="restart"/>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Prepare to undertake HV switching procedures to a given schedule</w:t>
            </w: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1.1</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Switching and work schedule(s), including drawings, plans, requirements, established procedures, and material lists, are received, analysed and acquired, if necessary, by site inspection</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1.2</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 xml:space="preserve">Relevant requirements and established procedures for the work </w:t>
            </w:r>
            <w:r w:rsidRPr="002E725B">
              <w:t>are communicated to all personnel and identified for all work sites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1.3</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 xml:space="preserve">OHS policies and procedures related to requirements and established procedures for HV switching are obtained and acquired for the purposes </w:t>
            </w:r>
            <w:r w:rsidRPr="002E725B">
              <w:t>of the work to be performed and communicated</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1.4</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Work is prioritised and sequenced following consultation with others for completion within acceptable timeframes and in accordance with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1.5</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Hazards are identified, OHS risks asse</w:t>
            </w:r>
            <w:r w:rsidRPr="002E725B">
              <w:t>ssed and control measures are prioritised, implemented and monitored including emergency exits kept clear according to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1.6</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Relevant authority is obtained to perform work according to requirements and/or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1.7</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Resources including personnel, equipment, tools and personal protective equipment required for the job are obtained and acquired in working order.</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1.8</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Relevant personnel at worksite are acquired current in First Aid and other related work procedures</w:t>
            </w:r>
            <w:r w:rsidRPr="002E725B">
              <w:t xml:space="preserve"> according to requirements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1.9</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Liaison and communication issues with other/authorised personnel, authorities, clients and land-owners are resolved to carry out work where necessary.</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1.10</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Site is prepared according to the work schedule and to minimise risk and damage to property, commerce, and individuals in accordance with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1.11</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Personnel participating in the work, including plant operators and contractors, are ful</w:t>
            </w:r>
            <w:r w:rsidRPr="002E725B">
              <w:t>ly briefed and respective responsibilities acquired where applicable in accordance with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1.12</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Road signs, barriers and warning devices are positioned in accordance with requirements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w:t>
            </w:r>
          </w:p>
        </w:tc>
        <w:tc>
          <w:tcPr>
            <w:tcW w:w="2340" w:type="dxa"/>
            <w:vMerge w:val="restart"/>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Carry out HV switching procedures to a given s</w:t>
            </w:r>
            <w:r w:rsidRPr="002E725B">
              <w:t>chedule</w:t>
            </w: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2.1</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OHS and Sustainable Energy principles and practices to reduce the incidents of accidents and minimise waste are monitored and followed in accordance with requirements and/or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2.2</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Lifting, climbing, working in confined spaces and aloft, and use of power tools/equipment, techniques and practices are safely followed and, currency according to requirements acquired</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2.3</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Apply essential knowledge and associated skills for the safe und</w:t>
            </w:r>
            <w:r w:rsidRPr="002E725B">
              <w:t>ertaking of HV switching procedures to a given schedule to ensure completion in an agreed timeframe and, to quality standards with a minimum of waste according to requirements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2.4</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Communications with Switching Contr</w:t>
            </w:r>
            <w:r w:rsidRPr="002E725B">
              <w:t>ol Officer are established and maintained throughout the isolation operation according to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2.5</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Electrical equipment and associated circuits line/network or work site to be switched including paralleling is isolated and proved de-en</w:t>
            </w:r>
            <w:r w:rsidRPr="002E725B">
              <w:t>ergised using appropriate devices and earthed where required according to requirements and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2.6</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Hazard warnings and safety signs are recognised and hazards and assessed OHS risks are reported to the immediate authorised persons for</w:t>
            </w:r>
            <w:r w:rsidRPr="002E725B">
              <w:t xml:space="preserve"> directions according to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2.7</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Unplanned events occurring during HV switching procedures to a given schedule are responded to and undertaken within the scope of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2.8</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Relevant permits are prepared and issued in accordance with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2.9</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Known solutions to a variety of problems are applied using acquired essential knowledge and associated skills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2.10</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Ongoing checks of quality of the work are undert</w:t>
            </w:r>
            <w:r w:rsidRPr="002E725B">
              <w:t>aken in accordance with instructions and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3</w:t>
            </w:r>
          </w:p>
        </w:tc>
        <w:tc>
          <w:tcPr>
            <w:tcW w:w="234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Complete HV switching procedures to a given schedule</w:t>
            </w: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3.1</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Work undertaken is checked against works schedule for conformance with requirements and anomalies reported in accordance with establ</w:t>
            </w:r>
            <w:r w:rsidRPr="002E725B">
              <w:t>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3.2</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Accidents and/or injuries are reported in accordance with requirements/established procedures, where applicable.</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3.3</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Work site is rehabilitated, cleaned up and made safe in accordance with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3.4</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Tools, equipment and any surplus resources and materials are, where appropriate, cleaned, checked and returned to storage in accordance with 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3.5</w:t>
            </w:r>
          </w:p>
        </w:tc>
        <w:tc>
          <w:tcPr>
            <w:tcW w:w="48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Relevant permit(s) are signed off, safety devices are removed, and the system is re-e</w:t>
            </w:r>
            <w:r w:rsidRPr="002E725B">
              <w:t>nergised and returned to service in accordance with requirements/established procedures</w:t>
            </w:r>
          </w:p>
        </w:tc>
      </w:tr>
      <w:tr w:rsidTr="00C4745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3.6</w:t>
            </w:r>
          </w:p>
        </w:tc>
        <w:tc>
          <w:tcPr>
            <w:tcW w:w="48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Works completion records, reports, as installed /modified drawing and / or documentation and information are finalised and processed and appropriate personnel an</w:t>
            </w:r>
            <w:r w:rsidRPr="002E725B">
              <w:t>d authority notified</w:t>
            </w:r>
          </w:p>
        </w:tc>
      </w:tr>
    </w:tbl>
    <w:p w:rsidR="00C47456" w:rsidP="002E725B">
      <w:pPr>
        <w:pStyle w:val="BodyText"/>
      </w:pPr>
    </w:p>
    <w:p w:rsidR="00C47456" w:rsidP="002E725B">
      <w:pPr>
        <w:pStyle w:val="BodyText"/>
      </w:pPr>
    </w:p>
    <w:p w:rsidR="00000000" w:rsidRPr="002E725B" w:rsidP="002E725B">
      <w:pPr>
        <w:pStyle w:val="Heading1"/>
      </w:pPr>
      <w:bookmarkStart w:id="9" w:name="O_263137"/>
      <w:bookmarkEnd w:id="9"/>
      <w:r w:rsidRPr="002E725B">
        <w:t>Required Skills and Knowledge</w:t>
      </w:r>
    </w:p>
    <w:tbl>
      <w:tblPr>
        <w:tblW w:w="0" w:type="auto"/>
        <w:tblLayout w:type="fixed"/>
        <w:tblCellMar>
          <w:left w:w="62" w:type="dxa"/>
          <w:right w:w="62" w:type="dxa"/>
        </w:tblCellMar>
        <w:tblLook w:val="0000"/>
      </w:tblPr>
      <w:tblGrid>
        <w:gridCol w:w="2700"/>
        <w:gridCol w:w="1080"/>
        <w:gridCol w:w="4680"/>
      </w:tblGrid>
      <w:tr w:rsidTr="00C4745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REQUIRED SKILLS AND KNOWLEDGE</w:t>
            </w:r>
          </w:p>
        </w:tc>
      </w:tr>
      <w:tr w:rsidTr="00C4745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7</w:t>
            </w:r>
            <w:r w:rsidRPr="002E725B">
              <w:t>) This describes the essential skills and knowledge and their level, required for this unit.</w:t>
            </w:r>
          </w:p>
        </w:tc>
      </w:tr>
      <w:tr w:rsidTr="00C4745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Evidence shall show that knowledge has been acquired of safe working practices and perform high voltage field switching to a given schedule.</w:t>
            </w:r>
          </w:p>
          <w:p w:rsidR="00000000" w:rsidRPr="002E725B" w:rsidP="002E725B">
            <w:pPr>
              <w:pStyle w:val="BodyText"/>
            </w:pPr>
            <w:r w:rsidRPr="002E725B">
              <w:t>All knowledge and skills detailed in this unit should be contextualised to current industry practices and technolog</w:t>
            </w:r>
            <w:r w:rsidRPr="002E725B">
              <w:t>ies.</w:t>
            </w:r>
          </w:p>
          <w:p w:rsidR="00000000" w:rsidP="002E725B">
            <w:pPr>
              <w:pStyle w:val="BodyText"/>
              <w:rPr>
                <w:lang w:val="en-NZ"/>
              </w:rPr>
            </w:pPr>
            <w:r w:rsidRPr="002E725B">
              <w:t>The extent of the essential knowledge and associated skills (EKAS) required is given in Volume 2 - Part 2.2 EKAS.  It forms an integral part of this unit.</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T2.4.3</w:t>
            </w:r>
          </w:p>
        </w:tc>
        <w:tc>
          <w:tcPr>
            <w:tcW w:w="468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High voltage switching principles</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 xml:space="preserve">T2.4.4 </w:t>
            </w:r>
          </w:p>
        </w:tc>
        <w:tc>
          <w:tcPr>
            <w:tcW w:w="468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High voltage fault switching principles</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 xml:space="preserve">T2.4.5 </w:t>
            </w:r>
          </w:p>
        </w:tc>
        <w:tc>
          <w:tcPr>
            <w:tcW w:w="468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High voltage distribution transformer principles</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 xml:space="preserve">T2.4.6 </w:t>
            </w:r>
          </w:p>
        </w:tc>
        <w:tc>
          <w:tcPr>
            <w:tcW w:w="468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High voltage SWER system</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 xml:space="preserve">T2.4.7 </w:t>
            </w:r>
          </w:p>
        </w:tc>
        <w:tc>
          <w:tcPr>
            <w:tcW w:w="468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Feeder automation system</w:t>
            </w:r>
          </w:p>
        </w:tc>
      </w:tr>
    </w:tbl>
    <w:p w:rsidR="00C47456" w:rsidP="002E725B">
      <w:pPr>
        <w:pStyle w:val="BodyText"/>
      </w:pPr>
    </w:p>
    <w:p w:rsidR="00C47456" w:rsidP="002E725B">
      <w:pPr>
        <w:pStyle w:val="BodyText"/>
      </w:pPr>
    </w:p>
    <w:p w:rsidR="00000000" w:rsidRPr="002E725B" w:rsidP="002E725B">
      <w:pPr>
        <w:pStyle w:val="Heading1"/>
      </w:pPr>
      <w:bookmarkStart w:id="10" w:name="O_247330"/>
      <w:bookmarkEnd w:id="10"/>
      <w:r w:rsidRPr="002E725B">
        <w:t>Evidence Guide</w:t>
      </w:r>
    </w:p>
    <w:tbl>
      <w:tblPr>
        <w:tblW w:w="0" w:type="auto"/>
        <w:tblLayout w:type="fixed"/>
        <w:tblCellMar>
          <w:left w:w="62" w:type="dxa"/>
          <w:right w:w="62" w:type="dxa"/>
        </w:tblCellMar>
        <w:tblLook w:val="0000"/>
      </w:tblPr>
      <w:tblGrid>
        <w:gridCol w:w="2160"/>
        <w:gridCol w:w="720"/>
        <w:gridCol w:w="540"/>
        <w:gridCol w:w="1800"/>
        <w:gridCol w:w="3240"/>
      </w:tblGrid>
      <w:tr w:rsidTr="00C4745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EVIDENCE GUIDE</w:t>
            </w:r>
          </w:p>
        </w:tc>
      </w:tr>
      <w:tr w:rsidTr="00C4745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9</w:t>
            </w:r>
            <w:r w:rsidRPr="002E725B">
              <w:t xml:space="preserve">) The evidence guide provides advice on assessment and must be read in conjunction with the Performance Criteria, Required Skills and Knowledge, the Range Statement and the Assessment Guidelines for this Training Package. </w:t>
            </w:r>
          </w:p>
          <w:p w:rsidR="00000000" w:rsidP="002E725B">
            <w:pPr>
              <w:pStyle w:val="BodyText"/>
              <w:rPr>
                <w:lang w:val="en-NZ"/>
              </w:rPr>
            </w:pPr>
            <w:r w:rsidRPr="002E725B">
              <w:t>The Evidence Guide forms an integ</w:t>
            </w:r>
            <w:r w:rsidRPr="002E725B">
              <w:t>ral part of this unit. It must be used in conjunction with all parts of this unit and performed in accordance with the Assessment Guidelines of this Training Package.</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9</w:t>
            </w:r>
            <w:r w:rsidRPr="002E725B">
              <w:t>.</w:t>
            </w:r>
            <w:r w:rsidRPr="002E725B">
              <w:rPr>
                <w:rStyle w:val="SpecialBold"/>
              </w:rPr>
              <w:t>1</w:t>
            </w:r>
            <w:r w:rsidRPr="002E725B">
              <w:t xml:space="preserve">) </w:t>
            </w:r>
          </w:p>
          <w:p w:rsidR="00000000" w:rsidRPr="002E725B" w:rsidP="002E725B">
            <w:pPr>
              <w:pStyle w:val="BodyText"/>
            </w:pPr>
            <w:r w:rsidRPr="002E725B">
              <w:t>Longitudinal competency development approaches to assessment, such as Profiling, require data to be reliably gathered in a form that can be consistently interpreted over time. This approach is best utilised in Apprenticeship programs and reduces assessment</w:t>
            </w:r>
            <w:r w:rsidRPr="002E725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E725B">
              <w:t>tency in a realistically simulated work environment. It is recognised that, in some circumstances, assessment in part or full can occur outside the workplace. However, it must be in accordance with industry and regulatory policy.</w:t>
            </w:r>
          </w:p>
          <w:p w:rsidR="00000000" w:rsidRPr="002E725B" w:rsidP="002E725B">
            <w:pPr>
              <w:pStyle w:val="BodyText"/>
            </w:pPr>
            <w:r w:rsidRPr="002E725B">
              <w:t>Methods chosen for a parti</w:t>
            </w:r>
            <w:r w:rsidRPr="002E725B">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2E725B">
              <w:t>the critical nature of the competencies being assessed.</w:t>
            </w:r>
          </w:p>
          <w:p w:rsidR="00000000" w:rsidRPr="002E725B" w:rsidP="002E725B">
            <w:pPr>
              <w:pStyle w:val="BodyText"/>
            </w:pPr>
            <w:r w:rsidRPr="002E725B">
              <w:t>The critical safety nature of working with electricity, electrical equipment, gas or any other hazardous substance/material carries risk in deeming a person competent. Sources of evidence need to be '</w:t>
            </w:r>
            <w:r w:rsidRPr="002E725B">
              <w:t>rich' in nature to minimise error in judgment.</w:t>
            </w:r>
          </w:p>
          <w:p w:rsidR="00000000" w:rsidP="002E725B">
            <w:pPr>
              <w:pStyle w:val="BodyText"/>
              <w:rPr>
                <w:lang w:val="en-NZ"/>
              </w:rPr>
            </w:pPr>
            <w:r w:rsidRPr="002E725B">
              <w:t xml:space="preserve">Activities associated with normal every day work have a bearing on the decision as to how much and how detailed the data gathered will contribute to its 'richness'. Some skills are more critical to safety and </w:t>
            </w:r>
            <w:r w:rsidRPr="002E725B">
              <w:t>operational requirements while the same skills may be more or less frequently practised. These points are raised for the assessors to consider when choosing an assessment method and developing assessment instruments. Sample assessment instruments are inclu</w:t>
            </w:r>
            <w:r w:rsidRPr="002E725B">
              <w:t>ded for Assessors in the Assessment Guidelines of this Training Package.</w:t>
            </w:r>
          </w:p>
        </w:tc>
      </w:tr>
      <w:tr w:rsidTr="00C4745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9</w:t>
            </w:r>
            <w:r w:rsidRPr="002E725B">
              <w:t>.</w:t>
            </w:r>
            <w:r w:rsidRPr="002E725B">
              <w:rPr>
                <w:rStyle w:val="SpecialBold"/>
              </w:rPr>
              <w:t>2</w:t>
            </w:r>
            <w:r w:rsidRPr="002E725B">
              <w:t xml:space="preserve">) </w:t>
            </w:r>
          </w:p>
          <w:p w:rsidR="00000000" w:rsidP="002E725B">
            <w:pPr>
              <w:pStyle w:val="BodyText"/>
              <w:rPr>
                <w:lang w:val="en-NZ"/>
              </w:rPr>
            </w:pPr>
            <w:r w:rsidRPr="002E725B">
              <w:t>Before the critical aspects of evidence are considered all prerequisites shall be met.</w:t>
            </w:r>
          </w:p>
        </w:tc>
      </w:tr>
      <w:tr w:rsidTr="00C474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E725B">
            <w:pPr>
              <w:pStyle w:val="ListBullet"/>
              <w:rPr>
                <w:lang w:val="en-NZ"/>
              </w:rPr>
            </w:pPr>
            <w:r w:rsidRPr="002E725B">
              <w:t>A representative body of work performance demonstrated within the timeframes typically expected of the discipline, work function and industrial environment. In particular this shall incorporate evidence that shows a candidate is able to:</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E725B" w:rsidP="002E725B">
            <w:pPr>
              <w:pStyle w:val="ListBullet2"/>
            </w:pPr>
            <w:r w:rsidRPr="002E725B">
              <w:t>Implement Occupational Health and Safety workplace procedures and practices including the use of risk control measures as specified in the performance criteria and range statement</w:t>
            </w:r>
          </w:p>
          <w:p w:rsidR="00000000" w:rsidRPr="002E725B" w:rsidP="002E725B">
            <w:pPr>
              <w:pStyle w:val="ListBullet2"/>
            </w:pPr>
            <w:r w:rsidRPr="002E725B">
              <w:t>Apply sustainable energy principles and practices as specified in the pe</w:t>
            </w:r>
            <w:r w:rsidRPr="002E725B">
              <w:t>rformance criteria and range statement</w:t>
            </w:r>
          </w:p>
          <w:p w:rsidR="00000000" w:rsidRPr="002E725B" w:rsidP="002E725B">
            <w:pPr>
              <w:pStyle w:val="ListBullet2"/>
            </w:pPr>
            <w:r w:rsidRPr="002E725B">
              <w:t>Demonstrate an understanding of the essential knowledge and associated skills as described in this unit .  It may be required by some jurisdictions that RTOs provide a percentile graded result for the purpose of regul</w:t>
            </w:r>
            <w:r w:rsidRPr="002E725B">
              <w:t xml:space="preserve">atory or licensing requirements.   </w:t>
            </w:r>
          </w:p>
          <w:p w:rsidR="00000000" w:rsidRPr="002E725B" w:rsidP="002E725B">
            <w:pPr>
              <w:pStyle w:val="ListBullet2"/>
            </w:pPr>
            <w:r w:rsidRPr="002E725B">
              <w:t>Demonstrate an appropriate level of skills enabling employment</w:t>
            </w:r>
          </w:p>
          <w:p w:rsidR="00000000" w:rsidP="002E725B">
            <w:pPr>
              <w:pStyle w:val="ListBullet2"/>
              <w:rPr>
                <w:lang w:val="en-NZ"/>
              </w:rPr>
            </w:pPr>
            <w:r w:rsidRPr="002E725B">
              <w:t>Conduct work observing the relevant Anti Discrimination legislation, regulations, polices and workplace procedures</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E725B">
            <w:pPr>
              <w:pStyle w:val="ListBullet"/>
              <w:rPr>
                <w:lang w:val="en-NZ"/>
              </w:rPr>
            </w:pPr>
            <w:r w:rsidRPr="002E725B">
              <w:t xml:space="preserve">Demonstrated consistent performance </w:t>
            </w:r>
            <w:r w:rsidRPr="002E725B">
              <w:t>across a representative range of contexts from the prescribed items below:</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E725B">
            <w:pPr>
              <w:pStyle w:val="ListBullet2"/>
              <w:rPr>
                <w:lang w:val="en-NZ"/>
              </w:rPr>
            </w:pPr>
            <w:r w:rsidRPr="002E725B">
              <w:t>Perform high voltage field switching to a given schedule as described in 8) and including:</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A</w:t>
            </w:r>
          </w:p>
        </w:tc>
        <w:tc>
          <w:tcPr>
            <w:tcW w:w="18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All of the following:</w:t>
            </w:r>
          </w:p>
        </w:tc>
        <w:tc>
          <w:tcPr>
            <w:tcW w:w="324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Approvals/clearances</w:t>
            </w:r>
          </w:p>
          <w:p w:rsidR="00000000" w:rsidP="002E725B">
            <w:pPr>
              <w:pStyle w:val="BodyText"/>
              <w:rPr>
                <w:lang w:val="en-NZ"/>
              </w:rPr>
            </w:pPr>
            <w:r w:rsidRPr="002E725B">
              <w:t>Access permits</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B</w:t>
            </w:r>
          </w:p>
        </w:tc>
        <w:tc>
          <w:tcPr>
            <w:tcW w:w="18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All of</w:t>
            </w:r>
            <w:r w:rsidRPr="002E725B">
              <w:t xml:space="preserve"> the following:</w:t>
            </w:r>
          </w:p>
        </w:tc>
        <w:tc>
          <w:tcPr>
            <w:tcW w:w="324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HV operating sticks</w:t>
            </w:r>
          </w:p>
          <w:p w:rsidR="00000000" w:rsidRPr="002E725B" w:rsidP="002E725B">
            <w:pPr>
              <w:pStyle w:val="BodyText"/>
            </w:pPr>
            <w:r w:rsidRPr="002E725B">
              <w:t>HV operating earths</w:t>
            </w:r>
          </w:p>
          <w:p w:rsidR="00000000" w:rsidP="002E725B">
            <w:pPr>
              <w:pStyle w:val="BodyText"/>
              <w:rPr>
                <w:lang w:val="en-NZ"/>
              </w:rPr>
            </w:pPr>
            <w:r w:rsidRPr="002E725B">
              <w:t>HV detectors</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C</w:t>
            </w:r>
          </w:p>
        </w:tc>
        <w:tc>
          <w:tcPr>
            <w:tcW w:w="18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At least one of the following:</w:t>
            </w:r>
          </w:p>
        </w:tc>
        <w:tc>
          <w:tcPr>
            <w:tcW w:w="324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HV phasing sticks</w:t>
            </w:r>
          </w:p>
          <w:p w:rsidR="00000000" w:rsidP="002E725B">
            <w:pPr>
              <w:pStyle w:val="BodyText"/>
              <w:rPr>
                <w:lang w:val="en-NZ"/>
              </w:rPr>
            </w:pPr>
            <w:r w:rsidRPr="002E725B">
              <w:t>HV ground mounted equipment isolating handles and earths.</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D</w:t>
            </w:r>
          </w:p>
        </w:tc>
        <w:tc>
          <w:tcPr>
            <w:tcW w:w="18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At least two of the following:</w:t>
            </w:r>
          </w:p>
        </w:tc>
        <w:tc>
          <w:tcPr>
            <w:tcW w:w="324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HV links</w:t>
            </w:r>
          </w:p>
          <w:p w:rsidR="00000000" w:rsidRPr="002E725B" w:rsidP="002E725B">
            <w:pPr>
              <w:pStyle w:val="BodyText"/>
            </w:pPr>
            <w:r w:rsidRPr="002E725B">
              <w:t>Air break switches</w:t>
            </w:r>
          </w:p>
          <w:p w:rsidR="00000000" w:rsidP="002E725B">
            <w:pPr>
              <w:pStyle w:val="BodyText"/>
              <w:rPr>
                <w:lang w:val="en-NZ"/>
              </w:rPr>
            </w:pPr>
            <w:r w:rsidRPr="002E725B">
              <w:t>Fuses</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E</w:t>
            </w:r>
          </w:p>
        </w:tc>
        <w:tc>
          <w:tcPr>
            <w:tcW w:w="18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At least three of the following:</w:t>
            </w:r>
          </w:p>
        </w:tc>
        <w:tc>
          <w:tcPr>
            <w:tcW w:w="324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Reclosers</w:t>
            </w:r>
          </w:p>
          <w:p w:rsidR="00000000" w:rsidRPr="002E725B" w:rsidP="002E725B">
            <w:pPr>
              <w:pStyle w:val="BodyText"/>
            </w:pPr>
            <w:r w:rsidRPr="002E725B">
              <w:t>Ring main units</w:t>
            </w:r>
          </w:p>
          <w:p w:rsidR="00000000" w:rsidRPr="002E725B" w:rsidP="002E725B">
            <w:pPr>
              <w:pStyle w:val="BodyText"/>
            </w:pPr>
            <w:r w:rsidRPr="002E725B">
              <w:t>Circuit breakers</w:t>
            </w:r>
          </w:p>
          <w:p w:rsidR="00000000" w:rsidRPr="002E725B" w:rsidP="002E725B">
            <w:pPr>
              <w:pStyle w:val="BodyText"/>
            </w:pPr>
            <w:r w:rsidRPr="002E725B">
              <w:t>Isolators</w:t>
            </w:r>
          </w:p>
          <w:p w:rsidR="00000000" w:rsidRPr="002E725B" w:rsidP="002E725B">
            <w:pPr>
              <w:pStyle w:val="BodyText"/>
            </w:pPr>
            <w:r w:rsidRPr="002E725B">
              <w:t>Earth switches</w:t>
            </w:r>
          </w:p>
          <w:p w:rsidR="00000000" w:rsidP="002E725B">
            <w:pPr>
              <w:pStyle w:val="BodyText"/>
              <w:rPr>
                <w:lang w:val="en-NZ"/>
              </w:rPr>
            </w:pPr>
            <w:r w:rsidRPr="002E725B">
              <w:t>Sectionalisers</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F</w:t>
            </w:r>
          </w:p>
        </w:tc>
        <w:tc>
          <w:tcPr>
            <w:tcW w:w="180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At least one occasion</w:t>
            </w:r>
          </w:p>
        </w:tc>
        <w:tc>
          <w:tcPr>
            <w:tcW w:w="324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Dealing with an unplanned event by drawing on essential knowledge and skills to provide appropriate solutions inc</w:t>
            </w:r>
            <w:r w:rsidRPr="002E725B">
              <w:t>orporated in the holistic assessment with the above listed items</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9</w:t>
            </w:r>
            <w:r w:rsidRPr="002E725B">
              <w:t>.</w:t>
            </w:r>
            <w:r w:rsidRPr="002E725B">
              <w:rPr>
                <w:rStyle w:val="SpecialBold"/>
              </w:rPr>
              <w:t>3</w:t>
            </w:r>
            <w:r w:rsidRPr="002E725B">
              <w:t xml:space="preserve">) </w:t>
            </w:r>
          </w:p>
          <w:p w:rsidR="00000000" w:rsidRPr="002E725B" w:rsidP="002E725B">
            <w:pPr>
              <w:pStyle w:val="BodyText"/>
            </w:pPr>
            <w:r w:rsidRPr="002E725B">
              <w:t>This unit should be assessed as it relates to normal work practice using procedures, information and resources typical of a workplace. This should include:</w:t>
            </w:r>
          </w:p>
          <w:p w:rsidR="00000000" w:rsidRPr="002E725B" w:rsidP="002E725B">
            <w:pPr>
              <w:pStyle w:val="ListBullet"/>
            </w:pPr>
            <w:r w:rsidRPr="002E725B">
              <w:t>OHS policy and work procedures and instructions.</w:t>
            </w:r>
          </w:p>
          <w:p w:rsidR="00000000" w:rsidRPr="002E725B" w:rsidP="002E725B">
            <w:pPr>
              <w:pStyle w:val="ListBullet"/>
            </w:pPr>
            <w:r w:rsidRPr="002E725B">
              <w:t>Suitable work environment, facilities, equipment a</w:t>
            </w:r>
            <w:r w:rsidRPr="002E725B">
              <w:t>nd materials to undertake actual work as prescribed by this unit.</w:t>
            </w:r>
          </w:p>
          <w:p w:rsidR="00000000" w:rsidRPr="002E725B" w:rsidP="002E725B">
            <w:pPr>
              <w:pStyle w:val="BodyText"/>
            </w:pPr>
            <w:r w:rsidRPr="002E725B">
              <w:t>These should be part of the formal learning/assessment environment.</w:t>
            </w:r>
          </w:p>
          <w:p w:rsidR="00000000" w:rsidRPr="002E725B" w:rsidP="002E725B">
            <w:pPr>
              <w:pStyle w:val="BodyText"/>
            </w:pPr>
            <w:r w:rsidRPr="002E725B">
              <w:t>Note:</w:t>
            </w:r>
          </w:p>
          <w:p w:rsidR="00000000" w:rsidP="002E725B">
            <w:pPr>
              <w:pStyle w:val="BodyText"/>
              <w:rPr>
                <w:lang w:val="en-NZ"/>
              </w:rPr>
            </w:pPr>
            <w:r w:rsidRPr="002E725B">
              <w:t>Where simulation is considered a suitable strategy for assessment, conditions must be authentic and as far as possib</w:t>
            </w:r>
            <w:r w:rsidRPr="002E725B">
              <w:t>le reproduce and replicate the workplace and be consistent with the approved industry simulation policy.</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The resources used for assessment should reflect current industry practices in relation to perform high voltage field switching to a given schedul</w:t>
            </w:r>
            <w:r w:rsidRPr="002E725B">
              <w:t>e.</w:t>
            </w:r>
          </w:p>
        </w:tc>
      </w:tr>
      <w:tr w:rsidTr="00C474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9</w:t>
            </w:r>
            <w:r w:rsidRPr="002E725B">
              <w:t>.</w:t>
            </w:r>
            <w:r w:rsidRPr="002E725B">
              <w:rPr>
                <w:rStyle w:val="SpecialBold"/>
              </w:rPr>
              <w:t>4</w:t>
            </w:r>
            <w:r w:rsidRPr="002E725B">
              <w:t xml:space="preserve">) </w:t>
            </w:r>
          </w:p>
          <w:p w:rsidR="00000000" w:rsidRPr="002E725B" w:rsidP="002E725B">
            <w:pPr>
              <w:pStyle w:val="BodyText"/>
            </w:pPr>
            <w:r w:rsidRPr="002E725B">
              <w:t>This unit shall be assessed by methods given in Volume 1, Part 3 'Assessment Guidelines'.</w:t>
            </w:r>
          </w:p>
          <w:p w:rsidR="00000000" w:rsidP="002E725B">
            <w:pPr>
              <w:pStyle w:val="BodyText"/>
              <w:rPr>
                <w:lang w:val="en-NZ"/>
              </w:rPr>
            </w:pPr>
            <w:r w:rsidRPr="002E725B">
              <w:t>Note:</w:t>
            </w:r>
            <w:r w:rsidRPr="002E725B">
              <w:br/>
            </w:r>
            <w:r w:rsidRPr="002E725B">
              <w:t>Competent performance with inherent safe working practices is expected in the industry to which this unit applies. This requires assessment in a structured environment which is primarily intended for learning/assessment and incorporates all necessary equip</w:t>
            </w:r>
            <w:r w:rsidRPr="002E725B">
              <w:t>ment and facilities for learners to develop and demonstrate the essential knowledge and skills described in this unit.</w:t>
            </w:r>
          </w:p>
        </w:tc>
      </w:tr>
      <w:tr w:rsidTr="00C4745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9</w:t>
            </w:r>
            <w:r w:rsidRPr="002E725B">
              <w:t>.</w:t>
            </w:r>
            <w:r w:rsidRPr="002E725B">
              <w:rPr>
                <w:rStyle w:val="SpecialBold"/>
              </w:rPr>
              <w:t>5</w:t>
            </w:r>
            <w:r w:rsidRPr="002E725B">
              <w:t>)</w:t>
            </w:r>
          </w:p>
        </w:tc>
      </w:tr>
      <w:tr w:rsidTr="00C474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There are no concurrent assessment recommendations for this unit.</w:t>
            </w:r>
          </w:p>
        </w:tc>
      </w:tr>
    </w:tbl>
    <w:p w:rsidR="00C47456" w:rsidP="002E725B">
      <w:pPr>
        <w:pStyle w:val="BodyText"/>
      </w:pPr>
    </w:p>
    <w:p w:rsidR="00C47456" w:rsidP="002E725B">
      <w:pPr>
        <w:pStyle w:val="BodyText"/>
      </w:pPr>
    </w:p>
    <w:p w:rsidR="00000000" w:rsidRPr="002E725B" w:rsidP="002E725B">
      <w:pPr>
        <w:pStyle w:val="Heading1"/>
      </w:pPr>
      <w:bookmarkStart w:id="11" w:name="O_255313"/>
      <w:bookmarkEnd w:id="11"/>
      <w:r w:rsidRPr="002E725B">
        <w:t>Range Statement</w:t>
      </w:r>
    </w:p>
    <w:tbl>
      <w:tblPr>
        <w:tblW w:w="0" w:type="auto"/>
        <w:tblLayout w:type="fixed"/>
        <w:tblCellMar>
          <w:left w:w="62" w:type="dxa"/>
          <w:right w:w="62" w:type="dxa"/>
        </w:tblCellMar>
        <w:tblLook w:val="0000"/>
      </w:tblPr>
      <w:tblGrid>
        <w:gridCol w:w="2340"/>
        <w:gridCol w:w="6120"/>
      </w:tblGrid>
      <w:tr w:rsidTr="00C4745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RANGE STATEMENT</w:t>
            </w:r>
          </w:p>
        </w:tc>
      </w:tr>
      <w:tr w:rsidTr="00C4745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8</w:t>
            </w:r>
            <w:r w:rsidRPr="002E725B">
              <w:t>) This relates to the unit as a whole providing the range of contexts and conditions to which the performance criteria apply. It allows for d</w:t>
            </w:r>
            <w:r w:rsidRPr="002E725B">
              <w:t>ifferent work environments and situations that will affect performance.</w:t>
            </w:r>
          </w:p>
        </w:tc>
      </w:tr>
      <w:tr w:rsidTr="00C4745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This unit shall/may be demonstrated in relation to the carrying out of high voltage switching operations involving the operation of circuit breaking and isolation devices from a give</w:t>
            </w:r>
            <w:r w:rsidRPr="002E725B">
              <w:t>n switching schedule.</w:t>
            </w:r>
          </w:p>
          <w:p w:rsidR="00000000" w:rsidRPr="002E725B" w:rsidP="002E725B">
            <w:pPr>
              <w:pStyle w:val="BodyText"/>
            </w:pPr>
            <w:r w:rsidRPr="002E725B">
              <w:t>Switching operations are confined to those performed in field situations, not in system control rooms or substations and may include electrical load transfer.</w:t>
            </w:r>
          </w:p>
          <w:p w:rsidR="00000000" w:rsidRPr="002E725B" w:rsidP="002E725B">
            <w:pPr>
              <w:pStyle w:val="BodyText"/>
            </w:pPr>
            <w:r w:rsidRPr="002E725B">
              <w:t>Switchgear includes reclosers, ring main units, circuit breakers, isolators</w:t>
            </w:r>
            <w:r w:rsidRPr="002E725B">
              <w:t>, earth switches, sectionalisers, HV links, air break switches, live line clamps, and fuses.</w:t>
            </w:r>
          </w:p>
          <w:p w:rsidR="00000000" w:rsidRPr="002E725B" w:rsidP="002E725B">
            <w:pPr>
              <w:pStyle w:val="BodyText"/>
            </w:pPr>
            <w:r w:rsidRPr="002E725B">
              <w:t>Specialist tools may include HV phasing sticks, HV link sticks, HV live-line clamp operating sticks, HV ground transformer isolating handles and associated earths,</w:t>
            </w:r>
            <w:r w:rsidRPr="002E725B">
              <w:t xml:space="preserve"> HV overhead operating earths and HV detectors.</w:t>
            </w:r>
          </w:p>
          <w:p w:rsidR="00000000" w:rsidRPr="002E725B" w:rsidP="002E725B">
            <w:pPr>
              <w:pStyle w:val="BodyText"/>
            </w:pPr>
            <w:r w:rsidRPr="002E725B">
              <w:t xml:space="preserve">Switching program/schedule including necessary detail, e.g. structure, switch or equipment number; locations; HV feeder; outage times; works plan/order. </w:t>
            </w:r>
          </w:p>
          <w:p w:rsidR="00000000" w:rsidP="002E725B">
            <w:pPr>
              <w:pStyle w:val="BodyText"/>
              <w:rPr>
                <w:lang w:val="en-NZ"/>
              </w:rPr>
            </w:pPr>
            <w:r w:rsidRPr="002E725B">
              <w:t xml:space="preserve">The following constants and variables included in the </w:t>
            </w:r>
            <w:r w:rsidRPr="002E725B">
              <w:t>element/performance criteria in this unit are fully described in the Definitions Section 1 of this volume and form an integral part of the Range Statement of this unit:</w:t>
            </w:r>
          </w:p>
        </w:tc>
      </w:tr>
      <w:tr w:rsidTr="00C47456">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2E725B" w:rsidP="002E725B">
            <w:pPr>
              <w:pStyle w:val="ListBullet"/>
            </w:pPr>
            <w:r w:rsidRPr="002E725B">
              <w:t>Appropriate and relevant persons (see Personnel)</w:t>
            </w:r>
          </w:p>
          <w:p w:rsidR="00000000" w:rsidRPr="002E725B" w:rsidP="002E725B">
            <w:pPr>
              <w:pStyle w:val="ListBullet"/>
            </w:pPr>
            <w:r w:rsidRPr="002E725B">
              <w:t xml:space="preserve">Appropriate authorities </w:t>
            </w:r>
          </w:p>
          <w:p w:rsidR="00000000" w:rsidRPr="002E725B" w:rsidP="002E725B">
            <w:pPr>
              <w:pStyle w:val="ListBullet"/>
            </w:pPr>
            <w:r w:rsidRPr="002E725B">
              <w:t>Approp</w:t>
            </w:r>
            <w:r w:rsidRPr="002E725B">
              <w:t>riate work platform</w:t>
            </w:r>
          </w:p>
          <w:p w:rsidR="00000000" w:rsidRPr="002E725B" w:rsidP="002E725B">
            <w:pPr>
              <w:pStyle w:val="ListBullet"/>
            </w:pPr>
            <w:r w:rsidRPr="002E725B">
              <w:t>Assessing risk</w:t>
            </w:r>
          </w:p>
          <w:p w:rsidR="00000000" w:rsidRPr="002E725B" w:rsidP="002E725B">
            <w:pPr>
              <w:pStyle w:val="ListBullet"/>
            </w:pPr>
            <w:r w:rsidRPr="002E725B">
              <w:t>Assessment</w:t>
            </w:r>
          </w:p>
          <w:p w:rsidR="00000000" w:rsidRPr="002E725B" w:rsidP="002E725B">
            <w:pPr>
              <w:pStyle w:val="ListBullet"/>
            </w:pPr>
            <w:r w:rsidRPr="002E725B">
              <w:t xml:space="preserve">Authorisation </w:t>
            </w:r>
          </w:p>
          <w:p w:rsidR="00000000" w:rsidRPr="002E725B" w:rsidP="002E725B">
            <w:pPr>
              <w:pStyle w:val="ListBullet"/>
            </w:pPr>
            <w:r w:rsidRPr="002E725B">
              <w:t>Confined space</w:t>
            </w:r>
          </w:p>
          <w:p w:rsidR="00000000" w:rsidRPr="002E725B" w:rsidP="002E725B">
            <w:pPr>
              <w:pStyle w:val="ListBullet"/>
            </w:pPr>
            <w:r w:rsidRPr="002E725B">
              <w:t>Diagnostic, testing and restoration</w:t>
            </w:r>
          </w:p>
          <w:p w:rsidR="00000000" w:rsidRPr="002E725B" w:rsidP="002E725B">
            <w:pPr>
              <w:pStyle w:val="ListBullet"/>
            </w:pPr>
            <w:r w:rsidRPr="002E725B">
              <w:t>Documenting detail work events, record keeping and or storage of information</w:t>
            </w:r>
          </w:p>
          <w:p w:rsidR="00000000" w:rsidRPr="002E725B" w:rsidP="002E725B">
            <w:pPr>
              <w:pStyle w:val="ListBullet"/>
            </w:pPr>
            <w:r w:rsidRPr="002E725B">
              <w:t xml:space="preserve">Drawings and specifications </w:t>
            </w:r>
          </w:p>
          <w:p w:rsidR="00000000" w:rsidRPr="002E725B" w:rsidP="002E725B">
            <w:pPr>
              <w:pStyle w:val="ListBullet"/>
            </w:pPr>
            <w:r w:rsidRPr="002E725B">
              <w:t>Emergency</w:t>
            </w:r>
          </w:p>
          <w:p w:rsidR="00000000" w:rsidRPr="002E725B" w:rsidP="002E725B">
            <w:pPr>
              <w:pStyle w:val="ListBullet"/>
            </w:pPr>
            <w:r w:rsidRPr="002E725B">
              <w:t>Environmental and Sustainabl</w:t>
            </w:r>
            <w:r w:rsidRPr="002E725B">
              <w:t>e Energy Procedures</w:t>
            </w:r>
          </w:p>
          <w:p w:rsidR="00000000" w:rsidRPr="002E725B" w:rsidP="002E725B">
            <w:pPr>
              <w:pStyle w:val="ListBullet"/>
            </w:pPr>
            <w:r w:rsidRPr="002E725B">
              <w:t>Environmental legislation</w:t>
            </w:r>
          </w:p>
          <w:p w:rsidR="00000000" w:rsidRPr="002E725B" w:rsidP="002E725B">
            <w:pPr>
              <w:pStyle w:val="ListBullet"/>
            </w:pPr>
            <w:r w:rsidRPr="002E725B">
              <w:t>Environmental management documentation</w:t>
            </w:r>
          </w:p>
          <w:p w:rsidR="00000000" w:rsidRPr="002E725B" w:rsidP="002E725B">
            <w:pPr>
              <w:pStyle w:val="ListBullet"/>
            </w:pPr>
            <w:r w:rsidRPr="002E725B">
              <w:t>Established procedures</w:t>
            </w:r>
          </w:p>
          <w:p w:rsidR="00000000" w:rsidRPr="002E725B" w:rsidP="002E725B">
            <w:pPr>
              <w:pStyle w:val="ListBullet"/>
            </w:pPr>
            <w:r w:rsidRPr="002E725B">
              <w:t>Fall prevention</w:t>
            </w:r>
          </w:p>
          <w:p w:rsidR="00000000" w:rsidRPr="002E725B" w:rsidP="002E725B">
            <w:pPr>
              <w:pStyle w:val="ListBullet"/>
            </w:pPr>
            <w:r w:rsidRPr="002E725B">
              <w:t>Hazards</w:t>
            </w:r>
          </w:p>
          <w:p w:rsidR="00000000" w:rsidRPr="002E725B" w:rsidP="002E725B">
            <w:pPr>
              <w:pStyle w:val="ListBullet"/>
            </w:pPr>
            <w:r w:rsidRPr="002E725B">
              <w:t>Identifying hazards</w:t>
            </w:r>
          </w:p>
          <w:p w:rsidR="00000000" w:rsidRPr="002E725B" w:rsidP="002E725B">
            <w:pPr>
              <w:pStyle w:val="ListBullet"/>
            </w:pPr>
            <w:r w:rsidRPr="002E725B">
              <w:t>Inspect</w:t>
            </w:r>
          </w:p>
          <w:p w:rsidR="00000000" w:rsidRPr="002E725B" w:rsidP="002E725B">
            <w:pPr>
              <w:pStyle w:val="ListBullet"/>
            </w:pPr>
            <w:r w:rsidRPr="002E725B">
              <w:t>Legislation</w:t>
            </w:r>
          </w:p>
          <w:p w:rsidR="00000000" w:rsidRPr="002E725B" w:rsidP="002E725B">
            <w:pPr>
              <w:pStyle w:val="ListBullet"/>
            </w:pPr>
            <w:r w:rsidRPr="002E725B">
              <w:t>MSDS</w:t>
            </w:r>
          </w:p>
          <w:p w:rsidR="00000000" w:rsidRPr="002E725B" w:rsidP="002E725B">
            <w:pPr>
              <w:pStyle w:val="ListBullet"/>
            </w:pPr>
            <w:r w:rsidRPr="002E725B">
              <w:t>Notification</w:t>
            </w:r>
          </w:p>
          <w:p w:rsidR="00000000" w:rsidRPr="002E725B" w:rsidP="002E725B">
            <w:pPr>
              <w:pStyle w:val="ListBullet"/>
            </w:pPr>
            <w:r w:rsidRPr="002E725B">
              <w:t>OHS practices</w:t>
            </w:r>
          </w:p>
          <w:p w:rsidR="00000000" w:rsidRPr="002E725B" w:rsidP="002E725B">
            <w:pPr>
              <w:pStyle w:val="ListBullet"/>
            </w:pPr>
            <w:r w:rsidRPr="002E725B">
              <w:t>OHS issues</w:t>
            </w:r>
          </w:p>
          <w:p w:rsidR="00000000" w:rsidRPr="002E725B" w:rsidP="002E725B">
            <w:pPr>
              <w:pStyle w:val="ListBullet"/>
            </w:pPr>
            <w:r w:rsidRPr="002E725B">
              <w:t>Permits and / or permits to work</w:t>
            </w:r>
          </w:p>
          <w:p w:rsidR="00000000" w:rsidRPr="002E725B" w:rsidP="002E725B">
            <w:pPr>
              <w:pStyle w:val="ListBullet"/>
            </w:pPr>
            <w:r w:rsidRPr="002E725B">
              <w:t>Personnel</w:t>
            </w:r>
          </w:p>
          <w:p w:rsidR="00000000" w:rsidRPr="002E725B" w:rsidP="002E725B">
            <w:pPr>
              <w:pStyle w:val="ListBullet"/>
            </w:pPr>
            <w:r w:rsidRPr="002E725B">
              <w:t>Quality assurance systems</w:t>
            </w:r>
          </w:p>
          <w:p w:rsidR="00000000" w:rsidRPr="002E725B" w:rsidP="002E725B">
            <w:pPr>
              <w:pStyle w:val="ListBullet"/>
            </w:pPr>
            <w:r w:rsidRPr="002E725B">
              <w:t>Requirements</w:t>
            </w:r>
          </w:p>
          <w:p w:rsidR="00000000" w:rsidRPr="002E725B" w:rsidP="002E725B">
            <w:pPr>
              <w:pStyle w:val="ListBullet"/>
            </w:pPr>
            <w:r w:rsidRPr="002E725B">
              <w:t>Testing procedures</w:t>
            </w:r>
          </w:p>
          <w:p w:rsidR="00000000" w:rsidP="002E725B">
            <w:pPr>
              <w:pStyle w:val="ListBullet"/>
              <w:rPr>
                <w:lang w:val="en-NZ"/>
              </w:rPr>
            </w:pPr>
            <w:r w:rsidRPr="002E725B">
              <w:t>Work clearance systems</w:t>
            </w:r>
          </w:p>
        </w:tc>
      </w:tr>
      <w:tr w:rsidTr="00C4745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Generic terms used throughout  this Vocational Standard shall be regarded as part of the Range Statement in which competency is demonstrated. The definition of thes</w:t>
            </w:r>
            <w:r w:rsidRPr="002E725B">
              <w:t>e and other terms that apply are given in Volume 2, Part 2.1.</w:t>
            </w:r>
          </w:p>
        </w:tc>
      </w:tr>
    </w:tbl>
    <w:p w:rsidR="00C47456" w:rsidP="002E725B">
      <w:pPr>
        <w:pStyle w:val="BodyText"/>
      </w:pPr>
    </w:p>
    <w:p w:rsidR="00C47456" w:rsidP="002E725B">
      <w:pPr>
        <w:pStyle w:val="BodyText"/>
      </w:pPr>
    </w:p>
    <w:p w:rsidR="00000000" w:rsidRPr="002E725B" w:rsidP="002E725B">
      <w:pPr>
        <w:pStyle w:val="Heading1"/>
      </w:pPr>
      <w:bookmarkStart w:id="12" w:name="O_296326"/>
      <w:bookmarkEnd w:id="12"/>
      <w:r w:rsidRPr="002E725B">
        <w:t>Unit Sector(s)</w:t>
      </w:r>
    </w:p>
    <w:p w:rsidR="00000000" w:rsidRPr="002E725B" w:rsidP="002E725B">
      <w:pPr>
        <w:pStyle w:val="BodyText"/>
      </w:pPr>
      <w:r w:rsidRPr="002E725B">
        <w:t>Not Applicable</w:t>
      </w:r>
    </w:p>
    <w:p w:rsidR="00000000" w:rsidRPr="002E725B" w:rsidP="002E725B">
      <w:pPr>
        <w:pStyle w:val="AllowPageBreak"/>
      </w:pPr>
    </w:p>
    <w:p w:rsidR="00000000" w:rsidRPr="002E725B" w:rsidP="002E725B">
      <w:pPr>
        <w:pStyle w:val="Heading1"/>
      </w:pPr>
      <w:bookmarkStart w:id="13" w:name="O_226193"/>
      <w:bookmarkEnd w:id="13"/>
      <w:r w:rsidRPr="002E725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4745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2</w:t>
            </w:r>
            <w:r w:rsidRPr="002E725B">
              <w:t>.</w:t>
            </w:r>
            <w:r w:rsidRPr="002E725B">
              <w:rPr>
                <w:rStyle w:val="SpecialBold"/>
              </w:rPr>
              <w:t>2</w:t>
            </w:r>
            <w:r w:rsidRPr="002E725B">
              <w:t xml:space="preserve">) </w:t>
            </w:r>
            <w:r w:rsidRPr="002E725B">
              <w:rPr>
                <w:rStyle w:val="SpecialBold"/>
              </w:rPr>
              <w:t>Literacy and numeracy skills</w:t>
            </w:r>
          </w:p>
          <w:p w:rsidR="00000000" w:rsidP="002E725B">
            <w:pPr>
              <w:pStyle w:val="BodyText"/>
              <w:rPr>
                <w:lang w:val="en-NZ"/>
              </w:rPr>
            </w:pPr>
            <w:r w:rsidRPr="002E725B">
              <w:t>Participants are best equipped to achieve competency in this unit if they have reading, writing and numeracy skills indicated by the following scales. Description of each scale is given in Volume 2, Part 3 'Literacy and Numeracy'</w:t>
            </w:r>
          </w:p>
        </w:tc>
      </w:tr>
      <w:tr w:rsidTr="00C4745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Reading</w:t>
            </w:r>
          </w:p>
        </w:tc>
        <w:tc>
          <w:tcPr>
            <w:tcW w:w="1182"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5</w:t>
            </w:r>
          </w:p>
        </w:tc>
        <w:tc>
          <w:tcPr>
            <w:tcW w:w="1739"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Writing</w:t>
            </w:r>
          </w:p>
        </w:tc>
        <w:tc>
          <w:tcPr>
            <w:tcW w:w="1182"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5</w:t>
            </w:r>
          </w:p>
        </w:tc>
        <w:tc>
          <w:tcPr>
            <w:tcW w:w="1721"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t>Numeracy</w:t>
            </w:r>
          </w:p>
        </w:tc>
        <w:tc>
          <w:tcPr>
            <w:tcW w:w="1182"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5</w:t>
            </w:r>
          </w:p>
        </w:tc>
      </w:tr>
    </w:tbl>
    <w:p w:rsidR="00C47456" w:rsidP="002E725B">
      <w:pPr>
        <w:pStyle w:val="BodyText"/>
      </w:pPr>
    </w:p>
    <w:p w:rsidR="00C47456" w:rsidP="002E725B">
      <w:pPr>
        <w:pStyle w:val="BodyText"/>
      </w:pPr>
    </w:p>
    <w:p w:rsidR="00000000" w:rsidRPr="002E725B" w:rsidP="002E725B">
      <w:pPr>
        <w:pStyle w:val="Heading1"/>
      </w:pPr>
      <w:bookmarkStart w:id="14" w:name="O_226196"/>
      <w:bookmarkEnd w:id="14"/>
      <w:r w:rsidRPr="002E725B">
        <w:t>Custom Content Section</w:t>
      </w:r>
    </w:p>
    <w:tbl>
      <w:tblPr>
        <w:tblW w:w="0" w:type="auto"/>
        <w:tblLayout w:type="fixed"/>
        <w:tblCellMar>
          <w:left w:w="62" w:type="dxa"/>
          <w:right w:w="62" w:type="dxa"/>
        </w:tblCellMar>
        <w:tblLook w:val="0000"/>
      </w:tblPr>
      <w:tblGrid>
        <w:gridCol w:w="2700"/>
        <w:gridCol w:w="5760"/>
      </w:tblGrid>
      <w:tr w:rsidTr="00C474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E725B">
            <w:pPr>
              <w:pStyle w:val="BodyText"/>
              <w:rPr>
                <w:lang w:val="en-NZ"/>
              </w:rPr>
            </w:pPr>
            <w:r w:rsidRPr="002E725B">
              <w:rPr>
                <w:rStyle w:val="SpecialBold"/>
              </w:rPr>
              <w:t>5</w:t>
            </w:r>
            <w:r w:rsidRPr="002E725B">
              <w:t>)</w:t>
            </w:r>
          </w:p>
        </w:tc>
      </w:tr>
      <w:tr w:rsidTr="00C474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725B" w:rsidP="002E725B">
            <w:pPr>
              <w:pStyle w:val="BodyText"/>
            </w:pPr>
            <w:r w:rsidRPr="002E725B">
              <w:t>Electrical</w:t>
            </w:r>
          </w:p>
        </w:tc>
      </w:tr>
    </w:tbl>
    <w:p w:rsidR="00C47456" w:rsidP="002E725B">
      <w:pPr>
        <w:pStyle w:val="BodyText"/>
      </w:pPr>
    </w:p>
    <w:p w:rsidR="00C47456" w:rsidP="002E725B">
      <w:pPr>
        <w:pStyle w:val="BodyText"/>
      </w:pPr>
    </w:p>
    <w:p w:rsidR="00000000" w:rsidRPr="002E725B" w:rsidP="002E725B"/>
    <w:sectPr w:rsidSect="002E72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456" w:rsidP="00C47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56" w:rsidP="002E7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47456" w:rsidP="002E72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47456" w:rsidP="002E72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456" w:rsidP="00C474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56" w:rsidP="002E725B">
    <w:pPr>
      <w:pStyle w:val="Header"/>
      <w:framePr w:wrap="around"/>
    </w:pPr>
    <w:r>
      <w:fldChar w:fldCharType="begin"/>
    </w:r>
    <w:r>
      <w:instrText xml:space="preserve"> TITLE   \* MERGEFORMAT </w:instrText>
    </w:r>
    <w:r>
      <w:fldChar w:fldCharType="separate"/>
    </w:r>
    <w:r>
      <w:t>UEENEEG034B Perform high voltage field switching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7456" w:rsidP="002E72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62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18A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AC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2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725B"/>
    <w:pPr>
      <w:spacing w:before="360" w:after="60"/>
      <w:outlineLvl w:val="0"/>
    </w:pPr>
    <w:rPr>
      <w:sz w:val="32"/>
    </w:rPr>
  </w:style>
  <w:style w:type="paragraph" w:styleId="Heading2">
    <w:name w:val="heading 2"/>
    <w:basedOn w:val="HeadingBase"/>
    <w:next w:val="BodyText"/>
    <w:link w:val="Heading2Char"/>
    <w:qFormat/>
    <w:rsid w:val="002E725B"/>
    <w:pPr>
      <w:keepLines/>
      <w:spacing w:before="240" w:after="120"/>
      <w:outlineLvl w:val="1"/>
    </w:pPr>
    <w:rPr>
      <w:sz w:val="28"/>
      <w:szCs w:val="40"/>
    </w:rPr>
  </w:style>
  <w:style w:type="paragraph" w:styleId="Heading3">
    <w:name w:val="heading 3"/>
    <w:basedOn w:val="HeadingBase"/>
    <w:next w:val="BodyText"/>
    <w:link w:val="Heading3Char"/>
    <w:qFormat/>
    <w:rsid w:val="002E725B"/>
    <w:pPr>
      <w:spacing w:before="180" w:after="120"/>
      <w:outlineLvl w:val="2"/>
    </w:pPr>
    <w:rPr>
      <w:spacing w:val="-10"/>
      <w:kern w:val="32"/>
    </w:rPr>
  </w:style>
  <w:style w:type="paragraph" w:styleId="Heading4">
    <w:name w:val="heading 4"/>
    <w:basedOn w:val="HeadingBase"/>
    <w:next w:val="BodyText"/>
    <w:link w:val="Heading4Char"/>
    <w:qFormat/>
    <w:rsid w:val="002E725B"/>
    <w:pPr>
      <w:spacing w:before="160" w:after="120"/>
      <w:outlineLvl w:val="3"/>
    </w:pPr>
    <w:rPr>
      <w:sz w:val="22"/>
    </w:rPr>
  </w:style>
  <w:style w:type="paragraph" w:styleId="Heading5">
    <w:name w:val="heading 5"/>
    <w:basedOn w:val="HeadingBase"/>
    <w:next w:val="Normal"/>
    <w:link w:val="Heading5Char"/>
    <w:qFormat/>
    <w:rsid w:val="002E725B"/>
    <w:pPr>
      <w:spacing w:before="80"/>
      <w:outlineLvl w:val="4"/>
    </w:pPr>
    <w:rPr>
      <w:color w:val="918585"/>
      <w:sz w:val="20"/>
    </w:rPr>
  </w:style>
  <w:style w:type="paragraph" w:styleId="Heading6">
    <w:name w:val="heading 6"/>
    <w:basedOn w:val="HeadingBase"/>
    <w:next w:val="Normal"/>
    <w:link w:val="Heading6Char"/>
    <w:qFormat/>
    <w:rsid w:val="002E725B"/>
    <w:pPr>
      <w:spacing w:before="60"/>
      <w:outlineLvl w:val="5"/>
    </w:pPr>
    <w:rPr>
      <w:color w:val="918585"/>
      <w:sz w:val="20"/>
    </w:rPr>
  </w:style>
  <w:style w:type="paragraph" w:styleId="Heading7">
    <w:name w:val="heading 7"/>
    <w:basedOn w:val="Normal"/>
    <w:next w:val="Normal"/>
    <w:link w:val="Heading7Char"/>
    <w:qFormat/>
    <w:rsid w:val="002E725B"/>
    <w:pPr>
      <w:ind w:left="720"/>
      <w:outlineLvl w:val="6"/>
    </w:pPr>
    <w:rPr>
      <w:i/>
    </w:rPr>
  </w:style>
  <w:style w:type="paragraph" w:styleId="Heading8">
    <w:name w:val="heading 8"/>
    <w:basedOn w:val="Normal"/>
    <w:next w:val="Normal"/>
    <w:link w:val="Heading8Char"/>
    <w:qFormat/>
    <w:rsid w:val="002E725B"/>
    <w:pPr>
      <w:ind w:left="720"/>
      <w:outlineLvl w:val="7"/>
    </w:pPr>
    <w:rPr>
      <w:i/>
    </w:rPr>
  </w:style>
  <w:style w:type="paragraph" w:styleId="Heading9">
    <w:name w:val="heading 9"/>
    <w:basedOn w:val="Normal"/>
    <w:next w:val="Normal"/>
    <w:link w:val="Heading9Char"/>
    <w:qFormat/>
    <w:rsid w:val="002E725B"/>
    <w:pPr>
      <w:ind w:left="720"/>
      <w:outlineLvl w:val="8"/>
    </w:pPr>
    <w:rPr>
      <w:i/>
    </w:rPr>
  </w:style>
  <w:style w:type="character" w:default="1" w:styleId="DefaultParagraphFont">
    <w:name w:val="Default Paragraph Font"/>
    <w:uiPriority w:val="1"/>
    <w:unhideWhenUsed/>
    <w:rsid w:val="002E7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25B"/>
  </w:style>
  <w:style w:type="character" w:customStyle="1" w:styleId="Heading1Char">
    <w:name w:val="Heading 1 Char"/>
    <w:basedOn w:val="DefaultParagraphFont"/>
    <w:link w:val="Heading1"/>
    <w:rsid w:val="002E725B"/>
    <w:rPr>
      <w:rFonts w:ascii="Times New Roman" w:eastAsia="Times New Roman" w:hAnsi="Times New Roman" w:cs="Times New Roman"/>
      <w:b/>
      <w:sz w:val="32"/>
      <w:szCs w:val="20"/>
      <w:lang w:eastAsia="en-US"/>
    </w:rPr>
  </w:style>
  <w:style w:type="paragraph" w:styleId="BodyText">
    <w:name w:val="Body Text"/>
    <w:basedOn w:val="Normal"/>
    <w:link w:val="BodyTextChar"/>
    <w:rsid w:val="002E72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725B"/>
    <w:rPr>
      <w:rFonts w:ascii="Times New Roman" w:eastAsia="Times New Roman" w:hAnsi="Times New Roman" w:cs="Times New Roman"/>
      <w:sz w:val="24"/>
      <w:lang w:val="en-US" w:eastAsia="en-US"/>
    </w:rPr>
  </w:style>
  <w:style w:type="paragraph" w:styleId="Footer">
    <w:name w:val="footer"/>
    <w:basedOn w:val="Normal"/>
    <w:link w:val="FooterChar"/>
    <w:rsid w:val="002E7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25B"/>
    <w:rPr>
      <w:rFonts w:ascii="Times New Roman" w:eastAsia="Times New Roman" w:hAnsi="Times New Roman" w:cs="Times New Roman"/>
      <w:sz w:val="16"/>
      <w:lang w:val="en-US" w:eastAsia="en-US"/>
    </w:rPr>
  </w:style>
  <w:style w:type="paragraph" w:styleId="ListBullet">
    <w:name w:val="List Bullet"/>
    <w:basedOn w:val="List"/>
    <w:rsid w:val="002E725B"/>
    <w:pPr>
      <w:numPr>
        <w:numId w:val="13"/>
      </w:numPr>
      <w:tabs>
        <w:tab w:val="clear" w:pos="340"/>
      </w:tabs>
      <w:spacing w:before="40" w:after="40"/>
    </w:pPr>
  </w:style>
  <w:style w:type="character" w:customStyle="1" w:styleId="SpecialBold">
    <w:name w:val="Special Bold"/>
    <w:basedOn w:val="DefaultParagraphFont"/>
    <w:rsid w:val="002E725B"/>
    <w:rPr>
      <w:b/>
      <w:spacing w:val="0"/>
    </w:rPr>
  </w:style>
  <w:style w:type="paragraph" w:styleId="ListBullet2">
    <w:name w:val="List Bullet 2"/>
    <w:basedOn w:val="List2"/>
    <w:rsid w:val="002E725B"/>
    <w:pPr>
      <w:numPr>
        <w:numId w:val="14"/>
      </w:numPr>
      <w:tabs>
        <w:tab w:val="clear" w:pos="680"/>
      </w:tabs>
    </w:pPr>
  </w:style>
  <w:style w:type="paragraph" w:styleId="Header">
    <w:name w:val="header"/>
    <w:basedOn w:val="Normal"/>
    <w:link w:val="HeaderChar"/>
    <w:rsid w:val="002E7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2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725B"/>
    <w:pPr>
      <w:spacing w:before="240" w:after="120"/>
      <w:outlineLvl w:val="0"/>
    </w:pPr>
    <w:rPr>
      <w:rFonts w:ascii="Times New Roman" w:hAnsi="Times New Roman"/>
      <w:b/>
      <w:sz w:val="28"/>
    </w:rPr>
  </w:style>
  <w:style w:type="paragraph" w:customStyle="1" w:styleId="AllowPageBreak">
    <w:name w:val="AllowPageBreak"/>
    <w:rsid w:val="002E7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2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72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725B"/>
    <w:rPr>
      <w:rFonts w:ascii="Courier New" w:eastAsia="Times New Roman" w:hAnsi="Courier New" w:cs="Times New Roman"/>
      <w:i/>
      <w:szCs w:val="20"/>
      <w:lang w:val="en-US" w:eastAsia="en-US"/>
    </w:rPr>
  </w:style>
  <w:style w:type="paragraph" w:customStyle="1" w:styleId="HeadingBase">
    <w:name w:val="Heading Base"/>
    <w:rsid w:val="002E7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25B"/>
    <w:pPr>
      <w:tabs>
        <w:tab w:val="right" w:leader="dot" w:pos="9072"/>
      </w:tabs>
      <w:ind w:left="567"/>
    </w:pPr>
    <w:rPr>
      <w:szCs w:val="22"/>
    </w:rPr>
  </w:style>
  <w:style w:type="paragraph" w:customStyle="1" w:styleId="TOCBase">
    <w:name w:val="TOC Base"/>
    <w:rsid w:val="002E7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25B"/>
    <w:pPr>
      <w:tabs>
        <w:tab w:val="right" w:leader="dot" w:pos="9072"/>
      </w:tabs>
      <w:spacing w:before="40" w:after="40"/>
      <w:ind w:left="284"/>
    </w:pPr>
    <w:rPr>
      <w:rFonts w:ascii="Times New Roman" w:hAnsi="Times New Roman"/>
    </w:rPr>
  </w:style>
  <w:style w:type="paragraph" w:styleId="TOC1">
    <w:name w:val="toc 1"/>
    <w:basedOn w:val="TOCBase"/>
    <w:next w:val="Normal"/>
    <w:rsid w:val="002E72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725B"/>
    <w:pPr>
      <w:spacing w:before="5040"/>
      <w:jc w:val="center"/>
    </w:pPr>
    <w:rPr>
      <w:sz w:val="48"/>
      <w:szCs w:val="72"/>
      <w:lang w:val="en-US"/>
    </w:rPr>
  </w:style>
  <w:style w:type="character" w:customStyle="1" w:styleId="TitleChar">
    <w:name w:val="Title Char"/>
    <w:basedOn w:val="DefaultParagraphFont"/>
    <w:link w:val="Title"/>
    <w:rsid w:val="002E7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25B"/>
    <w:pPr>
      <w:tabs>
        <w:tab w:val="left" w:pos="3600"/>
        <w:tab w:val="left" w:pos="3958"/>
      </w:tabs>
    </w:pPr>
  </w:style>
  <w:style w:type="paragraph" w:styleId="List">
    <w:name w:val="List"/>
    <w:basedOn w:val="BodyText"/>
    <w:next w:val="BodyText"/>
    <w:rsid w:val="002E725B"/>
    <w:pPr>
      <w:tabs>
        <w:tab w:val="left" w:pos="340"/>
      </w:tabs>
      <w:spacing w:before="60" w:after="60"/>
      <w:ind w:left="340" w:hanging="340"/>
    </w:pPr>
  </w:style>
  <w:style w:type="paragraph" w:customStyle="1" w:styleId="Note">
    <w:name w:val="Note"/>
    <w:basedOn w:val="BodyText"/>
    <w:rsid w:val="002E7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25B"/>
    <w:pPr>
      <w:framePr w:wrap="auto" w:hAnchor="text" w:y="6049"/>
    </w:pPr>
    <w:rPr>
      <w:color w:val="000000"/>
      <w:sz w:val="40"/>
    </w:rPr>
  </w:style>
  <w:style w:type="paragraph" w:customStyle="1" w:styleId="TOCTitle">
    <w:name w:val="TOCTitle"/>
    <w:basedOn w:val="Heading1"/>
    <w:rsid w:val="002E725B"/>
    <w:pPr>
      <w:spacing w:after="240"/>
      <w:jc w:val="center"/>
      <w:outlineLvl w:val="9"/>
    </w:pPr>
    <w:rPr>
      <w:caps/>
    </w:rPr>
  </w:style>
  <w:style w:type="paragraph" w:customStyle="1" w:styleId="Version">
    <w:name w:val="Version"/>
    <w:rsid w:val="002E7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25B"/>
    <w:pPr>
      <w:keepNext w:val="0"/>
      <w:tabs>
        <w:tab w:val="right" w:pos="4176"/>
      </w:tabs>
      <w:ind w:left="198" w:hanging="198"/>
    </w:pPr>
    <w:rPr>
      <w:rFonts w:ascii="Garamond" w:hAnsi="Garamond"/>
    </w:rPr>
  </w:style>
  <w:style w:type="paragraph" w:styleId="IndexHeading">
    <w:name w:val="index heading"/>
    <w:basedOn w:val="Normal"/>
    <w:next w:val="Index1"/>
    <w:semiHidden/>
    <w:rsid w:val="002E725B"/>
    <w:pPr>
      <w:spacing w:before="120" w:after="120"/>
    </w:pPr>
    <w:rPr>
      <w:rFonts w:ascii="Arial" w:hAnsi="Arial"/>
      <w:b/>
      <w:color w:val="918585"/>
      <w:sz w:val="24"/>
    </w:rPr>
  </w:style>
  <w:style w:type="paragraph" w:customStyle="1" w:styleId="Chapter">
    <w:name w:val="Chapter"/>
    <w:basedOn w:val="Normal"/>
    <w:rsid w:val="002E725B"/>
    <w:pPr>
      <w:spacing w:before="240"/>
    </w:pPr>
    <w:rPr>
      <w:rFonts w:ascii="Times New Roman" w:hAnsi="Times New Roman"/>
      <w:smallCaps/>
      <w:spacing w:val="80"/>
      <w:sz w:val="28"/>
    </w:rPr>
  </w:style>
  <w:style w:type="paragraph" w:customStyle="1" w:styleId="InChapter">
    <w:name w:val="InChapter"/>
    <w:basedOn w:val="Heading3"/>
    <w:rsid w:val="002E725B"/>
    <w:pPr>
      <w:spacing w:after="240"/>
      <w:outlineLvl w:val="9"/>
    </w:pPr>
    <w:rPr>
      <w:noProof/>
    </w:rPr>
  </w:style>
  <w:style w:type="paragraph" w:styleId="Index2">
    <w:name w:val="index 2"/>
    <w:basedOn w:val="Normal"/>
    <w:next w:val="Normal"/>
    <w:semiHidden/>
    <w:rsid w:val="002E725B"/>
    <w:pPr>
      <w:tabs>
        <w:tab w:val="right" w:pos="4176"/>
      </w:tabs>
      <w:ind w:left="568" w:hanging="284"/>
    </w:pPr>
    <w:rPr>
      <w:rFonts w:ascii="Garamond" w:hAnsi="Garamond"/>
    </w:rPr>
  </w:style>
  <w:style w:type="paragraph" w:customStyle="1" w:styleId="Byline">
    <w:name w:val="Byline"/>
    <w:rsid w:val="002E7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25B"/>
    <w:pPr>
      <w:tabs>
        <w:tab w:val="clear" w:pos="3600"/>
        <w:tab w:val="clear" w:pos="3958"/>
      </w:tabs>
      <w:jc w:val="right"/>
    </w:pPr>
  </w:style>
  <w:style w:type="character" w:styleId="Emphasis">
    <w:name w:val="Emphasis"/>
    <w:basedOn w:val="DefaultParagraphFont"/>
    <w:qFormat/>
    <w:rsid w:val="002E725B"/>
    <w:rPr>
      <w:i/>
    </w:rPr>
  </w:style>
  <w:style w:type="paragraph" w:styleId="Caption">
    <w:name w:val="caption"/>
    <w:basedOn w:val="BodyText"/>
    <w:next w:val="Normal"/>
    <w:qFormat/>
    <w:rsid w:val="002E725B"/>
    <w:pPr>
      <w:framePr w:w="2268" w:hSpace="181" w:vSpace="181" w:wrap="around" w:vAnchor="text" w:hAnchor="page" w:x="1135" w:y="285" w:anchorLock="1"/>
    </w:pPr>
    <w:rPr>
      <w:i/>
    </w:rPr>
  </w:style>
  <w:style w:type="paragraph" w:customStyle="1" w:styleId="MiniTOCTitle">
    <w:name w:val="MiniTOCTitle"/>
    <w:basedOn w:val="Heading4"/>
    <w:rsid w:val="002E725B"/>
    <w:pPr>
      <w:spacing w:before="240"/>
      <w:outlineLvl w:val="9"/>
    </w:pPr>
    <w:rPr>
      <w:noProof/>
      <w:sz w:val="24"/>
    </w:rPr>
  </w:style>
  <w:style w:type="paragraph" w:customStyle="1" w:styleId="MiniTOCItem">
    <w:name w:val="MiniTOCItem"/>
    <w:basedOn w:val="ListBullet"/>
    <w:rsid w:val="002E725B"/>
    <w:pPr>
      <w:numPr>
        <w:numId w:val="0"/>
      </w:numPr>
      <w:tabs>
        <w:tab w:val="right" w:leader="dot" w:pos="6521"/>
      </w:tabs>
      <w:spacing w:before="0" w:after="0"/>
    </w:pPr>
  </w:style>
  <w:style w:type="paragraph" w:customStyle="1" w:styleId="TOFTitle">
    <w:name w:val="TOFTitle"/>
    <w:basedOn w:val="TOCTitle"/>
    <w:rsid w:val="002E725B"/>
  </w:style>
  <w:style w:type="paragraph" w:styleId="TableofFigures">
    <w:name w:val="table of figures"/>
    <w:basedOn w:val="Normal"/>
    <w:next w:val="Normal"/>
    <w:semiHidden/>
    <w:rsid w:val="002E725B"/>
    <w:pPr>
      <w:tabs>
        <w:tab w:val="right" w:leader="dot" w:pos="9072"/>
      </w:tabs>
      <w:ind w:left="970" w:hanging="403"/>
    </w:pPr>
    <w:rPr>
      <w:rFonts w:ascii="Times New Roman" w:hAnsi="Times New Roman"/>
      <w:b/>
    </w:rPr>
  </w:style>
  <w:style w:type="paragraph" w:styleId="ListNumber">
    <w:name w:val="List Number"/>
    <w:basedOn w:val="List"/>
    <w:rsid w:val="002E725B"/>
    <w:pPr>
      <w:numPr>
        <w:numId w:val="11"/>
      </w:numPr>
    </w:pPr>
  </w:style>
  <w:style w:type="character" w:customStyle="1" w:styleId="WingdingSymbols">
    <w:name w:val="Wingding Symbols"/>
    <w:rsid w:val="002E725B"/>
    <w:rPr>
      <w:rFonts w:ascii="Wingdings" w:hAnsi="Wingdings"/>
    </w:rPr>
  </w:style>
  <w:style w:type="paragraph" w:customStyle="1" w:styleId="TableHeading">
    <w:name w:val="Table Heading"/>
    <w:basedOn w:val="HeadingBase"/>
    <w:rsid w:val="002E725B"/>
    <w:pPr>
      <w:keepLines/>
      <w:pBdr>
        <w:bottom w:val="single" w:sz="6" w:space="1" w:color="918585"/>
      </w:pBdr>
      <w:spacing w:before="240"/>
    </w:pPr>
  </w:style>
  <w:style w:type="character" w:customStyle="1" w:styleId="HotSpot">
    <w:name w:val="HotSpot"/>
    <w:rsid w:val="002E725B"/>
    <w:rPr>
      <w:color w:val="0033CC"/>
      <w:u w:val="none"/>
    </w:rPr>
  </w:style>
  <w:style w:type="paragraph" w:customStyle="1" w:styleId="BodyTextRight">
    <w:name w:val="Body Text Right"/>
    <w:basedOn w:val="BodyText"/>
    <w:rsid w:val="002E725B"/>
    <w:pPr>
      <w:spacing w:before="0" w:after="0"/>
      <w:jc w:val="right"/>
    </w:pPr>
  </w:style>
  <w:style w:type="paragraph" w:styleId="Index3">
    <w:name w:val="index 3"/>
    <w:basedOn w:val="ListNumber2"/>
    <w:next w:val="Normal"/>
    <w:semiHidden/>
    <w:rsid w:val="002E725B"/>
    <w:pPr>
      <w:numPr>
        <w:numId w:val="0"/>
      </w:numPr>
      <w:tabs>
        <w:tab w:val="right" w:leader="dot" w:pos="4176"/>
      </w:tabs>
    </w:pPr>
  </w:style>
  <w:style w:type="paragraph" w:styleId="ListNumber2">
    <w:name w:val="List Number 2"/>
    <w:basedOn w:val="List2"/>
    <w:rsid w:val="002E725B"/>
    <w:pPr>
      <w:numPr>
        <w:numId w:val="10"/>
      </w:numPr>
      <w:tabs>
        <w:tab w:val="clear" w:pos="1060"/>
      </w:tabs>
    </w:pPr>
  </w:style>
  <w:style w:type="paragraph" w:customStyle="1" w:styleId="MarginNote">
    <w:name w:val="Margin Note"/>
    <w:basedOn w:val="BodyText"/>
    <w:rsid w:val="002E7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2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725B"/>
    <w:rPr>
      <w:sz w:val="32"/>
    </w:rPr>
  </w:style>
  <w:style w:type="paragraph" w:customStyle="1" w:styleId="HeadingProcedure">
    <w:name w:val="Heading Procedure"/>
    <w:basedOn w:val="HeadingBase"/>
    <w:next w:val="Normal"/>
    <w:rsid w:val="002E725B"/>
    <w:pPr>
      <w:tabs>
        <w:tab w:val="left" w:pos="0"/>
      </w:tabs>
      <w:spacing w:before="120" w:after="60"/>
    </w:pPr>
    <w:rPr>
      <w:i/>
      <w:color w:val="918585"/>
      <w:sz w:val="22"/>
    </w:rPr>
  </w:style>
  <w:style w:type="paragraph" w:customStyle="1" w:styleId="TableBodyText">
    <w:name w:val="Table Body Text"/>
    <w:basedOn w:val="BodyText"/>
    <w:rsid w:val="002E725B"/>
    <w:pPr>
      <w:spacing w:before="60" w:after="60"/>
    </w:pPr>
  </w:style>
  <w:style w:type="paragraph" w:styleId="ListContinue">
    <w:name w:val="List Continue"/>
    <w:basedOn w:val="List"/>
    <w:rsid w:val="002E725B"/>
    <w:pPr>
      <w:ind w:firstLine="0"/>
    </w:pPr>
  </w:style>
  <w:style w:type="paragraph" w:customStyle="1" w:styleId="ListNote">
    <w:name w:val="List Note"/>
    <w:basedOn w:val="List"/>
    <w:rsid w:val="002E725B"/>
    <w:pPr>
      <w:pBdr>
        <w:top w:val="single" w:sz="6" w:space="2" w:color="918585"/>
        <w:bottom w:val="single" w:sz="6" w:space="2" w:color="918585"/>
      </w:pBdr>
      <w:tabs>
        <w:tab w:val="left" w:pos="1021"/>
      </w:tabs>
      <w:ind w:firstLine="0"/>
    </w:pPr>
  </w:style>
  <w:style w:type="paragraph" w:customStyle="1" w:styleId="Warning">
    <w:name w:val="Warning"/>
    <w:basedOn w:val="BodyText"/>
    <w:rsid w:val="002E725B"/>
    <w:pPr>
      <w:shd w:val="clear" w:color="auto" w:fill="D9D9D9"/>
      <w:tabs>
        <w:tab w:val="left" w:pos="992"/>
      </w:tabs>
      <w:ind w:left="119" w:right="119"/>
    </w:pPr>
    <w:rPr>
      <w:sz w:val="20"/>
    </w:rPr>
  </w:style>
  <w:style w:type="paragraph" w:customStyle="1" w:styleId="MarginIcons">
    <w:name w:val="Margin Icons"/>
    <w:basedOn w:val="BodyText"/>
    <w:rsid w:val="002E7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25B"/>
    <w:rPr>
      <w:rFonts w:ascii="Courier New" w:hAnsi="Courier New"/>
    </w:rPr>
  </w:style>
  <w:style w:type="paragraph" w:customStyle="1" w:styleId="NoteBullet">
    <w:name w:val="Note Bullet"/>
    <w:basedOn w:val="Note"/>
    <w:rsid w:val="002E725B"/>
    <w:pPr>
      <w:tabs>
        <w:tab w:val="clear" w:pos="680"/>
      </w:tabs>
      <w:spacing w:before="60" w:after="60"/>
    </w:pPr>
  </w:style>
  <w:style w:type="paragraph" w:customStyle="1" w:styleId="SubHeading2">
    <w:name w:val="SubHeading2"/>
    <w:basedOn w:val="HeadingBase"/>
    <w:rsid w:val="002E725B"/>
    <w:pPr>
      <w:spacing w:before="240" w:after="60"/>
    </w:pPr>
    <w:rPr>
      <w:sz w:val="20"/>
    </w:rPr>
  </w:style>
  <w:style w:type="paragraph" w:customStyle="1" w:styleId="SubHeading1">
    <w:name w:val="SubHeading1"/>
    <w:basedOn w:val="HeadingBase"/>
    <w:rsid w:val="002E725B"/>
    <w:pPr>
      <w:spacing w:before="240" w:after="60"/>
    </w:pPr>
    <w:rPr>
      <w:color w:val="918585"/>
      <w:sz w:val="22"/>
    </w:rPr>
  </w:style>
  <w:style w:type="paragraph" w:customStyle="1" w:styleId="SideHeading">
    <w:name w:val="Side Heading"/>
    <w:basedOn w:val="HeadingBase"/>
    <w:rsid w:val="002E7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25B"/>
    <w:pPr>
      <w:numPr>
        <w:numId w:val="12"/>
      </w:numPr>
    </w:pPr>
  </w:style>
  <w:style w:type="paragraph" w:styleId="PlainText">
    <w:name w:val="Plain Text"/>
    <w:basedOn w:val="Normal"/>
    <w:link w:val="PlainTextChar"/>
    <w:rsid w:val="002E725B"/>
    <w:rPr>
      <w:sz w:val="20"/>
    </w:rPr>
  </w:style>
  <w:style w:type="character" w:customStyle="1" w:styleId="PlainTextChar">
    <w:name w:val="Plain Text Char"/>
    <w:basedOn w:val="DefaultParagraphFont"/>
    <w:link w:val="PlainText"/>
    <w:rsid w:val="002E72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725B"/>
    <w:rPr>
      <w:b/>
      <w:smallCaps/>
    </w:rPr>
  </w:style>
  <w:style w:type="paragraph" w:customStyle="1" w:styleId="TableListNumber">
    <w:name w:val="Table List Number"/>
    <w:basedOn w:val="ListNumber"/>
    <w:rsid w:val="002E725B"/>
    <w:pPr>
      <w:numPr>
        <w:numId w:val="0"/>
      </w:numPr>
    </w:pPr>
  </w:style>
  <w:style w:type="paragraph" w:styleId="TOC4">
    <w:name w:val="toc 4"/>
    <w:basedOn w:val="TOCBase"/>
    <w:next w:val="Normal"/>
    <w:semiHidden/>
    <w:rsid w:val="002E725B"/>
    <w:pPr>
      <w:tabs>
        <w:tab w:val="right" w:leader="dot" w:pos="9071"/>
      </w:tabs>
      <w:ind w:left="1701"/>
    </w:pPr>
  </w:style>
  <w:style w:type="paragraph" w:customStyle="1" w:styleId="ListAlpha">
    <w:name w:val="List Alpha"/>
    <w:basedOn w:val="List"/>
    <w:rsid w:val="002E725B"/>
    <w:pPr>
      <w:numPr>
        <w:numId w:val="9"/>
      </w:numPr>
    </w:pPr>
  </w:style>
  <w:style w:type="paragraph" w:customStyle="1" w:styleId="ListAlpha2">
    <w:name w:val="List Alpha 2"/>
    <w:basedOn w:val="List2"/>
    <w:rsid w:val="002E725B"/>
    <w:pPr>
      <w:numPr>
        <w:numId w:val="8"/>
      </w:numPr>
    </w:pPr>
  </w:style>
  <w:style w:type="paragraph" w:styleId="List2">
    <w:name w:val="List 2"/>
    <w:basedOn w:val="BodyText"/>
    <w:rsid w:val="002E725B"/>
    <w:pPr>
      <w:tabs>
        <w:tab w:val="left" w:pos="680"/>
      </w:tabs>
      <w:spacing w:before="60" w:after="60"/>
      <w:ind w:left="680" w:hanging="340"/>
    </w:pPr>
  </w:style>
  <w:style w:type="paragraph" w:styleId="List3">
    <w:name w:val="List 3"/>
    <w:basedOn w:val="BodyText"/>
    <w:rsid w:val="002E725B"/>
    <w:pPr>
      <w:tabs>
        <w:tab w:val="left" w:pos="1021"/>
      </w:tabs>
      <w:spacing w:before="60" w:after="60"/>
      <w:ind w:left="1020" w:hanging="340"/>
    </w:pPr>
  </w:style>
  <w:style w:type="paragraph" w:styleId="List4">
    <w:name w:val="List 4"/>
    <w:basedOn w:val="BodyText"/>
    <w:rsid w:val="002E725B"/>
    <w:pPr>
      <w:tabs>
        <w:tab w:val="left" w:pos="1361"/>
      </w:tabs>
      <w:spacing w:before="60" w:after="60"/>
      <w:ind w:left="1361" w:hanging="340"/>
    </w:pPr>
  </w:style>
  <w:style w:type="paragraph" w:styleId="List5">
    <w:name w:val="List 5"/>
    <w:basedOn w:val="BodyText"/>
    <w:rsid w:val="002E725B"/>
    <w:pPr>
      <w:tabs>
        <w:tab w:val="left" w:pos="1701"/>
      </w:tabs>
      <w:spacing w:before="60" w:after="60"/>
      <w:ind w:left="1701" w:hanging="340"/>
    </w:pPr>
  </w:style>
  <w:style w:type="paragraph" w:styleId="ListBullet3">
    <w:name w:val="List Bullet 3"/>
    <w:basedOn w:val="List3"/>
    <w:rsid w:val="002E725B"/>
    <w:pPr>
      <w:numPr>
        <w:numId w:val="15"/>
      </w:numPr>
      <w:tabs>
        <w:tab w:val="clear" w:pos="1021"/>
      </w:tabs>
      <w:ind w:left="1037" w:hanging="357"/>
    </w:pPr>
  </w:style>
  <w:style w:type="paragraph" w:styleId="ListBullet4">
    <w:name w:val="List Bullet 4"/>
    <w:basedOn w:val="List4"/>
    <w:rsid w:val="002E725B"/>
    <w:pPr>
      <w:numPr>
        <w:numId w:val="3"/>
      </w:numPr>
    </w:pPr>
  </w:style>
  <w:style w:type="paragraph" w:styleId="ListBullet5">
    <w:name w:val="List Bullet 5"/>
    <w:basedOn w:val="List5"/>
    <w:rsid w:val="002E725B"/>
    <w:pPr>
      <w:numPr>
        <w:numId w:val="4"/>
      </w:numPr>
    </w:pPr>
  </w:style>
  <w:style w:type="paragraph" w:styleId="ListContinue2">
    <w:name w:val="List Continue 2"/>
    <w:basedOn w:val="List2"/>
    <w:rsid w:val="002E725B"/>
    <w:pPr>
      <w:ind w:firstLine="0"/>
    </w:pPr>
  </w:style>
  <w:style w:type="paragraph" w:styleId="ListContinue3">
    <w:name w:val="List Continue 3"/>
    <w:basedOn w:val="List3"/>
    <w:rsid w:val="002E725B"/>
    <w:pPr>
      <w:ind w:left="1021" w:firstLine="0"/>
    </w:pPr>
  </w:style>
  <w:style w:type="paragraph" w:styleId="ListContinue4">
    <w:name w:val="List Continue 4"/>
    <w:basedOn w:val="List4"/>
    <w:rsid w:val="002E725B"/>
    <w:pPr>
      <w:ind w:firstLine="0"/>
    </w:pPr>
  </w:style>
  <w:style w:type="paragraph" w:styleId="ListContinue5">
    <w:name w:val="List Continue 5"/>
    <w:basedOn w:val="List5"/>
    <w:rsid w:val="002E725B"/>
    <w:pPr>
      <w:ind w:firstLine="0"/>
    </w:pPr>
  </w:style>
  <w:style w:type="paragraph" w:styleId="ListNumber3">
    <w:name w:val="List Number 3"/>
    <w:basedOn w:val="List3"/>
    <w:rsid w:val="002E725B"/>
    <w:pPr>
      <w:numPr>
        <w:numId w:val="5"/>
      </w:numPr>
    </w:pPr>
  </w:style>
  <w:style w:type="paragraph" w:styleId="ListNumber4">
    <w:name w:val="List Number 4"/>
    <w:basedOn w:val="List4"/>
    <w:rsid w:val="002E725B"/>
    <w:pPr>
      <w:numPr>
        <w:numId w:val="6"/>
      </w:numPr>
    </w:pPr>
  </w:style>
  <w:style w:type="paragraph" w:styleId="ListNumber5">
    <w:name w:val="List Number 5"/>
    <w:basedOn w:val="List5"/>
    <w:rsid w:val="002E725B"/>
    <w:pPr>
      <w:numPr>
        <w:numId w:val="7"/>
      </w:numPr>
    </w:pPr>
  </w:style>
  <w:style w:type="paragraph" w:styleId="BlockText">
    <w:name w:val="Block Text"/>
    <w:basedOn w:val="Normal"/>
    <w:rsid w:val="002E725B"/>
    <w:pPr>
      <w:spacing w:after="120"/>
      <w:ind w:left="1440" w:right="1440"/>
    </w:pPr>
  </w:style>
  <w:style w:type="character" w:customStyle="1" w:styleId="Subscript">
    <w:name w:val="Subscript"/>
    <w:basedOn w:val="DefaultParagraphFont"/>
    <w:rsid w:val="002E725B"/>
    <w:rPr>
      <w:sz w:val="16"/>
      <w:vertAlign w:val="subscript"/>
    </w:rPr>
  </w:style>
  <w:style w:type="character" w:customStyle="1" w:styleId="Superscript">
    <w:name w:val="Superscript"/>
    <w:basedOn w:val="DefaultParagraphFont"/>
    <w:rsid w:val="002E725B"/>
    <w:rPr>
      <w:sz w:val="16"/>
      <w:vertAlign w:val="superscript"/>
    </w:rPr>
  </w:style>
  <w:style w:type="character" w:customStyle="1" w:styleId="Symbols">
    <w:name w:val="Symbols"/>
    <w:basedOn w:val="DefaultParagraphFont"/>
    <w:rsid w:val="002E725B"/>
    <w:rPr>
      <w:rFonts w:ascii="Symbol" w:hAnsi="Symbol"/>
    </w:rPr>
  </w:style>
  <w:style w:type="character" w:customStyle="1" w:styleId="MenuOptions">
    <w:name w:val="Menu Options"/>
    <w:basedOn w:val="DefaultParagraphFont"/>
    <w:rsid w:val="002E725B"/>
    <w:rPr>
      <w:rFonts w:ascii="Arial Narrow" w:hAnsi="Arial Narrow"/>
      <w:smallCaps/>
    </w:rPr>
  </w:style>
  <w:style w:type="character" w:customStyle="1" w:styleId="Buttons">
    <w:name w:val="Buttons"/>
    <w:basedOn w:val="DefaultParagraphFont"/>
    <w:rsid w:val="002E725B"/>
    <w:rPr>
      <w:b/>
    </w:rPr>
  </w:style>
  <w:style w:type="character" w:customStyle="1" w:styleId="Underlined">
    <w:name w:val="Underlined"/>
    <w:basedOn w:val="DefaultParagraphFont"/>
    <w:rsid w:val="002E725B"/>
    <w:rPr>
      <w:u w:val="single"/>
    </w:rPr>
  </w:style>
  <w:style w:type="paragraph" w:customStyle="1" w:styleId="TableBodyTextRight">
    <w:name w:val="Table Body Text Right"/>
    <w:basedOn w:val="TableBodyText"/>
    <w:rsid w:val="002E725B"/>
    <w:pPr>
      <w:widowControl w:val="0"/>
      <w:autoSpaceDE w:val="0"/>
      <w:autoSpaceDN w:val="0"/>
      <w:adjustRightInd w:val="0"/>
      <w:jc w:val="right"/>
    </w:pPr>
    <w:rPr>
      <w:rFonts w:cs="Arial"/>
      <w:szCs w:val="18"/>
    </w:rPr>
  </w:style>
  <w:style w:type="paragraph" w:customStyle="1" w:styleId="CopyrightText">
    <w:name w:val="Copyright Text"/>
    <w:basedOn w:val="BodyText"/>
    <w:rsid w:val="002E725B"/>
    <w:rPr>
      <w:sz w:val="18"/>
    </w:rPr>
  </w:style>
  <w:style w:type="paragraph" w:customStyle="1" w:styleId="BodySmallRight">
    <w:name w:val="Body Small Right"/>
    <w:basedOn w:val="BodyTextRight"/>
    <w:rsid w:val="002E725B"/>
    <w:rPr>
      <w:sz w:val="18"/>
      <w:szCs w:val="18"/>
    </w:rPr>
  </w:style>
  <w:style w:type="paragraph" w:customStyle="1" w:styleId="MarginEdition">
    <w:name w:val="Margin Edition"/>
    <w:basedOn w:val="MarginNote"/>
    <w:rsid w:val="002E725B"/>
    <w:pPr>
      <w:spacing w:before="0" w:after="0"/>
    </w:pPr>
    <w:rPr>
      <w:rFonts w:ascii="Times New Roman" w:hAnsi="Times New Roman"/>
      <w:color w:val="999999"/>
    </w:rPr>
  </w:style>
  <w:style w:type="paragraph" w:customStyle="1" w:styleId="Spacer">
    <w:name w:val="Spacer"/>
    <w:basedOn w:val="Normal"/>
    <w:rsid w:val="002E725B"/>
    <w:rPr>
      <w:sz w:val="2"/>
      <w:szCs w:val="2"/>
    </w:rPr>
  </w:style>
  <w:style w:type="character" w:customStyle="1" w:styleId="Small">
    <w:name w:val="Small"/>
    <w:basedOn w:val="DefaultParagraphFont"/>
    <w:rsid w:val="002E725B"/>
    <w:rPr>
      <w:sz w:val="16"/>
    </w:rPr>
  </w:style>
  <w:style w:type="paragraph" w:customStyle="1" w:styleId="WideTable">
    <w:name w:val="Wide Table"/>
    <w:basedOn w:val="Normal"/>
    <w:rsid w:val="002E725B"/>
    <w:pPr>
      <w:ind w:left="-1418"/>
    </w:pPr>
    <w:rPr>
      <w:sz w:val="2"/>
      <w:szCs w:val="2"/>
    </w:rPr>
  </w:style>
  <w:style w:type="character" w:styleId="PageNumber">
    <w:name w:val="page number"/>
    <w:basedOn w:val="DefaultParagraphFont"/>
    <w:rsid w:val="002E725B"/>
  </w:style>
  <w:style w:type="paragraph" w:styleId="Quote">
    <w:name w:val="Quote"/>
    <w:basedOn w:val="Heading1"/>
    <w:link w:val="QuoteChar"/>
    <w:qFormat/>
    <w:rsid w:val="002E725B"/>
    <w:rPr>
      <w:b w:val="0"/>
      <w:sz w:val="72"/>
      <w:szCs w:val="72"/>
      <w:lang w:val="en-NZ"/>
    </w:rPr>
  </w:style>
  <w:style w:type="character" w:customStyle="1" w:styleId="QuoteChar">
    <w:name w:val="Quote Char"/>
    <w:basedOn w:val="DefaultParagraphFont"/>
    <w:link w:val="Quote"/>
    <w:rsid w:val="002E7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25B"/>
    <w:pPr>
      <w:pageBreakBefore/>
    </w:pPr>
  </w:style>
  <w:style w:type="paragraph" w:customStyle="1" w:styleId="Border">
    <w:name w:val="Border"/>
    <w:basedOn w:val="Normal"/>
    <w:qFormat/>
    <w:rsid w:val="002E7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25B"/>
    <w:rPr>
      <w:b/>
      <w:bCs/>
      <w:i/>
      <w:iCs/>
      <w:color w:val="auto"/>
    </w:rPr>
  </w:style>
  <w:style w:type="paragraph" w:styleId="IntenseQuote">
    <w:name w:val="Intense Quote"/>
    <w:basedOn w:val="Normal"/>
    <w:next w:val="Normal"/>
    <w:link w:val="IntenseQuoteChar"/>
    <w:uiPriority w:val="30"/>
    <w:qFormat/>
    <w:rsid w:val="002E7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2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725B"/>
    <w:rPr>
      <w:smallCaps/>
      <w:color w:val="auto"/>
      <w:u w:val="single"/>
    </w:rPr>
  </w:style>
  <w:style w:type="character" w:styleId="IntenseReference">
    <w:name w:val="Intense Reference"/>
    <w:basedOn w:val="DefaultParagraphFont"/>
    <w:uiPriority w:val="32"/>
    <w:qFormat/>
    <w:rsid w:val="002E725B"/>
    <w:rPr>
      <w:b/>
      <w:bCs/>
      <w:smallCaps/>
      <w:color w:val="auto"/>
      <w:spacing w:val="5"/>
      <w:u w:val="single"/>
    </w:rPr>
  </w:style>
  <w:style w:type="paragraph" w:customStyle="1" w:styleId="2ColumnHeading">
    <w:name w:val="2Column Heading"/>
    <w:basedOn w:val="BodyText"/>
    <w:qFormat/>
    <w:rsid w:val="002E725B"/>
    <w:pPr>
      <w:spacing w:after="60"/>
      <w:ind w:left="-2268"/>
    </w:pPr>
    <w:rPr>
      <w:b/>
    </w:rPr>
  </w:style>
  <w:style w:type="paragraph" w:customStyle="1" w:styleId="Heading1TOC">
    <w:name w:val="Heading1 TOC"/>
    <w:basedOn w:val="Normal"/>
    <w:qFormat/>
    <w:rsid w:val="002E725B"/>
    <w:pPr>
      <w:spacing w:before="240" w:after="120"/>
    </w:pPr>
    <w:rPr>
      <w:rFonts w:ascii="Times New Roman" w:hAnsi="Times New Roman"/>
      <w:b/>
      <w:sz w:val="32"/>
    </w:rPr>
  </w:style>
  <w:style w:type="paragraph" w:customStyle="1" w:styleId="Heading2TOC">
    <w:name w:val="Heading2 TOC"/>
    <w:basedOn w:val="Normal"/>
    <w:qFormat/>
    <w:rsid w:val="002E725B"/>
    <w:pPr>
      <w:spacing w:before="240" w:after="60"/>
    </w:pPr>
    <w:rPr>
      <w:rFonts w:ascii="Times New Roman" w:hAnsi="Times New Roman"/>
      <w:b/>
      <w:sz w:val="28"/>
    </w:rPr>
  </w:style>
  <w:style w:type="character" w:customStyle="1" w:styleId="Underline">
    <w:name w:val="Underline"/>
    <w:basedOn w:val="DefaultParagraphFont"/>
    <w:qFormat/>
    <w:rsid w:val="002E725B"/>
    <w:rPr>
      <w:u w:val="single"/>
    </w:rPr>
  </w:style>
  <w:style w:type="character" w:customStyle="1" w:styleId="BoldandItalics">
    <w:name w:val="Bold and Italics"/>
    <w:qFormat/>
    <w:rsid w:val="002E725B"/>
    <w:rPr>
      <w:b/>
      <w:i/>
      <w:u w:val="none"/>
    </w:rPr>
  </w:style>
  <w:style w:type="paragraph" w:styleId="BalloonText">
    <w:name w:val="Balloon Text"/>
    <w:basedOn w:val="Normal"/>
    <w:link w:val="BalloonTextChar"/>
    <w:rsid w:val="002E725B"/>
    <w:rPr>
      <w:rFonts w:ascii="Tahoma" w:hAnsi="Tahoma" w:cs="Tahoma"/>
      <w:sz w:val="16"/>
      <w:szCs w:val="16"/>
    </w:rPr>
  </w:style>
  <w:style w:type="character" w:customStyle="1" w:styleId="BalloonTextChar">
    <w:name w:val="Balloon Text Char"/>
    <w:basedOn w:val="DefaultParagraphFont"/>
    <w:link w:val="BalloonText"/>
    <w:rsid w:val="002E72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72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72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2368</Words>
  <Characters>14307</Characters>
  <Application>Microsoft Office Word</Application>
  <DocSecurity>0</DocSecurity>
  <Lines>575</Lines>
  <Paragraphs>235</Paragraphs>
  <ScaleCrop>false</ScaleCrop>
  <Company>Author-it Software Corporation Ltd.</Company>
  <LinksUpToDate>false</LinksUpToDate>
  <CharactersWithSpaces>16502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UEENEEG034B Perform high voltage field switching to a given schedule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2012-05-26T11:01:00Z</dcterms:created>
  <dcterms:modified xsi:type="dcterms:W3CDTF">2012-05-26T11:01:00Z</dcterms:modified>
</cp:coreProperties>
</file>