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72A3" w:rsidP="00FD72A3">
      <w:pPr>
        <w:pStyle w:val="Title"/>
      </w:pPr>
      <w:r>
        <w:fldChar w:fldCharType="begin"/>
      </w:r>
      <w:r>
        <w:instrText xml:space="preserve"> TITLE   \* MERGEFORMAT </w:instrText>
      </w:r>
      <w:r>
        <w:fldChar w:fldCharType="separate"/>
      </w:r>
      <w:r>
        <w:t>UEENEEG030B Design switchboards rated for high fault levels</w:t>
      </w:r>
      <w:r>
        <w:fldChar w:fldCharType="end"/>
      </w:r>
    </w:p>
    <w:p w:rsidR="00FD72A3" w:rsidP="00FD72A3">
      <w:pPr>
        <w:pStyle w:val="Version"/>
        <w:sectPr w:rsidSect="005B17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1785" w:rsidP="005B1785">
      <w:pPr>
        <w:pStyle w:val="SuperHeading"/>
      </w:pPr>
      <w:r w:rsidRPr="005B1785">
        <w:t>UEENEEG030B Design switchboards rated for high fault levels</w:t>
      </w:r>
    </w:p>
    <w:p w:rsidR="00000000" w:rsidRPr="005B1785" w:rsidP="005B1785">
      <w:pPr>
        <w:pStyle w:val="Heading1"/>
      </w:pPr>
      <w:bookmarkStart w:id="1" w:name="O_274628"/>
      <w:bookmarkEnd w:id="1"/>
      <w:r w:rsidRPr="005B1785">
        <w:t>Modification History</w:t>
      </w:r>
    </w:p>
    <w:p w:rsidR="00000000" w:rsidRPr="005B1785" w:rsidP="005B1785">
      <w:pPr>
        <w:pStyle w:val="BodyText"/>
      </w:pPr>
      <w:r w:rsidRPr="005B1785">
        <w:t>Not Applicable</w:t>
      </w:r>
    </w:p>
    <w:p w:rsidR="00000000" w:rsidRPr="005B1785" w:rsidP="005B1785">
      <w:pPr>
        <w:pStyle w:val="AllowPageBreak"/>
      </w:pPr>
    </w:p>
    <w:p w:rsidR="00000000" w:rsidRPr="005B1785" w:rsidP="005B1785">
      <w:pPr>
        <w:pStyle w:val="Heading1"/>
      </w:pPr>
      <w:bookmarkStart w:id="2" w:name="O_226163"/>
      <w:bookmarkEnd w:id="2"/>
      <w:r w:rsidRPr="005B1785">
        <w:t>Unit Descriptor</w:t>
      </w:r>
    </w:p>
    <w:tbl>
      <w:tblPr>
        <w:tblW w:w="0" w:type="auto"/>
        <w:tblLayout w:type="fixed"/>
        <w:tblCellMar>
          <w:left w:w="62" w:type="dxa"/>
          <w:right w:w="62" w:type="dxa"/>
        </w:tblCellMar>
        <w:tblLook w:val="0000"/>
      </w:tblPr>
      <w:tblGrid>
        <w:gridCol w:w="2700"/>
        <w:gridCol w:w="5760"/>
      </w:tblGrid>
      <w:tr w:rsidTr="00FD72A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B1785" w:rsidP="005B1785">
            <w:pPr>
              <w:pStyle w:val="BodyText"/>
            </w:pPr>
            <w:r w:rsidRPr="005B178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5B1785" w:rsidP="005B1785">
            <w:pPr>
              <w:pStyle w:val="BodyText"/>
            </w:pPr>
            <w:r w:rsidRPr="005B1785">
              <w:rPr>
                <w:rStyle w:val="SpecialBold"/>
              </w:rPr>
              <w:t>1</w:t>
            </w:r>
            <w:r w:rsidRPr="005B1785">
              <w:t xml:space="preserve">) </w:t>
            </w:r>
          </w:p>
          <w:p w:rsidR="00000000" w:rsidP="005B1785">
            <w:pPr>
              <w:pStyle w:val="BodyText"/>
              <w:rPr>
                <w:lang w:val="en-NZ"/>
              </w:rPr>
            </w:pPr>
            <w:r w:rsidRPr="005B1785">
              <w:rPr>
                <w:rStyle w:val="SpecialBold"/>
              </w:rPr>
              <w:t>1</w:t>
            </w:r>
            <w:r w:rsidRPr="005B1785">
              <w:t>.</w:t>
            </w:r>
            <w:r w:rsidRPr="005B1785">
              <w:rPr>
                <w:rStyle w:val="SpecialBold"/>
              </w:rPr>
              <w:t>1</w:t>
            </w:r>
            <w:r w:rsidRPr="005B1785">
              <w:t xml:space="preserve">) </w:t>
            </w:r>
            <w:r w:rsidRPr="005B1785">
              <w:rPr>
                <w:rStyle w:val="SpecialBold"/>
              </w:rPr>
              <w:t>Descriptor</w:t>
            </w:r>
          </w:p>
        </w:tc>
      </w:tr>
      <w:tr w:rsidTr="00FD72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B1785" w:rsidP="005B1785">
            <w:pPr>
              <w:pStyle w:val="BodyText"/>
            </w:pPr>
            <w:r w:rsidRPr="005B1785">
              <w:t xml:space="preserve">This unit covers the design of supply and distribution arrangements, control, protection and selection of equipment for switchboards with low </w:t>
            </w:r>
            <w:r w:rsidRPr="005B1785">
              <w:t>voltage demand greater than 400 amperes per phase. This encompasses designing schemes for protection of persons and property and correct functioning, compatibility with the supply, and arrangement of circuits, determination of fault levels, effective switc</w:t>
            </w:r>
            <w:r w:rsidRPr="005B1785">
              <w:t>hgear, control gear, and protection against over current, over and under voltage and wiring based on calculations to meet required safety and performance standards and functional requirements.</w:t>
            </w:r>
          </w:p>
        </w:tc>
      </w:tr>
    </w:tbl>
    <w:p w:rsidR="00FD72A3" w:rsidP="005B1785">
      <w:pPr>
        <w:pStyle w:val="BodyText"/>
      </w:pPr>
    </w:p>
    <w:p w:rsidR="00FD72A3" w:rsidP="005B1785">
      <w:pPr>
        <w:pStyle w:val="BodyText"/>
      </w:pPr>
    </w:p>
    <w:p w:rsidR="00000000" w:rsidRPr="005B1785" w:rsidP="005B1785">
      <w:pPr>
        <w:pStyle w:val="Heading1"/>
      </w:pPr>
      <w:bookmarkStart w:id="3" w:name="O_226168"/>
      <w:bookmarkEnd w:id="3"/>
      <w:r w:rsidRPr="005B1785">
        <w:t>Application of the Unit</w:t>
      </w:r>
    </w:p>
    <w:tbl>
      <w:tblPr>
        <w:tblW w:w="0" w:type="auto"/>
        <w:tblLayout w:type="fixed"/>
        <w:tblCellMar>
          <w:left w:w="62" w:type="dxa"/>
          <w:right w:w="62" w:type="dxa"/>
        </w:tblCellMar>
        <w:tblLook w:val="0000"/>
      </w:tblPr>
      <w:tblGrid>
        <w:gridCol w:w="2700"/>
        <w:gridCol w:w="5760"/>
      </w:tblGrid>
      <w:tr w:rsidTr="00FD72A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B1785" w:rsidP="005B1785">
            <w:pPr>
              <w:pStyle w:val="BodyText"/>
            </w:pPr>
            <w:r w:rsidRPr="005B1785">
              <w:rPr>
                <w:rStyle w:val="SpecialBold"/>
              </w:rPr>
              <w:t xml:space="preserve">Application of the </w:t>
            </w:r>
            <w:r w:rsidRPr="005B1785">
              <w:rPr>
                <w:rStyle w:val="SpecialBold"/>
              </w:rPr>
              <w:t>Unit</w:t>
            </w:r>
          </w:p>
        </w:tc>
        <w:tc>
          <w:tcPr>
            <w:tcW w:w="5760" w:type="dxa"/>
            <w:tcBorders>
              <w:top w:val="nil"/>
              <w:left w:val="nil"/>
              <w:bottom w:val="nil"/>
              <w:right w:val="nil"/>
            </w:tcBorders>
            <w:tcMar>
              <w:top w:w="0" w:type="dxa"/>
              <w:left w:w="62" w:type="dxa"/>
              <w:bottom w:w="0" w:type="dxa"/>
              <w:right w:w="62" w:type="dxa"/>
            </w:tcMar>
          </w:tcPr>
          <w:p w:rsidR="00000000" w:rsidP="005B1785">
            <w:pPr>
              <w:pStyle w:val="BodyText"/>
              <w:rPr>
                <w:lang w:val="en-NZ"/>
              </w:rPr>
            </w:pPr>
            <w:r w:rsidRPr="005B1785">
              <w:rPr>
                <w:rStyle w:val="SpecialBold"/>
              </w:rPr>
              <w:t>4</w:t>
            </w:r>
            <w:r w:rsidRPr="005B1785">
              <w:t>)</w:t>
            </w:r>
          </w:p>
        </w:tc>
      </w:tr>
      <w:tr w:rsidTr="00FD72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B1785" w:rsidP="005B1785">
            <w:pPr>
              <w:pStyle w:val="BodyText"/>
            </w:pPr>
            <w:r w:rsidRPr="005B1785">
              <w:t>This unit is intended for competency development entry-level employment based programs incorporated in approved contracts of training. It applies to any formal recognition for this standard at the aligned AQF 5 level or higher.</w:t>
            </w:r>
          </w:p>
        </w:tc>
      </w:tr>
    </w:tbl>
    <w:p w:rsidR="00FD72A3" w:rsidP="005B1785">
      <w:pPr>
        <w:pStyle w:val="BodyText"/>
      </w:pPr>
    </w:p>
    <w:p w:rsidR="00FD72A3" w:rsidP="005B1785">
      <w:pPr>
        <w:pStyle w:val="BodyText"/>
      </w:pPr>
    </w:p>
    <w:p w:rsidR="00000000" w:rsidRPr="005B1785" w:rsidP="005B1785">
      <w:pPr>
        <w:pStyle w:val="Heading1"/>
      </w:pPr>
      <w:bookmarkStart w:id="4" w:name="O_226164"/>
      <w:bookmarkEnd w:id="4"/>
      <w:r w:rsidRPr="005B1785">
        <w:t>Licensing/Regulatory Information</w:t>
      </w:r>
    </w:p>
    <w:tbl>
      <w:tblPr>
        <w:tblW w:w="0" w:type="auto"/>
        <w:tblLayout w:type="fixed"/>
        <w:tblCellMar>
          <w:left w:w="62" w:type="dxa"/>
          <w:right w:w="62" w:type="dxa"/>
        </w:tblCellMar>
        <w:tblLook w:val="0000"/>
      </w:tblPr>
      <w:tblGrid>
        <w:gridCol w:w="8460"/>
      </w:tblGrid>
      <w:tr w:rsidTr="00FD72A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B1785">
            <w:pPr>
              <w:pStyle w:val="BodyText"/>
              <w:rPr>
                <w:lang w:val="en-NZ"/>
              </w:rPr>
            </w:pPr>
            <w:r w:rsidRPr="005B1785">
              <w:rPr>
                <w:rStyle w:val="SpecialBold"/>
              </w:rPr>
              <w:t>1</w:t>
            </w:r>
            <w:r w:rsidRPr="005B1785">
              <w:t>.</w:t>
            </w:r>
            <w:r w:rsidRPr="005B1785">
              <w:rPr>
                <w:rStyle w:val="SpecialBold"/>
              </w:rPr>
              <w:t>2</w:t>
            </w:r>
            <w:r w:rsidRPr="005B1785">
              <w:t xml:space="preserve">) </w:t>
            </w:r>
            <w:r w:rsidRPr="005B1785">
              <w:rPr>
                <w:rStyle w:val="SpecialBold"/>
              </w:rPr>
              <w:t>License to practice</w:t>
            </w:r>
          </w:p>
        </w:tc>
      </w:tr>
      <w:tr w:rsidTr="00FD72A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B1785" w:rsidP="005B1785">
            <w:pPr>
              <w:pStyle w:val="BodyText"/>
            </w:pPr>
            <w:r w:rsidRPr="005B1785">
              <w:t>The skills and knowledge described in this unit do not require a license to practice in the work place. However practice in this unit is subject to regulations directly related to occupatio</w:t>
            </w:r>
            <w:r w:rsidRPr="005B1785">
              <w:t>nal health and safe and contracts of training such as new apprenticeships.</w:t>
            </w:r>
          </w:p>
        </w:tc>
      </w:tr>
    </w:tbl>
    <w:p w:rsidR="00FD72A3" w:rsidP="005B1785">
      <w:pPr>
        <w:pStyle w:val="BodyText"/>
      </w:pPr>
    </w:p>
    <w:p w:rsidR="00FD72A3" w:rsidP="005B1785">
      <w:pPr>
        <w:pStyle w:val="BodyText"/>
      </w:pPr>
    </w:p>
    <w:p w:rsidR="00000000" w:rsidRPr="005B1785" w:rsidP="005B1785">
      <w:pPr>
        <w:pStyle w:val="Heading1"/>
      </w:pPr>
      <w:bookmarkStart w:id="5" w:name="O_226165"/>
      <w:bookmarkEnd w:id="5"/>
      <w:r w:rsidRPr="005B1785">
        <w:t>Pre-Requisites</w:t>
      </w:r>
    </w:p>
    <w:tbl>
      <w:tblPr>
        <w:tblW w:w="0" w:type="auto"/>
        <w:tblLayout w:type="fixed"/>
        <w:tblCellMar>
          <w:left w:w="62" w:type="dxa"/>
          <w:right w:w="62" w:type="dxa"/>
        </w:tblCellMar>
        <w:tblLook w:val="0000"/>
      </w:tblPr>
      <w:tblGrid>
        <w:gridCol w:w="2700"/>
        <w:gridCol w:w="5760"/>
      </w:tblGrid>
      <w:tr w:rsidTr="00FD72A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B1785" w:rsidP="005B1785">
            <w:pPr>
              <w:pStyle w:val="BodyText"/>
            </w:pPr>
            <w:r w:rsidRPr="005B1785">
              <w:rPr>
                <w:rStyle w:val="SpecialBold"/>
              </w:rPr>
              <w:t>Prerequisite Unit</w:t>
            </w:r>
            <w:r w:rsidRPr="005B1785">
              <w:t>(</w:t>
            </w:r>
            <w:r w:rsidRPr="005B1785">
              <w:rPr>
                <w:rStyle w:val="SpecialBold"/>
              </w:rPr>
              <w:t>s</w:t>
            </w:r>
            <w:r w:rsidRPr="005B1785">
              <w:t>)</w:t>
            </w:r>
          </w:p>
        </w:tc>
        <w:tc>
          <w:tcPr>
            <w:tcW w:w="5760" w:type="dxa"/>
            <w:tcBorders>
              <w:top w:val="nil"/>
              <w:left w:val="nil"/>
              <w:bottom w:val="nil"/>
              <w:right w:val="nil"/>
            </w:tcBorders>
            <w:tcMar>
              <w:top w:w="0" w:type="dxa"/>
              <w:left w:w="62" w:type="dxa"/>
              <w:bottom w:w="0" w:type="dxa"/>
              <w:right w:w="62" w:type="dxa"/>
            </w:tcMar>
          </w:tcPr>
          <w:p w:rsidR="00000000" w:rsidP="005B1785">
            <w:pPr>
              <w:pStyle w:val="BodyText"/>
              <w:rPr>
                <w:lang w:val="en-NZ"/>
              </w:rPr>
            </w:pPr>
            <w:r w:rsidRPr="005B1785">
              <w:rPr>
                <w:rStyle w:val="SpecialBold"/>
              </w:rPr>
              <w:t>2</w:t>
            </w:r>
            <w:r w:rsidRPr="005B1785">
              <w:t xml:space="preserve">) </w:t>
            </w:r>
          </w:p>
        </w:tc>
      </w:tr>
      <w:tr w:rsidTr="00FD72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B178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5B1785">
            <w:pPr>
              <w:pStyle w:val="BodyText"/>
              <w:rPr>
                <w:lang w:val="en-NZ"/>
              </w:rPr>
            </w:pPr>
            <w:r w:rsidRPr="005B1785">
              <w:rPr>
                <w:rStyle w:val="SpecialBold"/>
              </w:rPr>
              <w:t>2</w:t>
            </w:r>
            <w:r w:rsidRPr="005B1785">
              <w:t>.</w:t>
            </w:r>
            <w:r w:rsidRPr="005B1785">
              <w:rPr>
                <w:rStyle w:val="SpecialBold"/>
              </w:rPr>
              <w:t>1</w:t>
            </w:r>
            <w:r w:rsidRPr="005B1785">
              <w:t xml:space="preserve">) </w:t>
            </w:r>
            <w:r w:rsidRPr="005B1785">
              <w:rPr>
                <w:rStyle w:val="SpecialBold"/>
              </w:rPr>
              <w:t>Competencies</w:t>
            </w:r>
          </w:p>
        </w:tc>
      </w:tr>
      <w:tr w:rsidTr="00FD72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B1785" w:rsidP="005B1785">
            <w:pPr>
              <w:pStyle w:val="BodyText"/>
            </w:pPr>
            <w:r w:rsidRPr="005B1785">
              <w:t>Granting competency in this unit shall be made only after competency in the following unit(s) has/have been confirmed.</w:t>
            </w:r>
          </w:p>
          <w:p w:rsidR="00000000" w:rsidRPr="005B1785" w:rsidP="005B1785">
            <w:pPr>
              <w:pStyle w:val="BodyText"/>
            </w:pPr>
            <w:r w:rsidRPr="005B1785">
              <w:t>UEENEEG028B Plan switchboard and control panel layouts</w:t>
            </w:r>
          </w:p>
          <w:p w:rsidR="00000000" w:rsidRPr="005B1785" w:rsidP="005B1785">
            <w:pPr>
              <w:pStyle w:val="BodyText"/>
            </w:pPr>
            <w:r w:rsidRPr="005B1785">
              <w:t>UEENEEG049B Solve problems in complex polyphase power circuits</w:t>
            </w:r>
          </w:p>
          <w:p w:rsidR="00000000" w:rsidRPr="005B1785" w:rsidP="005B1785">
            <w:pPr>
              <w:pStyle w:val="BodyText"/>
            </w:pPr>
            <w:r w:rsidRPr="005B1785">
              <w:t>For the full prereq</w:t>
            </w:r>
            <w:r w:rsidRPr="005B1785">
              <w:t>uisite chain details for this unit please refer to Table 2 in Volume 1, Part 2</w:t>
            </w:r>
          </w:p>
        </w:tc>
      </w:tr>
    </w:tbl>
    <w:p w:rsidR="00FD72A3" w:rsidP="005B1785">
      <w:pPr>
        <w:pStyle w:val="BodyText"/>
      </w:pPr>
    </w:p>
    <w:p w:rsidR="00FD72A3" w:rsidP="005B1785">
      <w:pPr>
        <w:pStyle w:val="BodyText"/>
      </w:pPr>
    </w:p>
    <w:p w:rsidR="00000000" w:rsidRPr="005B1785" w:rsidP="005B1785">
      <w:pPr>
        <w:pStyle w:val="Heading1"/>
      </w:pPr>
      <w:bookmarkStart w:id="6" w:name="O_226167"/>
      <w:bookmarkEnd w:id="6"/>
      <w:r w:rsidRPr="005B1785">
        <w:t>Employability Skills Information</w:t>
      </w:r>
    </w:p>
    <w:tbl>
      <w:tblPr>
        <w:tblW w:w="0" w:type="auto"/>
        <w:tblLayout w:type="fixed"/>
        <w:tblCellMar>
          <w:left w:w="62" w:type="dxa"/>
          <w:right w:w="62" w:type="dxa"/>
        </w:tblCellMar>
        <w:tblLook w:val="0000"/>
      </w:tblPr>
      <w:tblGrid>
        <w:gridCol w:w="2700"/>
        <w:gridCol w:w="5760"/>
      </w:tblGrid>
      <w:tr w:rsidTr="00FD72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B1785" w:rsidP="005B1785">
            <w:pPr>
              <w:pStyle w:val="BodyText"/>
            </w:pPr>
            <w:r w:rsidRPr="005B178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5B1785" w:rsidP="005B1785">
            <w:pPr>
              <w:pStyle w:val="BodyText"/>
            </w:pPr>
            <w:r w:rsidRPr="005B1785">
              <w:rPr>
                <w:rStyle w:val="SpecialBold"/>
              </w:rPr>
              <w:t>3</w:t>
            </w:r>
            <w:r w:rsidRPr="005B1785">
              <w:t>)</w:t>
            </w:r>
          </w:p>
          <w:p w:rsidR="00000000" w:rsidRPr="005B1785" w:rsidP="005B1785">
            <w:pPr>
              <w:pStyle w:val="BodyText"/>
            </w:pPr>
            <w:r w:rsidRPr="005B1785">
              <w:t>This unit contains Employability Skills</w:t>
            </w:r>
          </w:p>
          <w:p w:rsidR="00000000" w:rsidRPr="005B1785" w:rsidP="005B1785">
            <w:pPr>
              <w:pStyle w:val="BodyText"/>
            </w:pPr>
            <w:r w:rsidRPr="005B1785">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5B1785">
              <w:t>requirements.</w:t>
            </w:r>
          </w:p>
        </w:tc>
      </w:tr>
    </w:tbl>
    <w:p w:rsidR="00FD72A3" w:rsidP="005B1785">
      <w:pPr>
        <w:pStyle w:val="BodyText"/>
      </w:pPr>
    </w:p>
    <w:p w:rsidR="00FD72A3" w:rsidP="005B1785">
      <w:pPr>
        <w:pStyle w:val="BodyText"/>
      </w:pPr>
    </w:p>
    <w:p w:rsidR="00000000" w:rsidRPr="005B1785" w:rsidP="005B1785">
      <w:pPr>
        <w:pStyle w:val="Heading1"/>
      </w:pPr>
      <w:bookmarkStart w:id="7" w:name="O_292674"/>
      <w:bookmarkEnd w:id="7"/>
      <w:r w:rsidRPr="005B1785">
        <w:t>Elements and Performance Criteria Pre-Content</w:t>
      </w:r>
    </w:p>
    <w:tbl>
      <w:tblPr>
        <w:tblW w:w="0" w:type="auto"/>
        <w:tblLayout w:type="fixed"/>
        <w:tblCellMar>
          <w:left w:w="62" w:type="dxa"/>
          <w:right w:w="62" w:type="dxa"/>
        </w:tblCellMar>
        <w:tblLook w:val="0000"/>
      </w:tblPr>
      <w:tblGrid>
        <w:gridCol w:w="2700"/>
        <w:gridCol w:w="5760"/>
      </w:tblGrid>
      <w:tr w:rsidTr="00FD72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B1785">
            <w:pPr>
              <w:pStyle w:val="BodyText"/>
              <w:rPr>
                <w:lang w:val="en-NZ"/>
              </w:rPr>
            </w:pPr>
            <w:r w:rsidRPr="005B1785">
              <w:rPr>
                <w:rStyle w:val="SpecialBold"/>
              </w:rPr>
              <w:t>6</w:t>
            </w:r>
            <w:r w:rsidRPr="005B1785">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5B1785" w:rsidP="005B1785">
            <w:pPr>
              <w:pStyle w:val="BodyText"/>
            </w:pPr>
            <w:r w:rsidRPr="005B1785">
              <w:t>Performance criteria describe the required performance needed to demonstrate achievement of the Element. Ass</w:t>
            </w:r>
            <w:r w:rsidRPr="005B1785">
              <w:t>essment of performance is to be consistent with the evidence guide.</w:t>
            </w:r>
          </w:p>
        </w:tc>
      </w:tr>
    </w:tbl>
    <w:p w:rsidR="00000000" w:rsidRPr="005B1785" w:rsidP="005B1785">
      <w:pPr>
        <w:pStyle w:val="BodyText"/>
      </w:pPr>
    </w:p>
    <w:p w:rsidR="00000000" w:rsidRPr="005B1785" w:rsidP="005B1785">
      <w:pPr>
        <w:pStyle w:val="AllowPageBreak"/>
      </w:pPr>
    </w:p>
    <w:p w:rsidR="00000000" w:rsidRPr="005B1785" w:rsidP="005B1785">
      <w:pPr>
        <w:pStyle w:val="Heading1"/>
      </w:pPr>
      <w:bookmarkStart w:id="8" w:name="O_239342"/>
      <w:bookmarkEnd w:id="8"/>
      <w:r w:rsidRPr="005B1785">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FD72A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B1785" w:rsidP="005B1785">
            <w:pPr>
              <w:pStyle w:val="BodyText"/>
            </w:pPr>
            <w:r w:rsidRPr="005B178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B1785">
            <w:pPr>
              <w:pStyle w:val="BodyText"/>
              <w:rPr>
                <w:lang w:val="en-NZ"/>
              </w:rPr>
            </w:pPr>
            <w:r w:rsidRPr="005B1785">
              <w:rPr>
                <w:rStyle w:val="SpecialBold"/>
              </w:rPr>
              <w:t>PERFORMANCE CRITERIA</w:t>
            </w:r>
          </w:p>
        </w:tc>
      </w:tr>
      <w:tr w:rsidTr="00FD72A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5B1785">
            <w:pPr>
              <w:pStyle w:val="BodyText"/>
              <w:rPr>
                <w:lang w:val="en-NZ"/>
              </w:rPr>
            </w:pPr>
            <w:r w:rsidRPr="005B1785">
              <w:t>1</w:t>
            </w:r>
          </w:p>
        </w:tc>
        <w:tc>
          <w:tcPr>
            <w:tcW w:w="2340" w:type="dxa"/>
            <w:vMerge w:val="restart"/>
            <w:tcBorders>
              <w:top w:val="nil"/>
              <w:left w:val="nil"/>
              <w:bottom w:val="nil"/>
              <w:right w:val="nil"/>
            </w:tcBorders>
            <w:tcMar>
              <w:top w:w="0" w:type="dxa"/>
              <w:left w:w="62" w:type="dxa"/>
              <w:bottom w:w="0" w:type="dxa"/>
              <w:right w:w="62" w:type="dxa"/>
            </w:tcMar>
          </w:tcPr>
          <w:p w:rsidR="00000000" w:rsidP="005B1785">
            <w:pPr>
              <w:pStyle w:val="BodyText"/>
              <w:rPr>
                <w:lang w:val="en-NZ"/>
              </w:rPr>
            </w:pPr>
            <w:r w:rsidRPr="005B1785">
              <w:t>Prepare to plan switchboards.</w:t>
            </w:r>
          </w:p>
        </w:tc>
        <w:tc>
          <w:tcPr>
            <w:tcW w:w="900" w:type="dxa"/>
            <w:tcBorders>
              <w:top w:val="nil"/>
              <w:left w:val="nil"/>
              <w:bottom w:val="nil"/>
              <w:right w:val="nil"/>
            </w:tcBorders>
            <w:tcMar>
              <w:top w:w="0" w:type="dxa"/>
              <w:left w:w="62" w:type="dxa"/>
              <w:bottom w:w="0" w:type="dxa"/>
              <w:right w:w="62" w:type="dxa"/>
            </w:tcMar>
          </w:tcPr>
          <w:p w:rsidR="00000000" w:rsidP="005B1785">
            <w:pPr>
              <w:pStyle w:val="BodyText"/>
              <w:rPr>
                <w:lang w:val="en-NZ"/>
              </w:rPr>
            </w:pPr>
            <w:r w:rsidRPr="005B1785">
              <w:t>1.1</w:t>
            </w:r>
          </w:p>
        </w:tc>
        <w:tc>
          <w:tcPr>
            <w:tcW w:w="4860" w:type="dxa"/>
            <w:tcBorders>
              <w:top w:val="nil"/>
              <w:left w:val="nil"/>
              <w:bottom w:val="nil"/>
              <w:right w:val="nil"/>
            </w:tcBorders>
            <w:tcMar>
              <w:top w:w="0" w:type="dxa"/>
              <w:left w:w="62" w:type="dxa"/>
              <w:bottom w:w="0" w:type="dxa"/>
              <w:right w:w="62" w:type="dxa"/>
            </w:tcMar>
          </w:tcPr>
          <w:p w:rsidR="00000000" w:rsidP="005B1785">
            <w:pPr>
              <w:pStyle w:val="BodyText"/>
              <w:rPr>
                <w:lang w:val="en-NZ"/>
              </w:rPr>
            </w:pPr>
            <w:r w:rsidRPr="005B1785">
              <w:t>OHS processes and procedures for a given work area are identi</w:t>
            </w:r>
            <w:r w:rsidRPr="005B1785">
              <w:t>fied, obtained and understood.</w:t>
            </w:r>
          </w:p>
        </w:tc>
      </w:tr>
      <w:tr w:rsidTr="00FD72A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1785">
            <w:pPr>
              <w:pStyle w:val="BodyText"/>
              <w:rPr>
                <w:lang w:val="en-NZ"/>
              </w:rPr>
            </w:pPr>
            <w:r w:rsidRPr="005B1785">
              <w:t>1.2</w:t>
            </w:r>
          </w:p>
        </w:tc>
        <w:tc>
          <w:tcPr>
            <w:tcW w:w="4860" w:type="dxa"/>
            <w:tcBorders>
              <w:top w:val="nil"/>
              <w:left w:val="nil"/>
              <w:bottom w:val="nil"/>
              <w:right w:val="nil"/>
            </w:tcBorders>
            <w:tcMar>
              <w:top w:w="0" w:type="dxa"/>
              <w:left w:w="62" w:type="dxa"/>
              <w:bottom w:w="0" w:type="dxa"/>
              <w:right w:w="62" w:type="dxa"/>
            </w:tcMar>
          </w:tcPr>
          <w:p w:rsidR="00000000" w:rsidP="005B1785">
            <w:pPr>
              <w:pStyle w:val="BodyText"/>
              <w:rPr>
                <w:lang w:val="en-NZ"/>
              </w:rPr>
            </w:pPr>
            <w:r w:rsidRPr="005B1785">
              <w:t>The extent and nature of the switchboard is determined from design brief.</w:t>
            </w:r>
          </w:p>
        </w:tc>
      </w:tr>
      <w:tr w:rsidTr="00FD72A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1785">
            <w:pPr>
              <w:pStyle w:val="BodyText"/>
              <w:rPr>
                <w:lang w:val="en-NZ"/>
              </w:rPr>
            </w:pPr>
            <w:r w:rsidRPr="005B1785">
              <w:t>1.3</w:t>
            </w:r>
          </w:p>
        </w:tc>
        <w:tc>
          <w:tcPr>
            <w:tcW w:w="4860" w:type="dxa"/>
            <w:tcBorders>
              <w:top w:val="nil"/>
              <w:left w:val="nil"/>
              <w:bottom w:val="nil"/>
              <w:right w:val="nil"/>
            </w:tcBorders>
            <w:tcMar>
              <w:top w:w="0" w:type="dxa"/>
              <w:left w:w="62" w:type="dxa"/>
              <w:bottom w:w="0" w:type="dxa"/>
              <w:right w:w="62" w:type="dxa"/>
            </w:tcMar>
          </w:tcPr>
          <w:p w:rsidR="00000000" w:rsidP="005B1785">
            <w:pPr>
              <w:pStyle w:val="BodyText"/>
              <w:rPr>
                <w:lang w:val="en-NZ"/>
              </w:rPr>
            </w:pPr>
            <w:r w:rsidRPr="005B1785">
              <w:t>Safety and other regulatory requirements to which the switchboard shall comply area are identified, obtained and understood.</w:t>
            </w:r>
          </w:p>
        </w:tc>
      </w:tr>
      <w:tr w:rsidTr="00FD72A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1785">
            <w:pPr>
              <w:pStyle w:val="BodyText"/>
              <w:rPr>
                <w:lang w:val="en-NZ"/>
              </w:rPr>
            </w:pPr>
            <w:r w:rsidRPr="005B1785">
              <w:t>1.4</w:t>
            </w:r>
          </w:p>
        </w:tc>
        <w:tc>
          <w:tcPr>
            <w:tcW w:w="4860" w:type="dxa"/>
            <w:tcBorders>
              <w:top w:val="nil"/>
              <w:left w:val="nil"/>
              <w:bottom w:val="nil"/>
              <w:right w:val="nil"/>
            </w:tcBorders>
            <w:tcMar>
              <w:top w:w="0" w:type="dxa"/>
              <w:left w:w="62" w:type="dxa"/>
              <w:bottom w:w="0" w:type="dxa"/>
              <w:right w:w="62" w:type="dxa"/>
            </w:tcMar>
          </w:tcPr>
          <w:p w:rsidR="00000000" w:rsidP="005B1785">
            <w:pPr>
              <w:pStyle w:val="BodyText"/>
              <w:rPr>
                <w:lang w:val="en-NZ"/>
              </w:rPr>
            </w:pPr>
            <w:r w:rsidRPr="005B1785">
              <w:t>Design development work is planned to meet scheduled timelines in consultation with others persons involved in the installation or associated work.</w:t>
            </w:r>
          </w:p>
        </w:tc>
      </w:tr>
      <w:tr w:rsidTr="00FD72A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5B1785">
            <w:pPr>
              <w:pStyle w:val="BodyText"/>
              <w:rPr>
                <w:lang w:val="en-NZ"/>
              </w:rPr>
            </w:pPr>
            <w:r w:rsidRPr="005B1785">
              <w:t>2</w:t>
            </w:r>
          </w:p>
        </w:tc>
        <w:tc>
          <w:tcPr>
            <w:tcW w:w="2340" w:type="dxa"/>
            <w:vMerge w:val="restart"/>
            <w:tcBorders>
              <w:top w:val="nil"/>
              <w:left w:val="nil"/>
              <w:bottom w:val="nil"/>
              <w:right w:val="nil"/>
            </w:tcBorders>
            <w:tcMar>
              <w:top w:w="0" w:type="dxa"/>
              <w:left w:w="62" w:type="dxa"/>
              <w:bottom w:w="0" w:type="dxa"/>
              <w:right w:w="62" w:type="dxa"/>
            </w:tcMar>
          </w:tcPr>
          <w:p w:rsidR="00000000" w:rsidP="005B1785">
            <w:pPr>
              <w:pStyle w:val="BodyText"/>
              <w:rPr>
                <w:lang w:val="en-NZ"/>
              </w:rPr>
            </w:pPr>
            <w:r w:rsidRPr="005B1785">
              <w:t xml:space="preserve">Develop installation design. </w:t>
            </w:r>
          </w:p>
        </w:tc>
        <w:tc>
          <w:tcPr>
            <w:tcW w:w="900" w:type="dxa"/>
            <w:tcBorders>
              <w:top w:val="nil"/>
              <w:left w:val="nil"/>
              <w:bottom w:val="nil"/>
              <w:right w:val="nil"/>
            </w:tcBorders>
            <w:tcMar>
              <w:top w:w="0" w:type="dxa"/>
              <w:left w:w="62" w:type="dxa"/>
              <w:bottom w:w="0" w:type="dxa"/>
              <w:right w:w="62" w:type="dxa"/>
            </w:tcMar>
          </w:tcPr>
          <w:p w:rsidR="00000000" w:rsidP="005B1785">
            <w:pPr>
              <w:pStyle w:val="BodyText"/>
              <w:rPr>
                <w:lang w:val="en-NZ"/>
              </w:rPr>
            </w:pPr>
            <w:r w:rsidRPr="005B1785">
              <w:t>2.1</w:t>
            </w:r>
          </w:p>
        </w:tc>
        <w:tc>
          <w:tcPr>
            <w:tcW w:w="4860" w:type="dxa"/>
            <w:tcBorders>
              <w:top w:val="nil"/>
              <w:left w:val="nil"/>
              <w:bottom w:val="nil"/>
              <w:right w:val="nil"/>
            </w:tcBorders>
            <w:tcMar>
              <w:top w:w="0" w:type="dxa"/>
              <w:left w:w="62" w:type="dxa"/>
              <w:bottom w:w="0" w:type="dxa"/>
              <w:right w:w="62" w:type="dxa"/>
            </w:tcMar>
          </w:tcPr>
          <w:p w:rsidR="00000000" w:rsidP="005B1785">
            <w:pPr>
              <w:pStyle w:val="BodyText"/>
              <w:rPr>
                <w:lang w:val="en-NZ"/>
              </w:rPr>
            </w:pPr>
            <w:r w:rsidRPr="005B1785">
              <w:t xml:space="preserve">Knowledge of switchboard performance standards, compliance methods and </w:t>
            </w:r>
            <w:r w:rsidRPr="005B1785">
              <w:t>electrical equipment and is applied to designing the installation.</w:t>
            </w:r>
          </w:p>
        </w:tc>
      </w:tr>
      <w:tr w:rsidTr="00FD72A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1785">
            <w:pPr>
              <w:pStyle w:val="BodyText"/>
              <w:rPr>
                <w:lang w:val="en-NZ"/>
              </w:rPr>
            </w:pPr>
            <w:r w:rsidRPr="005B1785">
              <w:t>2.2</w:t>
            </w:r>
          </w:p>
        </w:tc>
        <w:tc>
          <w:tcPr>
            <w:tcW w:w="4860" w:type="dxa"/>
            <w:tcBorders>
              <w:top w:val="nil"/>
              <w:left w:val="nil"/>
              <w:bottom w:val="nil"/>
              <w:right w:val="nil"/>
            </w:tcBorders>
            <w:tcMar>
              <w:top w:w="0" w:type="dxa"/>
              <w:left w:w="62" w:type="dxa"/>
              <w:bottom w:w="0" w:type="dxa"/>
              <w:right w:w="62" w:type="dxa"/>
            </w:tcMar>
          </w:tcPr>
          <w:p w:rsidR="00000000" w:rsidP="005B1785">
            <w:pPr>
              <w:pStyle w:val="BodyText"/>
              <w:rPr>
                <w:lang w:val="en-NZ"/>
              </w:rPr>
            </w:pPr>
            <w:r w:rsidRPr="005B1785">
              <w:t>Alternative arrangements for the switchboard design are considered based on the requirements outlined in the design brief.</w:t>
            </w:r>
          </w:p>
        </w:tc>
      </w:tr>
      <w:tr w:rsidTr="00FD72A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1785">
            <w:pPr>
              <w:pStyle w:val="BodyText"/>
              <w:rPr>
                <w:lang w:val="en-NZ"/>
              </w:rPr>
            </w:pPr>
            <w:r w:rsidRPr="005B1785">
              <w:t>2.3</w:t>
            </w:r>
          </w:p>
        </w:tc>
        <w:tc>
          <w:tcPr>
            <w:tcW w:w="4860" w:type="dxa"/>
            <w:tcBorders>
              <w:top w:val="nil"/>
              <w:left w:val="nil"/>
              <w:bottom w:val="nil"/>
              <w:right w:val="nil"/>
            </w:tcBorders>
            <w:tcMar>
              <w:top w:w="0" w:type="dxa"/>
              <w:left w:w="62" w:type="dxa"/>
              <w:bottom w:w="0" w:type="dxa"/>
              <w:right w:w="62" w:type="dxa"/>
            </w:tcMar>
          </w:tcPr>
          <w:p w:rsidR="00000000" w:rsidP="005B1785">
            <w:pPr>
              <w:pStyle w:val="BodyText"/>
              <w:rPr>
                <w:lang w:val="en-NZ"/>
              </w:rPr>
            </w:pPr>
            <w:r w:rsidRPr="005B1785">
              <w:t>Safety, functional and budgetary considerations are incorporated in the installation design.</w:t>
            </w:r>
          </w:p>
        </w:tc>
      </w:tr>
      <w:tr w:rsidTr="00FD72A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1785">
            <w:pPr>
              <w:pStyle w:val="BodyText"/>
              <w:rPr>
                <w:lang w:val="en-NZ"/>
              </w:rPr>
            </w:pPr>
            <w:r w:rsidRPr="005B1785">
              <w:t>2.4</w:t>
            </w:r>
          </w:p>
        </w:tc>
        <w:tc>
          <w:tcPr>
            <w:tcW w:w="4860" w:type="dxa"/>
            <w:tcBorders>
              <w:top w:val="nil"/>
              <w:left w:val="nil"/>
              <w:bottom w:val="nil"/>
              <w:right w:val="nil"/>
            </w:tcBorders>
            <w:tcMar>
              <w:top w:w="0" w:type="dxa"/>
              <w:left w:w="62" w:type="dxa"/>
              <w:bottom w:w="0" w:type="dxa"/>
              <w:right w:w="62" w:type="dxa"/>
            </w:tcMar>
          </w:tcPr>
          <w:p w:rsidR="00000000" w:rsidP="005B1785">
            <w:pPr>
              <w:pStyle w:val="BodyText"/>
              <w:rPr>
                <w:lang w:val="en-NZ"/>
              </w:rPr>
            </w:pPr>
            <w:r w:rsidRPr="005B1785">
              <w:t xml:space="preserve">Switchboard design draft is checked for compliance with the design brief and regulatory requirements. </w:t>
            </w:r>
          </w:p>
        </w:tc>
      </w:tr>
      <w:tr w:rsidTr="00FD72A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1785">
            <w:pPr>
              <w:pStyle w:val="BodyText"/>
              <w:rPr>
                <w:lang w:val="en-NZ"/>
              </w:rPr>
            </w:pPr>
            <w:r w:rsidRPr="005B1785">
              <w:t>2.5</w:t>
            </w:r>
          </w:p>
        </w:tc>
        <w:tc>
          <w:tcPr>
            <w:tcW w:w="4860" w:type="dxa"/>
            <w:tcBorders>
              <w:top w:val="nil"/>
              <w:left w:val="nil"/>
              <w:bottom w:val="nil"/>
              <w:right w:val="nil"/>
            </w:tcBorders>
            <w:tcMar>
              <w:top w:w="0" w:type="dxa"/>
              <w:left w:w="62" w:type="dxa"/>
              <w:bottom w:w="0" w:type="dxa"/>
              <w:right w:w="62" w:type="dxa"/>
            </w:tcMar>
          </w:tcPr>
          <w:p w:rsidR="00000000" w:rsidP="005B1785">
            <w:pPr>
              <w:pStyle w:val="BodyText"/>
              <w:rPr>
                <w:lang w:val="en-NZ"/>
              </w:rPr>
            </w:pPr>
            <w:r w:rsidRPr="005B1785">
              <w:t>Switchboard design is documented for submission to appropriate person(s) for acceptance and approval.</w:t>
            </w:r>
          </w:p>
        </w:tc>
      </w:tr>
      <w:tr w:rsidTr="00FD72A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1785">
            <w:pPr>
              <w:pStyle w:val="BodyText"/>
              <w:rPr>
                <w:lang w:val="en-NZ"/>
              </w:rPr>
            </w:pPr>
            <w:r w:rsidRPr="005B1785">
              <w:t>2.6</w:t>
            </w:r>
          </w:p>
        </w:tc>
        <w:tc>
          <w:tcPr>
            <w:tcW w:w="4860" w:type="dxa"/>
            <w:tcBorders>
              <w:top w:val="nil"/>
              <w:left w:val="nil"/>
              <w:bottom w:val="nil"/>
              <w:right w:val="nil"/>
            </w:tcBorders>
            <w:tcMar>
              <w:top w:w="0" w:type="dxa"/>
              <w:left w:w="62" w:type="dxa"/>
              <w:bottom w:w="0" w:type="dxa"/>
              <w:right w:w="62" w:type="dxa"/>
            </w:tcMar>
          </w:tcPr>
          <w:p w:rsidR="00000000" w:rsidP="005B1785">
            <w:pPr>
              <w:pStyle w:val="BodyText"/>
              <w:rPr>
                <w:lang w:val="en-NZ"/>
              </w:rPr>
            </w:pPr>
            <w:r w:rsidRPr="005B1785">
              <w:t xml:space="preserve">Solutions to unplanned situation are provided consistent with organisation's policy. </w:t>
            </w:r>
          </w:p>
        </w:tc>
      </w:tr>
      <w:tr w:rsidTr="00FD72A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5B1785">
            <w:pPr>
              <w:pStyle w:val="BodyText"/>
              <w:rPr>
                <w:lang w:val="en-NZ"/>
              </w:rPr>
            </w:pPr>
            <w:r w:rsidRPr="005B1785">
              <w:t>3</w:t>
            </w:r>
          </w:p>
        </w:tc>
        <w:tc>
          <w:tcPr>
            <w:tcW w:w="2340" w:type="dxa"/>
            <w:tcBorders>
              <w:top w:val="nil"/>
              <w:left w:val="nil"/>
              <w:bottom w:val="nil"/>
              <w:right w:val="nil"/>
            </w:tcBorders>
            <w:tcMar>
              <w:top w:w="0" w:type="dxa"/>
              <w:left w:w="62" w:type="dxa"/>
              <w:bottom w:w="0" w:type="dxa"/>
              <w:right w:w="62" w:type="dxa"/>
            </w:tcMar>
          </w:tcPr>
          <w:p w:rsidR="00000000" w:rsidP="005B1785">
            <w:pPr>
              <w:pStyle w:val="BodyText"/>
              <w:rPr>
                <w:lang w:val="en-NZ"/>
              </w:rPr>
            </w:pPr>
            <w:r w:rsidRPr="005B1785">
              <w:t>Obtain approval for installation design.</w:t>
            </w:r>
          </w:p>
        </w:tc>
        <w:tc>
          <w:tcPr>
            <w:tcW w:w="900" w:type="dxa"/>
            <w:tcBorders>
              <w:top w:val="nil"/>
              <w:left w:val="nil"/>
              <w:bottom w:val="nil"/>
              <w:right w:val="nil"/>
            </w:tcBorders>
            <w:tcMar>
              <w:top w:w="0" w:type="dxa"/>
              <w:left w:w="62" w:type="dxa"/>
              <w:bottom w:w="0" w:type="dxa"/>
              <w:right w:w="62" w:type="dxa"/>
            </w:tcMar>
          </w:tcPr>
          <w:p w:rsidR="00000000" w:rsidP="005B1785">
            <w:pPr>
              <w:pStyle w:val="BodyText"/>
              <w:rPr>
                <w:lang w:val="en-NZ"/>
              </w:rPr>
            </w:pPr>
            <w:r w:rsidRPr="005B1785">
              <w:t>3.1</w:t>
            </w:r>
          </w:p>
        </w:tc>
        <w:tc>
          <w:tcPr>
            <w:tcW w:w="4860" w:type="dxa"/>
            <w:tcBorders>
              <w:top w:val="nil"/>
              <w:left w:val="nil"/>
              <w:bottom w:val="nil"/>
              <w:right w:val="nil"/>
            </w:tcBorders>
            <w:tcMar>
              <w:top w:w="0" w:type="dxa"/>
              <w:left w:w="62" w:type="dxa"/>
              <w:bottom w:w="0" w:type="dxa"/>
              <w:right w:w="62" w:type="dxa"/>
            </w:tcMar>
          </w:tcPr>
          <w:p w:rsidR="00000000" w:rsidP="005B1785">
            <w:pPr>
              <w:pStyle w:val="BodyText"/>
              <w:rPr>
                <w:lang w:val="en-NZ"/>
              </w:rPr>
            </w:pPr>
            <w:r w:rsidRPr="005B1785">
              <w:t>Switchboard d</w:t>
            </w:r>
            <w:r w:rsidRPr="005B1785">
              <w:t xml:space="preserve">esign is presented and explained to client representative and/or other relevant person(s). </w:t>
            </w:r>
          </w:p>
        </w:tc>
      </w:tr>
      <w:tr w:rsidTr="00FD72A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1785">
            <w:pPr>
              <w:pStyle w:val="BodyText"/>
              <w:rPr>
                <w:lang w:val="en-NZ"/>
              </w:rPr>
            </w:pPr>
            <w:r w:rsidRPr="005B1785">
              <w:t>3.2</w:t>
            </w:r>
          </w:p>
        </w:tc>
        <w:tc>
          <w:tcPr>
            <w:tcW w:w="4860" w:type="dxa"/>
            <w:tcBorders>
              <w:top w:val="nil"/>
              <w:left w:val="nil"/>
              <w:bottom w:val="nil"/>
              <w:right w:val="nil"/>
            </w:tcBorders>
            <w:tcMar>
              <w:top w:w="0" w:type="dxa"/>
              <w:left w:w="62" w:type="dxa"/>
              <w:bottom w:w="0" w:type="dxa"/>
              <w:right w:w="62" w:type="dxa"/>
            </w:tcMar>
          </w:tcPr>
          <w:p w:rsidR="00000000" w:rsidP="005B1785">
            <w:pPr>
              <w:pStyle w:val="BodyText"/>
              <w:rPr>
                <w:lang w:val="en-NZ"/>
              </w:rPr>
            </w:pPr>
            <w:r w:rsidRPr="005B1785">
              <w:t xml:space="preserve">Requests for alterations to the design are negotiated with relevant person(s) within the constraints of organisation's policy. </w:t>
            </w:r>
          </w:p>
        </w:tc>
      </w:tr>
      <w:tr w:rsidTr="00FD72A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1785">
            <w:pPr>
              <w:pStyle w:val="BodyText"/>
              <w:rPr>
                <w:lang w:val="en-NZ"/>
              </w:rPr>
            </w:pPr>
            <w:r w:rsidRPr="005B1785">
              <w:t>3.3</w:t>
            </w:r>
          </w:p>
        </w:tc>
        <w:tc>
          <w:tcPr>
            <w:tcW w:w="4860" w:type="dxa"/>
            <w:tcBorders>
              <w:top w:val="nil"/>
              <w:left w:val="nil"/>
              <w:bottom w:val="nil"/>
              <w:right w:val="nil"/>
            </w:tcBorders>
            <w:tcMar>
              <w:top w:w="0" w:type="dxa"/>
              <w:left w:w="62" w:type="dxa"/>
              <w:bottom w:w="0" w:type="dxa"/>
              <w:right w:w="62" w:type="dxa"/>
            </w:tcMar>
          </w:tcPr>
          <w:p w:rsidR="00000000" w:rsidP="005B1785">
            <w:pPr>
              <w:pStyle w:val="BodyText"/>
              <w:rPr>
                <w:lang w:val="en-NZ"/>
              </w:rPr>
            </w:pPr>
            <w:r w:rsidRPr="005B1785">
              <w:t>Final design is documented and approval obtained from appropriate person(s).</w:t>
            </w:r>
          </w:p>
        </w:tc>
      </w:tr>
      <w:tr w:rsidTr="00FD72A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B1785">
            <w:pPr>
              <w:pStyle w:val="BodyText"/>
              <w:rPr>
                <w:lang w:val="en-NZ"/>
              </w:rPr>
            </w:pPr>
            <w:r w:rsidRPr="005B1785">
              <w:t>3.4</w:t>
            </w:r>
          </w:p>
        </w:tc>
        <w:tc>
          <w:tcPr>
            <w:tcW w:w="4860" w:type="dxa"/>
            <w:tcBorders>
              <w:top w:val="nil"/>
              <w:left w:val="nil"/>
              <w:bottom w:val="nil"/>
              <w:right w:val="nil"/>
            </w:tcBorders>
            <w:tcMar>
              <w:top w:w="0" w:type="dxa"/>
              <w:left w:w="62" w:type="dxa"/>
              <w:bottom w:w="0" w:type="dxa"/>
              <w:right w:w="62" w:type="dxa"/>
            </w:tcMar>
          </w:tcPr>
          <w:p w:rsidR="00000000" w:rsidRPr="005B1785" w:rsidP="005B1785">
            <w:pPr>
              <w:pStyle w:val="BodyText"/>
            </w:pPr>
            <w:r w:rsidRPr="005B1785">
              <w:t>Quality of work is monitored against personal performance agreement and/or established organisational or professional standards.</w:t>
            </w:r>
          </w:p>
        </w:tc>
      </w:tr>
    </w:tbl>
    <w:p w:rsidR="00FD72A3" w:rsidP="005B1785">
      <w:pPr>
        <w:pStyle w:val="BodyText"/>
      </w:pPr>
    </w:p>
    <w:p w:rsidR="00FD72A3" w:rsidP="005B1785">
      <w:pPr>
        <w:pStyle w:val="BodyText"/>
      </w:pPr>
    </w:p>
    <w:p w:rsidR="00000000" w:rsidRPr="005B1785" w:rsidP="005B1785">
      <w:pPr>
        <w:pStyle w:val="Heading1"/>
      </w:pPr>
      <w:bookmarkStart w:id="9" w:name="O_263133"/>
      <w:bookmarkEnd w:id="9"/>
      <w:r w:rsidRPr="005B1785">
        <w:t>Required Skills and Kno</w:t>
      </w:r>
      <w:r w:rsidRPr="005B1785">
        <w:t>wledge</w:t>
      </w:r>
    </w:p>
    <w:tbl>
      <w:tblPr>
        <w:tblW w:w="0" w:type="auto"/>
        <w:tblLayout w:type="fixed"/>
        <w:tblCellMar>
          <w:left w:w="62" w:type="dxa"/>
          <w:right w:w="62" w:type="dxa"/>
        </w:tblCellMar>
        <w:tblLook w:val="0000"/>
      </w:tblPr>
      <w:tblGrid>
        <w:gridCol w:w="2700"/>
        <w:gridCol w:w="1080"/>
        <w:gridCol w:w="4680"/>
      </w:tblGrid>
      <w:tr w:rsidTr="00FD72A3">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5B1785">
            <w:pPr>
              <w:pStyle w:val="BodyText"/>
              <w:rPr>
                <w:lang w:val="en-NZ"/>
              </w:rPr>
            </w:pPr>
            <w:r w:rsidRPr="005B1785">
              <w:rPr>
                <w:rStyle w:val="SpecialBold"/>
              </w:rPr>
              <w:t>REQUIRED SKILLS AND KNOWLEDGE</w:t>
            </w:r>
          </w:p>
        </w:tc>
      </w:tr>
      <w:tr w:rsidTr="00FD72A3">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5B1785">
            <w:pPr>
              <w:pStyle w:val="BodyText"/>
              <w:rPr>
                <w:lang w:val="en-NZ"/>
              </w:rPr>
            </w:pPr>
            <w:r w:rsidRPr="005B1785">
              <w:rPr>
                <w:rStyle w:val="SpecialBold"/>
              </w:rPr>
              <w:t>7</w:t>
            </w:r>
            <w:r w:rsidRPr="005B1785">
              <w:t>) This describes the essential skills and knowledge and their level, required for this unit.</w:t>
            </w:r>
          </w:p>
        </w:tc>
      </w:tr>
      <w:tr w:rsidTr="00FD72A3">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5B1785" w:rsidP="005B1785">
            <w:pPr>
              <w:pStyle w:val="BodyText"/>
            </w:pPr>
            <w:r w:rsidRPr="005B1785">
              <w:t>Evidence shall show that knowledge has been acquired of safe working practices and designing switchboards rated for high fault levels.</w:t>
            </w:r>
          </w:p>
          <w:p w:rsidR="00000000" w:rsidRPr="005B1785" w:rsidP="005B1785">
            <w:pPr>
              <w:pStyle w:val="BodyText"/>
            </w:pPr>
            <w:r w:rsidRPr="005B1785">
              <w:t>All knowledge and skills detailed in this unit should be contextualised to current industry practices and technologies.</w:t>
            </w:r>
          </w:p>
          <w:p w:rsidR="00000000" w:rsidP="005B1785">
            <w:pPr>
              <w:pStyle w:val="BodyText"/>
              <w:rPr>
                <w:lang w:val="en-NZ"/>
              </w:rPr>
            </w:pPr>
            <w:r w:rsidRPr="005B1785">
              <w:t>T</w:t>
            </w:r>
            <w:r w:rsidRPr="005B1785">
              <w:t>he extent of the essential knowledge and associated skills (EKAS) required is given in Volume 2 - Part 2.2 EKAS.  It forms an integral part of this unit.</w:t>
            </w:r>
          </w:p>
        </w:tc>
      </w:tr>
      <w:tr w:rsidTr="00FD72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B1785">
            <w:pPr>
              <w:pStyle w:val="BodyText"/>
              <w:rPr>
                <w:lang w:val="en-NZ"/>
              </w:rPr>
            </w:pPr>
            <w:r w:rsidRPr="005B1785">
              <w:t>2.8.8</w:t>
            </w:r>
          </w:p>
        </w:tc>
        <w:tc>
          <w:tcPr>
            <w:tcW w:w="4680" w:type="dxa"/>
            <w:tcBorders>
              <w:top w:val="nil"/>
              <w:left w:val="nil"/>
              <w:bottom w:val="nil"/>
              <w:right w:val="nil"/>
            </w:tcBorders>
            <w:tcMar>
              <w:top w:w="0" w:type="dxa"/>
              <w:left w:w="62" w:type="dxa"/>
              <w:bottom w:w="0" w:type="dxa"/>
              <w:right w:w="62" w:type="dxa"/>
            </w:tcMar>
          </w:tcPr>
          <w:p w:rsidR="00000000" w:rsidP="005B1785">
            <w:pPr>
              <w:pStyle w:val="BodyText"/>
              <w:rPr>
                <w:lang w:val="en-NZ"/>
              </w:rPr>
            </w:pPr>
            <w:r w:rsidRPr="005B1785">
              <w:t>Electrotechnology science and materials</w:t>
            </w:r>
          </w:p>
        </w:tc>
      </w:tr>
      <w:tr w:rsidTr="00FD72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B1785">
            <w:pPr>
              <w:pStyle w:val="BodyText"/>
              <w:rPr>
                <w:lang w:val="en-NZ"/>
              </w:rPr>
            </w:pPr>
            <w:r w:rsidRPr="005B1785">
              <w:t>2.8.15.3</w:t>
            </w:r>
          </w:p>
        </w:tc>
        <w:tc>
          <w:tcPr>
            <w:tcW w:w="4680" w:type="dxa"/>
            <w:tcBorders>
              <w:top w:val="nil"/>
              <w:left w:val="nil"/>
              <w:bottom w:val="nil"/>
              <w:right w:val="nil"/>
            </w:tcBorders>
            <w:tcMar>
              <w:top w:w="0" w:type="dxa"/>
              <w:left w:w="62" w:type="dxa"/>
              <w:bottom w:w="0" w:type="dxa"/>
              <w:right w:w="62" w:type="dxa"/>
            </w:tcMar>
          </w:tcPr>
          <w:p w:rsidR="00000000" w:rsidRPr="005B1785" w:rsidP="005B1785">
            <w:pPr>
              <w:pStyle w:val="BodyText"/>
            </w:pPr>
            <w:r w:rsidRPr="005B1785">
              <w:t>Fault current calculations</w:t>
            </w:r>
          </w:p>
        </w:tc>
      </w:tr>
    </w:tbl>
    <w:p w:rsidR="00FD72A3" w:rsidP="005B1785">
      <w:pPr>
        <w:pStyle w:val="BodyText"/>
      </w:pPr>
    </w:p>
    <w:p w:rsidR="00FD72A3" w:rsidP="005B1785">
      <w:pPr>
        <w:pStyle w:val="BodyText"/>
      </w:pPr>
    </w:p>
    <w:p w:rsidR="00000000" w:rsidRPr="005B1785" w:rsidP="005B1785">
      <w:pPr>
        <w:pStyle w:val="Heading1"/>
      </w:pPr>
      <w:bookmarkStart w:id="10" w:name="O_247326"/>
      <w:bookmarkEnd w:id="10"/>
      <w:r w:rsidRPr="005B1785">
        <w:t>Evidence Guide</w:t>
      </w:r>
    </w:p>
    <w:tbl>
      <w:tblPr>
        <w:tblW w:w="0" w:type="auto"/>
        <w:tblLayout w:type="fixed"/>
        <w:tblCellMar>
          <w:left w:w="62" w:type="dxa"/>
          <w:right w:w="62" w:type="dxa"/>
        </w:tblCellMar>
        <w:tblLook w:val="0000"/>
      </w:tblPr>
      <w:tblGrid>
        <w:gridCol w:w="2160"/>
        <w:gridCol w:w="6300"/>
      </w:tblGrid>
      <w:tr w:rsidTr="00FD72A3">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5B1785">
            <w:pPr>
              <w:pStyle w:val="BodyText"/>
              <w:rPr>
                <w:lang w:val="en-NZ"/>
              </w:rPr>
            </w:pPr>
            <w:r w:rsidRPr="005B1785">
              <w:rPr>
                <w:rStyle w:val="SpecialBold"/>
              </w:rPr>
              <w:t>EVIDENCE GUIDE</w:t>
            </w:r>
          </w:p>
        </w:tc>
      </w:tr>
      <w:tr w:rsidTr="00FD72A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B1785" w:rsidP="005B1785">
            <w:pPr>
              <w:pStyle w:val="BodyText"/>
            </w:pPr>
            <w:r w:rsidRPr="005B1785">
              <w:rPr>
                <w:rStyle w:val="SpecialBold"/>
              </w:rPr>
              <w:t>9</w:t>
            </w:r>
            <w:r w:rsidRPr="005B1785">
              <w:t>) The evidence guide provides advice on assessment and must be read in conjunction with the Performance Criteria, Required Skills and Knowledge, the Range Statement and the Assessment Guidelines for this Training Pa</w:t>
            </w:r>
            <w:r w:rsidRPr="005B1785">
              <w:t xml:space="preserve">ckage. </w:t>
            </w:r>
          </w:p>
          <w:p w:rsidR="00000000" w:rsidP="005B1785">
            <w:pPr>
              <w:pStyle w:val="BodyText"/>
              <w:rPr>
                <w:lang w:val="en-NZ"/>
              </w:rPr>
            </w:pPr>
            <w:r w:rsidRPr="005B1785">
              <w:t>The Evidence Guide forms an integral part of this unit. It must be used in conjunction with all parts of this unit and performed in accordance with the Assessment Guidelines of this Training Package.</w:t>
            </w:r>
          </w:p>
        </w:tc>
      </w:tr>
      <w:tr w:rsidTr="00FD72A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B1785" w:rsidP="005B1785">
            <w:pPr>
              <w:pStyle w:val="BodyText"/>
            </w:pPr>
            <w:r w:rsidRPr="005B1785">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5B1785" w:rsidP="005B1785">
            <w:pPr>
              <w:pStyle w:val="BodyText"/>
            </w:pPr>
            <w:r w:rsidRPr="005B1785">
              <w:rPr>
                <w:rStyle w:val="SpecialBold"/>
              </w:rPr>
              <w:t>9</w:t>
            </w:r>
            <w:r w:rsidRPr="005B1785">
              <w:t>.</w:t>
            </w:r>
            <w:r w:rsidRPr="005B1785">
              <w:rPr>
                <w:rStyle w:val="SpecialBold"/>
              </w:rPr>
              <w:t>1</w:t>
            </w:r>
            <w:r w:rsidRPr="005B1785">
              <w:t xml:space="preserve">) </w:t>
            </w:r>
          </w:p>
          <w:p w:rsidR="00000000" w:rsidRPr="005B1785" w:rsidP="005B1785">
            <w:pPr>
              <w:pStyle w:val="BodyText"/>
            </w:pPr>
            <w:r w:rsidRPr="005B1785">
              <w:t>Longitudinal competency development approaches to assessment, such as Profiling, require data to be reliably gathered in a form that can be consistently interpreted over time. This approach is best utilised in Apprenticeship programs and reduces assessment</w:t>
            </w:r>
            <w:r w:rsidRPr="005B1785">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5B1785">
              <w:t>tency in a realistically simulated work environment. It is recognised that, in some circumstances, assessment in part or full can occur outside the workplace. However, it must be in accordance with industry and regulatory policy.</w:t>
            </w:r>
          </w:p>
          <w:p w:rsidR="00000000" w:rsidRPr="005B1785" w:rsidP="005B1785">
            <w:pPr>
              <w:pStyle w:val="BodyText"/>
            </w:pPr>
            <w:r w:rsidRPr="005B1785">
              <w:t>Methods chosen for a parti</w:t>
            </w:r>
            <w:r w:rsidRPr="005B1785">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5B1785">
              <w:t>the critical nature of the competencies being assessed.</w:t>
            </w:r>
          </w:p>
          <w:p w:rsidR="00000000" w:rsidRPr="005B1785" w:rsidP="005B1785">
            <w:pPr>
              <w:pStyle w:val="BodyText"/>
            </w:pPr>
            <w:r w:rsidRPr="005B1785">
              <w:t>The critical safety nature of working with electricity, electrical equipment, gas or any other hazardous substance/material carries risk in deeming a person competent. Sources of evidence need to be '</w:t>
            </w:r>
            <w:r w:rsidRPr="005B1785">
              <w:t>rich' in nature to minimise error in judgment.</w:t>
            </w:r>
          </w:p>
          <w:p w:rsidR="00000000" w:rsidRPr="005B1785" w:rsidP="005B1785">
            <w:pPr>
              <w:pStyle w:val="BodyText"/>
            </w:pPr>
            <w:r w:rsidRPr="005B1785">
              <w:t xml:space="preserve">Activities associated with normal every day work have a bearing on the decision as to how much and how detailed the data gathered will contribute to its 'richness'. Some skills are more critical to safety and </w:t>
            </w:r>
            <w:r w:rsidRPr="005B1785">
              <w:t>operational requirements while the same skills may be more or less frequently practised. These points are raised for the assessors to consider when choosing an assessment method and developing assessment instruments. Sample assessment instruments are inclu</w:t>
            </w:r>
            <w:r w:rsidRPr="005B1785">
              <w:t>ded for Assessors in the Assessment Guidelines of this Training Package.</w:t>
            </w:r>
          </w:p>
        </w:tc>
      </w:tr>
    </w:tbl>
    <w:p w:rsidR="00000000" w:rsidRPr="005B1785" w:rsidP="005B1785">
      <w:pPr>
        <w:pStyle w:val="BodyText"/>
      </w:pPr>
    </w:p>
    <w:tbl>
      <w:tblPr>
        <w:tblW w:w="0" w:type="auto"/>
        <w:tblLayout w:type="fixed"/>
        <w:tblCellMar>
          <w:left w:w="62" w:type="dxa"/>
          <w:right w:w="62" w:type="dxa"/>
        </w:tblCellMar>
        <w:tblLook w:val="0000"/>
      </w:tblPr>
      <w:tblGrid>
        <w:gridCol w:w="2160"/>
        <w:gridCol w:w="720"/>
        <w:gridCol w:w="540"/>
        <w:gridCol w:w="900"/>
        <w:gridCol w:w="4140"/>
      </w:tblGrid>
      <w:tr w:rsidTr="00FD72A3">
        <w:tblPrEx>
          <w:tblW w:w="0" w:type="auto"/>
          <w:tblLayout w:type="fixed"/>
          <w:tblCellMar>
            <w:left w:w="62" w:type="dxa"/>
            <w:right w:w="62" w:type="dxa"/>
          </w:tblCellMar>
          <w:tblLook w:val="0000"/>
        </w:tblPrEx>
        <w:trPr>
          <w:tblHeader/>
        </w:trPr>
        <w:tc>
          <w:tcPr>
            <w:tcW w:w="2160" w:type="dxa"/>
            <w:vMerge w:val="restart"/>
            <w:tcBorders>
              <w:top w:val="nil"/>
              <w:left w:val="nil"/>
              <w:bottom w:val="nil"/>
              <w:right w:val="nil"/>
            </w:tcBorders>
            <w:tcMar>
              <w:top w:w="0" w:type="dxa"/>
              <w:left w:w="62" w:type="dxa"/>
              <w:bottom w:w="0" w:type="dxa"/>
              <w:right w:w="62" w:type="dxa"/>
            </w:tcMar>
          </w:tcPr>
          <w:p w:rsidR="00000000" w:rsidRPr="005B1785" w:rsidP="005B1785">
            <w:pPr>
              <w:pStyle w:val="BodyText"/>
            </w:pPr>
            <w:r w:rsidRPr="005B1785">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5B1785" w:rsidP="005B1785">
            <w:pPr>
              <w:pStyle w:val="BodyText"/>
            </w:pPr>
            <w:r w:rsidRPr="005B1785">
              <w:rPr>
                <w:rStyle w:val="SpecialBold"/>
              </w:rPr>
              <w:t>9</w:t>
            </w:r>
            <w:r w:rsidRPr="005B1785">
              <w:t>.</w:t>
            </w:r>
            <w:r w:rsidRPr="005B1785">
              <w:rPr>
                <w:rStyle w:val="SpecialBold"/>
              </w:rPr>
              <w:t>2</w:t>
            </w:r>
            <w:r w:rsidRPr="005B1785">
              <w:t xml:space="preserve">) </w:t>
            </w:r>
          </w:p>
          <w:p w:rsidR="00000000" w:rsidP="005B1785">
            <w:pPr>
              <w:pStyle w:val="BodyText"/>
              <w:rPr>
                <w:lang w:val="en-NZ"/>
              </w:rPr>
            </w:pPr>
            <w:r w:rsidRPr="005B1785">
              <w:t>Before the critical aspects of evidence are considered all prerequisites shall be met.</w:t>
            </w:r>
          </w:p>
        </w:tc>
      </w:tr>
      <w:tr w:rsidTr="00FD72A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5B1785" w:rsidP="005B1785">
            <w:pPr>
              <w:pStyle w:val="BodyText"/>
            </w:pPr>
            <w:r w:rsidRPr="005B1785">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5B1785">
            <w:pPr>
              <w:pStyle w:val="ListBullet"/>
              <w:rPr>
                <w:lang w:val="en-NZ"/>
              </w:rPr>
            </w:pPr>
            <w:r w:rsidRPr="005B1785">
              <w:t>A representative body of work performance demonstrated within the timeframes typically expected of the discipline, work function and industrial environment. In particular this shall incorporate evidence that shows a candidate is able to:</w:t>
            </w:r>
          </w:p>
        </w:tc>
      </w:tr>
      <w:tr w:rsidTr="00FD72A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B1785">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5B1785" w:rsidP="005B1785">
            <w:pPr>
              <w:pStyle w:val="ListBullet2"/>
            </w:pPr>
            <w:r w:rsidRPr="005B1785">
              <w:t>Implement Occupational Health and Safety workplace procedures and practices including the use of risk control measures as specified in the performance criteria and range statement</w:t>
            </w:r>
          </w:p>
          <w:p w:rsidR="00000000" w:rsidRPr="005B1785" w:rsidP="005B1785">
            <w:pPr>
              <w:pStyle w:val="ListBullet2"/>
            </w:pPr>
            <w:r w:rsidRPr="005B1785">
              <w:t>Apply sustainable energy principles and practices as specified in the perfor</w:t>
            </w:r>
            <w:r w:rsidRPr="005B1785">
              <w:t>mance criteria and range statement</w:t>
            </w:r>
          </w:p>
          <w:p w:rsidR="00000000" w:rsidRPr="005B1785" w:rsidP="005B1785">
            <w:pPr>
              <w:pStyle w:val="ListBullet2"/>
            </w:pPr>
            <w:r w:rsidRPr="005B1785">
              <w:t>Demonstrate an understanding of the essential knowledge and associated skills as described in this unit .  It may be required by some jurisdictions that RTOs provide a percentile graded result for the purpose of regulator</w:t>
            </w:r>
            <w:r w:rsidRPr="005B1785">
              <w:t xml:space="preserve">y or licensing requirements.   </w:t>
            </w:r>
          </w:p>
          <w:p w:rsidR="00000000" w:rsidRPr="005B1785" w:rsidP="005B1785">
            <w:pPr>
              <w:pStyle w:val="ListBullet2"/>
            </w:pPr>
            <w:r w:rsidRPr="005B1785">
              <w:t>Demonstrate an appropriate level of skills enabling employment</w:t>
            </w:r>
          </w:p>
          <w:p w:rsidR="00000000" w:rsidP="005B1785">
            <w:pPr>
              <w:pStyle w:val="ListBullet2"/>
              <w:rPr>
                <w:lang w:val="en-NZ"/>
              </w:rPr>
            </w:pPr>
            <w:r w:rsidRPr="005B1785">
              <w:t>Conduct work observing the relevant Anti Discrimination legislation, regulations, polices and workplace procedures</w:t>
            </w:r>
          </w:p>
        </w:tc>
      </w:tr>
      <w:tr w:rsidTr="00FD72A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B1785">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5B1785">
            <w:pPr>
              <w:pStyle w:val="ListBullet"/>
              <w:rPr>
                <w:lang w:val="en-NZ"/>
              </w:rPr>
            </w:pPr>
            <w:r w:rsidRPr="005B1785">
              <w:t>Demonstrated consistent performance across a representative range of contexts from the prescribed items below:</w:t>
            </w:r>
          </w:p>
        </w:tc>
      </w:tr>
      <w:tr w:rsidTr="00FD72A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B1785">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5B1785">
            <w:pPr>
              <w:pStyle w:val="ListBullet2"/>
              <w:rPr>
                <w:lang w:val="en-NZ"/>
              </w:rPr>
            </w:pPr>
            <w:r w:rsidRPr="005B1785">
              <w:t>Design switchboards rated for high fault levels as described in 8) and including:</w:t>
            </w:r>
          </w:p>
        </w:tc>
      </w:tr>
      <w:tr w:rsidTr="00FD72A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B1785">
            <w:pPr>
              <w:pStyle w:val="BodyText"/>
              <w:rPr>
                <w:lang w:val="en-NZ"/>
              </w:rPr>
            </w:pPr>
            <w:r w:rsidRPr="005B1785">
              <w:t>A</w:t>
            </w:r>
          </w:p>
        </w:tc>
        <w:tc>
          <w:tcPr>
            <w:tcW w:w="5040" w:type="dxa"/>
            <w:gridSpan w:val="2"/>
            <w:tcBorders>
              <w:top w:val="nil"/>
              <w:left w:val="nil"/>
              <w:bottom w:val="nil"/>
              <w:right w:val="nil"/>
            </w:tcBorders>
            <w:tcMar>
              <w:top w:w="0" w:type="dxa"/>
              <w:left w:w="62" w:type="dxa"/>
              <w:bottom w:w="0" w:type="dxa"/>
              <w:right w:w="62" w:type="dxa"/>
            </w:tcMar>
          </w:tcPr>
          <w:p w:rsidR="00000000" w:rsidP="005B1785">
            <w:pPr>
              <w:pStyle w:val="BodyText"/>
              <w:rPr>
                <w:lang w:val="en-NZ"/>
              </w:rPr>
            </w:pPr>
            <w:r w:rsidRPr="005B1785">
              <w:t>Developing outlines of alternative designs.</w:t>
            </w:r>
          </w:p>
        </w:tc>
      </w:tr>
      <w:tr w:rsidTr="00FD72A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B1785">
            <w:pPr>
              <w:pStyle w:val="BodyText"/>
              <w:rPr>
                <w:lang w:val="en-NZ"/>
              </w:rPr>
            </w:pPr>
            <w:r w:rsidRPr="005B1785">
              <w:t>B</w:t>
            </w:r>
          </w:p>
        </w:tc>
        <w:tc>
          <w:tcPr>
            <w:tcW w:w="5040" w:type="dxa"/>
            <w:gridSpan w:val="2"/>
            <w:tcBorders>
              <w:top w:val="nil"/>
              <w:left w:val="nil"/>
              <w:bottom w:val="nil"/>
              <w:right w:val="nil"/>
            </w:tcBorders>
            <w:tcMar>
              <w:top w:w="0" w:type="dxa"/>
              <w:left w:w="62" w:type="dxa"/>
              <w:bottom w:w="0" w:type="dxa"/>
              <w:right w:w="62" w:type="dxa"/>
            </w:tcMar>
          </w:tcPr>
          <w:p w:rsidR="00000000" w:rsidP="005B1785">
            <w:pPr>
              <w:pStyle w:val="BodyText"/>
              <w:rPr>
                <w:lang w:val="en-NZ"/>
              </w:rPr>
            </w:pPr>
            <w:r w:rsidRPr="005B1785">
              <w:t>Developing the design within the safety and functional requirements and budget limitations.</w:t>
            </w:r>
          </w:p>
        </w:tc>
      </w:tr>
      <w:tr w:rsidTr="00FD72A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B1785">
            <w:pPr>
              <w:pStyle w:val="BodyText"/>
              <w:rPr>
                <w:lang w:val="en-NZ"/>
              </w:rPr>
            </w:pPr>
            <w:r w:rsidRPr="005B1785">
              <w:t>C</w:t>
            </w:r>
          </w:p>
        </w:tc>
        <w:tc>
          <w:tcPr>
            <w:tcW w:w="5040" w:type="dxa"/>
            <w:gridSpan w:val="2"/>
            <w:tcBorders>
              <w:top w:val="nil"/>
              <w:left w:val="nil"/>
              <w:bottom w:val="nil"/>
              <w:right w:val="nil"/>
            </w:tcBorders>
            <w:tcMar>
              <w:top w:w="0" w:type="dxa"/>
              <w:left w:w="62" w:type="dxa"/>
              <w:bottom w:w="0" w:type="dxa"/>
              <w:right w:w="62" w:type="dxa"/>
            </w:tcMar>
          </w:tcPr>
          <w:p w:rsidR="00000000" w:rsidP="005B1785">
            <w:pPr>
              <w:pStyle w:val="BodyText"/>
              <w:rPr>
                <w:lang w:val="en-NZ"/>
              </w:rPr>
            </w:pPr>
            <w:r w:rsidRPr="005B1785">
              <w:t>Documenting and presenting design effectively.</w:t>
            </w:r>
          </w:p>
        </w:tc>
      </w:tr>
      <w:tr w:rsidTr="00FD72A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B1785">
            <w:pPr>
              <w:pStyle w:val="BodyText"/>
              <w:rPr>
                <w:lang w:val="en-NZ"/>
              </w:rPr>
            </w:pPr>
            <w:r w:rsidRPr="005B1785">
              <w:t>D</w:t>
            </w:r>
          </w:p>
        </w:tc>
        <w:tc>
          <w:tcPr>
            <w:tcW w:w="5040" w:type="dxa"/>
            <w:gridSpan w:val="2"/>
            <w:tcBorders>
              <w:top w:val="nil"/>
              <w:left w:val="nil"/>
              <w:bottom w:val="nil"/>
              <w:right w:val="nil"/>
            </w:tcBorders>
            <w:tcMar>
              <w:top w:w="0" w:type="dxa"/>
              <w:left w:w="62" w:type="dxa"/>
              <w:bottom w:w="0" w:type="dxa"/>
              <w:right w:w="62" w:type="dxa"/>
            </w:tcMar>
          </w:tcPr>
          <w:p w:rsidR="00000000" w:rsidP="005B1785">
            <w:pPr>
              <w:pStyle w:val="BodyText"/>
              <w:rPr>
                <w:lang w:val="en-NZ"/>
              </w:rPr>
            </w:pPr>
            <w:r w:rsidRPr="005B1785">
              <w:t>Successfully negotiating design alteration requests.</w:t>
            </w:r>
          </w:p>
        </w:tc>
      </w:tr>
      <w:tr w:rsidTr="00FD72A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B1785">
            <w:pPr>
              <w:pStyle w:val="BodyText"/>
              <w:rPr>
                <w:lang w:val="en-NZ"/>
              </w:rPr>
            </w:pPr>
            <w:r w:rsidRPr="005B1785">
              <w:t>E</w:t>
            </w:r>
          </w:p>
        </w:tc>
        <w:tc>
          <w:tcPr>
            <w:tcW w:w="5040" w:type="dxa"/>
            <w:gridSpan w:val="2"/>
            <w:tcBorders>
              <w:top w:val="nil"/>
              <w:left w:val="nil"/>
              <w:bottom w:val="nil"/>
              <w:right w:val="nil"/>
            </w:tcBorders>
            <w:tcMar>
              <w:top w:w="0" w:type="dxa"/>
              <w:left w:w="62" w:type="dxa"/>
              <w:bottom w:w="0" w:type="dxa"/>
              <w:right w:w="62" w:type="dxa"/>
            </w:tcMar>
          </w:tcPr>
          <w:p w:rsidR="00000000" w:rsidP="005B1785">
            <w:pPr>
              <w:pStyle w:val="BodyText"/>
              <w:rPr>
                <w:lang w:val="en-NZ"/>
              </w:rPr>
            </w:pPr>
            <w:r w:rsidRPr="005B1785">
              <w:t>Obtaining approval for final design.</w:t>
            </w:r>
          </w:p>
        </w:tc>
      </w:tr>
      <w:tr w:rsidTr="00FD72A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B1785">
            <w:pPr>
              <w:pStyle w:val="BodyText"/>
              <w:rPr>
                <w:lang w:val="en-NZ"/>
              </w:rPr>
            </w:pPr>
            <w:r w:rsidRPr="005B1785">
              <w:t>F</w:t>
            </w:r>
          </w:p>
        </w:tc>
        <w:tc>
          <w:tcPr>
            <w:tcW w:w="5040" w:type="dxa"/>
            <w:gridSpan w:val="2"/>
            <w:tcBorders>
              <w:top w:val="nil"/>
              <w:left w:val="nil"/>
              <w:bottom w:val="nil"/>
              <w:right w:val="nil"/>
            </w:tcBorders>
            <w:tcMar>
              <w:top w:w="0" w:type="dxa"/>
              <w:left w:w="62" w:type="dxa"/>
              <w:bottom w:w="0" w:type="dxa"/>
              <w:right w:w="62" w:type="dxa"/>
            </w:tcMar>
          </w:tcPr>
          <w:p w:rsidR="00000000" w:rsidP="005B1785">
            <w:pPr>
              <w:pStyle w:val="BodyText"/>
              <w:rPr>
                <w:lang w:val="en-NZ"/>
              </w:rPr>
            </w:pPr>
            <w:r w:rsidRPr="005B1785">
              <w:t>Dealing with unplanned events by drawing on essential knowledge and skills to provide appropriate solutions incorporated in the holistic assessment with the above listed items.</w:t>
            </w:r>
          </w:p>
        </w:tc>
      </w:tr>
      <w:tr w:rsidTr="00FD72A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B1785" w:rsidP="005B1785">
            <w:pPr>
              <w:pStyle w:val="BodyText"/>
            </w:pPr>
            <w:r w:rsidRPr="005B1785">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5B1785" w:rsidP="005B1785">
            <w:pPr>
              <w:pStyle w:val="BodyText"/>
            </w:pPr>
            <w:r w:rsidRPr="005B1785">
              <w:rPr>
                <w:rStyle w:val="SpecialBold"/>
              </w:rPr>
              <w:t>9</w:t>
            </w:r>
            <w:r w:rsidRPr="005B1785">
              <w:t>.</w:t>
            </w:r>
            <w:r w:rsidRPr="005B1785">
              <w:rPr>
                <w:rStyle w:val="SpecialBold"/>
              </w:rPr>
              <w:t>3</w:t>
            </w:r>
            <w:r w:rsidRPr="005B1785">
              <w:t xml:space="preserve">) </w:t>
            </w:r>
          </w:p>
          <w:p w:rsidR="00000000" w:rsidRPr="005B1785" w:rsidP="005B1785">
            <w:pPr>
              <w:pStyle w:val="BodyText"/>
            </w:pPr>
            <w:r w:rsidRPr="005B1785">
              <w:t>This unit should be as</w:t>
            </w:r>
            <w:r w:rsidRPr="005B1785">
              <w:t>sessed as it relates to normal work practice using procedures, information and resources typical of a workplace. This should include:</w:t>
            </w:r>
          </w:p>
          <w:p w:rsidR="00000000" w:rsidRPr="005B1785" w:rsidP="005B1785">
            <w:pPr>
              <w:pStyle w:val="ListBullet"/>
            </w:pPr>
            <w:r w:rsidRPr="005B1785">
              <w:t>OHS policy and work procedures and instructions.</w:t>
            </w:r>
          </w:p>
          <w:p w:rsidR="00000000" w:rsidRPr="005B1785" w:rsidP="005B1785">
            <w:pPr>
              <w:pStyle w:val="ListBullet"/>
            </w:pPr>
            <w:r w:rsidRPr="005B1785">
              <w:t>Suitable work environment, facilities, equipment and materials to undertake actual work as prescribed by this unit.</w:t>
            </w:r>
          </w:p>
          <w:p w:rsidR="00000000" w:rsidRPr="005B1785" w:rsidP="005B1785">
            <w:pPr>
              <w:pStyle w:val="BodyText"/>
            </w:pPr>
            <w:r w:rsidRPr="005B1785">
              <w:t>These should be part of the formal learning/assessment environment.</w:t>
            </w:r>
          </w:p>
          <w:p w:rsidR="00000000" w:rsidRPr="005B1785" w:rsidP="005B1785">
            <w:pPr>
              <w:pStyle w:val="BodyText"/>
            </w:pPr>
            <w:r w:rsidRPr="005B1785">
              <w:t>Note:</w:t>
            </w:r>
          </w:p>
          <w:p w:rsidR="00000000" w:rsidP="005B1785">
            <w:pPr>
              <w:pStyle w:val="BodyText"/>
              <w:rPr>
                <w:lang w:val="en-NZ"/>
              </w:rPr>
            </w:pPr>
            <w:r w:rsidRPr="005B1785">
              <w:t>Where simulation is considered a suitable strategy for assessment,</w:t>
            </w:r>
            <w:r w:rsidRPr="005B1785">
              <w:t xml:space="preserve"> conditions must be authentic and as far as possible reproduce and replicate the workplace and be consistent with the approved industry simulation policy.</w:t>
            </w:r>
          </w:p>
        </w:tc>
      </w:tr>
      <w:tr w:rsidTr="00FD72A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5B1785">
            <w:pPr>
              <w:pStyle w:val="BodyText"/>
              <w:rPr>
                <w:lang w:val="en-NZ"/>
              </w:rPr>
            </w:pPr>
            <w:r w:rsidRPr="005B1785">
              <w:t>The resources used for assessment should reflect current industry practices in relation to desig</w:t>
            </w:r>
            <w:r w:rsidRPr="005B1785">
              <w:t>ning switchboards rated for high fault levels.</w:t>
            </w:r>
          </w:p>
        </w:tc>
      </w:tr>
      <w:tr w:rsidTr="00FD72A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B1785" w:rsidP="005B1785">
            <w:pPr>
              <w:pStyle w:val="BodyText"/>
            </w:pPr>
            <w:r w:rsidRPr="005B1785">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5B1785" w:rsidP="005B1785">
            <w:pPr>
              <w:pStyle w:val="BodyText"/>
            </w:pPr>
            <w:r w:rsidRPr="005B1785">
              <w:rPr>
                <w:rStyle w:val="SpecialBold"/>
              </w:rPr>
              <w:t>9</w:t>
            </w:r>
            <w:r w:rsidRPr="005B1785">
              <w:t>.</w:t>
            </w:r>
            <w:r w:rsidRPr="005B1785">
              <w:rPr>
                <w:rStyle w:val="SpecialBold"/>
              </w:rPr>
              <w:t>4</w:t>
            </w:r>
            <w:r w:rsidRPr="005B1785">
              <w:t xml:space="preserve">) </w:t>
            </w:r>
          </w:p>
          <w:p w:rsidR="00000000" w:rsidRPr="005B1785" w:rsidP="005B1785">
            <w:pPr>
              <w:pStyle w:val="BodyText"/>
            </w:pPr>
            <w:r w:rsidRPr="005B1785">
              <w:t>This unit shall be assessed by methods given in Volume 1, Part 3 'Assessment Guidelines'.</w:t>
            </w:r>
          </w:p>
          <w:p w:rsidR="00000000" w:rsidP="005B1785">
            <w:pPr>
              <w:pStyle w:val="BodyText"/>
              <w:rPr>
                <w:lang w:val="en-NZ"/>
              </w:rPr>
            </w:pPr>
            <w:r w:rsidRPr="005B1785">
              <w:t>Note:</w:t>
            </w:r>
            <w:r w:rsidRPr="005B1785">
              <w:br/>
            </w:r>
            <w:r w:rsidRPr="005B1785">
              <w:t>Competent performance with inherent safe working practices is expected in the industry to which this unit applies. This requires assessment in a structured environment which is primarily intended for learning/assessment and incorporates all necessary equip</w:t>
            </w:r>
            <w:r w:rsidRPr="005B1785">
              <w:t>ment and facilities for learners to develop and demonstrate the essential knowledge and skills described in this unit.</w:t>
            </w:r>
          </w:p>
        </w:tc>
      </w:tr>
      <w:tr w:rsidTr="00FD72A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5B1785" w:rsidP="005B1785">
            <w:pPr>
              <w:pStyle w:val="BodyText"/>
            </w:pPr>
            <w:r w:rsidRPr="005B1785">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5B1785">
            <w:pPr>
              <w:pStyle w:val="BodyText"/>
              <w:rPr>
                <w:lang w:val="en-NZ"/>
              </w:rPr>
            </w:pPr>
            <w:r w:rsidRPr="005B1785">
              <w:rPr>
                <w:rStyle w:val="SpecialBold"/>
              </w:rPr>
              <w:t>9</w:t>
            </w:r>
            <w:r w:rsidRPr="005B1785">
              <w:t>.</w:t>
            </w:r>
            <w:r w:rsidRPr="005B1785">
              <w:rPr>
                <w:rStyle w:val="SpecialBold"/>
              </w:rPr>
              <w:t>5</w:t>
            </w:r>
            <w:r w:rsidRPr="005B1785">
              <w:t>)</w:t>
            </w:r>
          </w:p>
        </w:tc>
      </w:tr>
      <w:tr w:rsidTr="00FD72A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5B1785">
            <w:pPr>
              <w:pStyle w:val="BodyText"/>
              <w:rPr>
                <w:lang w:val="en-NZ"/>
              </w:rPr>
            </w:pPr>
            <w:r w:rsidRPr="005B1785">
              <w:t>For optimisation of training and assessment effort, competency development in this unit may be arranged concurrently with unit:</w:t>
            </w:r>
          </w:p>
        </w:tc>
      </w:tr>
      <w:tr w:rsidTr="00FD72A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gridSpan w:val="3"/>
            <w:tcBorders>
              <w:top w:val="nil"/>
              <w:left w:val="nil"/>
              <w:bottom w:val="nil"/>
              <w:right w:val="nil"/>
            </w:tcBorders>
            <w:tcMar>
              <w:top w:w="0" w:type="dxa"/>
              <w:left w:w="62" w:type="dxa"/>
              <w:bottom w:w="0" w:type="dxa"/>
              <w:right w:w="62" w:type="dxa"/>
            </w:tcMar>
          </w:tcPr>
          <w:p w:rsidR="00000000" w:rsidP="005B1785">
            <w:pPr>
              <w:pStyle w:val="BodyText"/>
              <w:rPr>
                <w:lang w:val="en-NZ"/>
              </w:rPr>
            </w:pPr>
            <w:r w:rsidRPr="005B1785">
              <w:t>UEENEED004B</w:t>
            </w:r>
          </w:p>
        </w:tc>
        <w:tc>
          <w:tcPr>
            <w:tcW w:w="4140" w:type="dxa"/>
            <w:tcBorders>
              <w:top w:val="nil"/>
              <w:left w:val="nil"/>
              <w:bottom w:val="nil"/>
              <w:right w:val="nil"/>
            </w:tcBorders>
            <w:tcMar>
              <w:top w:w="0" w:type="dxa"/>
              <w:left w:w="62" w:type="dxa"/>
              <w:bottom w:w="0" w:type="dxa"/>
              <w:right w:w="62" w:type="dxa"/>
            </w:tcMar>
          </w:tcPr>
          <w:p w:rsidR="00000000" w:rsidRPr="005B1785" w:rsidP="005B1785">
            <w:pPr>
              <w:pStyle w:val="BodyText"/>
            </w:pPr>
            <w:r w:rsidRPr="005B1785">
              <w:t>Use engineering applications software</w:t>
            </w:r>
          </w:p>
        </w:tc>
      </w:tr>
    </w:tbl>
    <w:p w:rsidR="00FD72A3" w:rsidP="005B1785">
      <w:pPr>
        <w:pStyle w:val="BodyText"/>
      </w:pPr>
    </w:p>
    <w:p w:rsidR="00FD72A3" w:rsidP="005B1785">
      <w:pPr>
        <w:pStyle w:val="BodyText"/>
      </w:pPr>
    </w:p>
    <w:p w:rsidR="00000000" w:rsidRPr="005B1785" w:rsidP="005B1785">
      <w:pPr>
        <w:pStyle w:val="Heading1"/>
      </w:pPr>
      <w:bookmarkStart w:id="11" w:name="O_255309"/>
      <w:bookmarkEnd w:id="11"/>
      <w:r w:rsidRPr="005B1785">
        <w:t>Range Statement</w:t>
      </w:r>
    </w:p>
    <w:tbl>
      <w:tblPr>
        <w:tblW w:w="0" w:type="auto"/>
        <w:tblLayout w:type="fixed"/>
        <w:tblCellMar>
          <w:left w:w="62" w:type="dxa"/>
          <w:right w:w="62" w:type="dxa"/>
        </w:tblCellMar>
        <w:tblLook w:val="0000"/>
      </w:tblPr>
      <w:tblGrid>
        <w:gridCol w:w="8460"/>
      </w:tblGrid>
      <w:tr w:rsidTr="00FD72A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B1785">
            <w:pPr>
              <w:pStyle w:val="BodyText"/>
              <w:rPr>
                <w:lang w:val="en-NZ"/>
              </w:rPr>
            </w:pPr>
            <w:r w:rsidRPr="005B1785">
              <w:rPr>
                <w:rStyle w:val="SpecialBold"/>
              </w:rPr>
              <w:t>RANGE STATEMENT</w:t>
            </w:r>
          </w:p>
        </w:tc>
      </w:tr>
      <w:tr w:rsidTr="00FD72A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5B1785">
            <w:pPr>
              <w:pStyle w:val="BodyText"/>
              <w:rPr>
                <w:lang w:val="en-NZ"/>
              </w:rPr>
            </w:pPr>
            <w:r w:rsidRPr="005B1785">
              <w:rPr>
                <w:rStyle w:val="SpecialBold"/>
              </w:rPr>
              <w:t>8</w:t>
            </w:r>
            <w:r w:rsidRPr="005B1785">
              <w:t>) This relates to the unit as a whole providing the range of contexts and conditions to which the performance criteria apply. It allows for different work environments and situations that will affect performance.</w:t>
            </w:r>
          </w:p>
        </w:tc>
      </w:tr>
      <w:tr w:rsidTr="00FD72A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5B1785">
            <w:pPr>
              <w:pStyle w:val="BodyText"/>
              <w:rPr>
                <w:lang w:val="en-NZ"/>
              </w:rPr>
            </w:pPr>
            <w:r w:rsidRPr="005B1785">
              <w:t>This unit shall be demonstrated in relatio</w:t>
            </w:r>
            <w:r w:rsidRPr="005B1785">
              <w:t>n to designing switchboards rated for fault levels in excess of 20 kA. The switchboard shall comprise control for essential and general supply, metering, sub-main controls, local final sub-circuit distribution board and fault monitoring.</w:t>
            </w:r>
          </w:p>
        </w:tc>
      </w:tr>
      <w:tr w:rsidTr="00FD72A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B1785" w:rsidP="005B1785">
            <w:pPr>
              <w:pStyle w:val="BodyText"/>
            </w:pPr>
            <w:r w:rsidRPr="005B1785">
              <w:t>Generic terms use</w:t>
            </w:r>
            <w:r w:rsidRPr="005B1785">
              <w:t>d throughout  this Vocational Standard shall be regarded as part of the Range Statement in which competency is demonstrated. The definition of these and other terms that apply are given in Volume 2, Part 2.1.</w:t>
            </w:r>
          </w:p>
        </w:tc>
      </w:tr>
    </w:tbl>
    <w:p w:rsidR="00FD72A3" w:rsidP="005B1785">
      <w:pPr>
        <w:pStyle w:val="BodyText"/>
      </w:pPr>
    </w:p>
    <w:p w:rsidR="00FD72A3" w:rsidP="005B1785">
      <w:pPr>
        <w:pStyle w:val="BodyText"/>
      </w:pPr>
    </w:p>
    <w:p w:rsidR="00000000" w:rsidRPr="005B1785" w:rsidP="005B1785">
      <w:pPr>
        <w:pStyle w:val="Heading1"/>
      </w:pPr>
      <w:bookmarkStart w:id="12" w:name="O_296322"/>
      <w:bookmarkEnd w:id="12"/>
      <w:r w:rsidRPr="005B1785">
        <w:t>Unit Sector(s)</w:t>
      </w:r>
    </w:p>
    <w:p w:rsidR="00000000" w:rsidRPr="005B1785" w:rsidP="005B1785">
      <w:pPr>
        <w:pStyle w:val="BodyText"/>
      </w:pPr>
      <w:r w:rsidRPr="005B1785">
        <w:t>Not Applicable</w:t>
      </w:r>
    </w:p>
    <w:p w:rsidR="00000000" w:rsidRPr="005B1785" w:rsidP="005B1785">
      <w:pPr>
        <w:pStyle w:val="AllowPageBreak"/>
      </w:pPr>
    </w:p>
    <w:p w:rsidR="00000000" w:rsidRPr="005B1785" w:rsidP="005B1785">
      <w:pPr>
        <w:pStyle w:val="Heading1"/>
      </w:pPr>
      <w:bookmarkStart w:id="13" w:name="O_226166"/>
      <w:bookmarkEnd w:id="13"/>
      <w:r w:rsidRPr="005B1785">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FD72A3">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5B1785" w:rsidP="005B1785">
            <w:pPr>
              <w:pStyle w:val="BodyText"/>
            </w:pPr>
            <w:r w:rsidRPr="005B1785">
              <w:rPr>
                <w:rStyle w:val="SpecialBold"/>
              </w:rPr>
              <w:t>2</w:t>
            </w:r>
            <w:r w:rsidRPr="005B1785">
              <w:t>.</w:t>
            </w:r>
            <w:r w:rsidRPr="005B1785">
              <w:rPr>
                <w:rStyle w:val="SpecialBold"/>
              </w:rPr>
              <w:t>2</w:t>
            </w:r>
            <w:r w:rsidRPr="005B1785">
              <w:t xml:space="preserve">) </w:t>
            </w:r>
            <w:r w:rsidRPr="005B1785">
              <w:rPr>
                <w:rStyle w:val="SpecialBold"/>
              </w:rPr>
              <w:t>Literacy and numeracy skills</w:t>
            </w:r>
          </w:p>
          <w:p w:rsidR="00000000" w:rsidP="005B1785">
            <w:pPr>
              <w:pStyle w:val="BodyText"/>
              <w:rPr>
                <w:lang w:val="en-NZ"/>
              </w:rPr>
            </w:pPr>
            <w:r w:rsidRPr="005B1785">
              <w:t>Participants are best equipped to achieve competency in this unit if they have reading, writing and numeracy skills indicated by the following scales. Description of each sc</w:t>
            </w:r>
            <w:r w:rsidRPr="005B1785">
              <w:t>ale is given in Volume 2, Part 3 'Literacy and Numeracy'</w:t>
            </w:r>
          </w:p>
        </w:tc>
      </w:tr>
      <w:tr w:rsidTr="00FD72A3">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5B1785">
            <w:pPr>
              <w:pStyle w:val="BodyText"/>
              <w:rPr>
                <w:lang w:val="en-NZ"/>
              </w:rPr>
            </w:pPr>
            <w:r w:rsidRPr="005B1785">
              <w:t>Reading</w:t>
            </w:r>
          </w:p>
        </w:tc>
        <w:tc>
          <w:tcPr>
            <w:tcW w:w="1182" w:type="dxa"/>
            <w:tcBorders>
              <w:top w:val="nil"/>
              <w:left w:val="nil"/>
              <w:bottom w:val="nil"/>
              <w:right w:val="nil"/>
            </w:tcBorders>
            <w:tcMar>
              <w:top w:w="0" w:type="dxa"/>
              <w:left w:w="62" w:type="dxa"/>
              <w:bottom w:w="0" w:type="dxa"/>
              <w:right w:w="62" w:type="dxa"/>
            </w:tcMar>
          </w:tcPr>
          <w:p w:rsidR="00000000" w:rsidP="005B1785">
            <w:pPr>
              <w:pStyle w:val="BodyText"/>
              <w:rPr>
                <w:lang w:val="en-NZ"/>
              </w:rPr>
            </w:pPr>
            <w:r w:rsidRPr="005B1785">
              <w:t>5</w:t>
            </w:r>
          </w:p>
        </w:tc>
        <w:tc>
          <w:tcPr>
            <w:tcW w:w="1739" w:type="dxa"/>
            <w:tcBorders>
              <w:top w:val="nil"/>
              <w:left w:val="nil"/>
              <w:bottom w:val="nil"/>
              <w:right w:val="nil"/>
            </w:tcBorders>
            <w:tcMar>
              <w:top w:w="0" w:type="dxa"/>
              <w:left w:w="62" w:type="dxa"/>
              <w:bottom w:w="0" w:type="dxa"/>
              <w:right w:w="62" w:type="dxa"/>
            </w:tcMar>
          </w:tcPr>
          <w:p w:rsidR="00000000" w:rsidP="005B1785">
            <w:pPr>
              <w:pStyle w:val="BodyText"/>
              <w:rPr>
                <w:lang w:val="en-NZ"/>
              </w:rPr>
            </w:pPr>
            <w:r w:rsidRPr="005B1785">
              <w:t>Writing</w:t>
            </w:r>
          </w:p>
        </w:tc>
        <w:tc>
          <w:tcPr>
            <w:tcW w:w="1182" w:type="dxa"/>
            <w:tcBorders>
              <w:top w:val="nil"/>
              <w:left w:val="nil"/>
              <w:bottom w:val="nil"/>
              <w:right w:val="nil"/>
            </w:tcBorders>
            <w:tcMar>
              <w:top w:w="0" w:type="dxa"/>
              <w:left w:w="62" w:type="dxa"/>
              <w:bottom w:w="0" w:type="dxa"/>
              <w:right w:w="62" w:type="dxa"/>
            </w:tcMar>
          </w:tcPr>
          <w:p w:rsidR="00000000" w:rsidP="005B1785">
            <w:pPr>
              <w:pStyle w:val="BodyText"/>
              <w:rPr>
                <w:lang w:val="en-NZ"/>
              </w:rPr>
            </w:pPr>
            <w:r w:rsidRPr="005B1785">
              <w:t>5</w:t>
            </w:r>
          </w:p>
        </w:tc>
        <w:tc>
          <w:tcPr>
            <w:tcW w:w="1721" w:type="dxa"/>
            <w:tcBorders>
              <w:top w:val="nil"/>
              <w:left w:val="nil"/>
              <w:bottom w:val="nil"/>
              <w:right w:val="nil"/>
            </w:tcBorders>
            <w:tcMar>
              <w:top w:w="0" w:type="dxa"/>
              <w:left w:w="62" w:type="dxa"/>
              <w:bottom w:w="0" w:type="dxa"/>
              <w:right w:w="62" w:type="dxa"/>
            </w:tcMar>
          </w:tcPr>
          <w:p w:rsidR="00000000" w:rsidP="005B1785">
            <w:pPr>
              <w:pStyle w:val="BodyText"/>
              <w:rPr>
                <w:lang w:val="en-NZ"/>
              </w:rPr>
            </w:pPr>
            <w:r w:rsidRPr="005B1785">
              <w:t>Numeracy</w:t>
            </w:r>
          </w:p>
        </w:tc>
        <w:tc>
          <w:tcPr>
            <w:tcW w:w="1182" w:type="dxa"/>
            <w:tcBorders>
              <w:top w:val="nil"/>
              <w:left w:val="nil"/>
              <w:bottom w:val="nil"/>
              <w:right w:val="nil"/>
            </w:tcBorders>
            <w:tcMar>
              <w:top w:w="0" w:type="dxa"/>
              <w:left w:w="62" w:type="dxa"/>
              <w:bottom w:w="0" w:type="dxa"/>
              <w:right w:w="62" w:type="dxa"/>
            </w:tcMar>
          </w:tcPr>
          <w:p w:rsidR="00000000" w:rsidRPr="005B1785" w:rsidP="005B1785">
            <w:pPr>
              <w:pStyle w:val="BodyText"/>
            </w:pPr>
            <w:r w:rsidRPr="005B1785">
              <w:t>5</w:t>
            </w:r>
          </w:p>
        </w:tc>
      </w:tr>
    </w:tbl>
    <w:p w:rsidR="00FD72A3" w:rsidP="005B1785">
      <w:pPr>
        <w:pStyle w:val="BodyText"/>
      </w:pPr>
    </w:p>
    <w:p w:rsidR="00FD72A3" w:rsidP="005B1785">
      <w:pPr>
        <w:pStyle w:val="BodyText"/>
      </w:pPr>
    </w:p>
    <w:p w:rsidR="00000000" w:rsidRPr="005B1785" w:rsidP="005B1785">
      <w:pPr>
        <w:pStyle w:val="Heading1"/>
      </w:pPr>
      <w:bookmarkStart w:id="14" w:name="O_226169"/>
      <w:bookmarkEnd w:id="14"/>
      <w:r w:rsidRPr="005B1785">
        <w:t>2.2) Literacy and numeracy skills</w:t>
      </w:r>
    </w:p>
    <w:tbl>
      <w:tblPr>
        <w:tblW w:w="0" w:type="auto"/>
        <w:tblLayout w:type="fixed"/>
        <w:tblCellMar>
          <w:left w:w="62" w:type="dxa"/>
          <w:right w:w="62" w:type="dxa"/>
        </w:tblCellMar>
        <w:tblLook w:val="0000"/>
      </w:tblPr>
      <w:tblGrid>
        <w:gridCol w:w="2700"/>
        <w:gridCol w:w="5760"/>
      </w:tblGrid>
      <w:tr w:rsidTr="00FD72A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B1785" w:rsidP="005B1785">
            <w:pPr>
              <w:pStyle w:val="BodyText"/>
            </w:pPr>
            <w:r w:rsidRPr="005B178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B1785">
            <w:pPr>
              <w:pStyle w:val="BodyText"/>
              <w:rPr>
                <w:lang w:val="en-NZ"/>
              </w:rPr>
            </w:pPr>
            <w:r w:rsidRPr="005B1785">
              <w:rPr>
                <w:rStyle w:val="SpecialBold"/>
              </w:rPr>
              <w:t>5</w:t>
            </w:r>
            <w:r w:rsidRPr="005B1785">
              <w:t>)</w:t>
            </w:r>
          </w:p>
        </w:tc>
      </w:tr>
      <w:tr w:rsidTr="00FD72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B1785" w:rsidP="005B1785">
            <w:pPr>
              <w:pStyle w:val="BodyText"/>
            </w:pPr>
            <w:r w:rsidRPr="005B1785">
              <w:t>Electrical</w:t>
            </w:r>
          </w:p>
        </w:tc>
      </w:tr>
    </w:tbl>
    <w:p w:rsidR="00FD72A3" w:rsidP="005B1785">
      <w:pPr>
        <w:pStyle w:val="BodyText"/>
      </w:pPr>
    </w:p>
    <w:p w:rsidR="00FD72A3" w:rsidP="005B1785">
      <w:pPr>
        <w:pStyle w:val="BodyText"/>
      </w:pPr>
    </w:p>
    <w:p w:rsidR="00000000" w:rsidRPr="005B1785" w:rsidP="005B1785"/>
    <w:sectPr w:rsidSect="005B17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7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72A3" w:rsidP="00FD72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7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2A3" w:rsidP="005B17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D72A3" w:rsidP="005B17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D72A3" w:rsidP="005B17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7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785" w:rsidRPr="00FD72A3" w:rsidP="00FD72A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7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2A3" w:rsidP="005B1785">
    <w:pPr>
      <w:pStyle w:val="Header"/>
      <w:framePr w:wrap="around"/>
    </w:pPr>
    <w:r>
      <w:fldChar w:fldCharType="begin"/>
    </w:r>
    <w:r>
      <w:instrText xml:space="preserve"> TITLE   \* MERGEFORMAT </w:instrText>
    </w:r>
    <w:r>
      <w:fldChar w:fldCharType="separate"/>
    </w:r>
    <w:r>
      <w:t>UEENEEG030B Design switchboards rated for high fault levels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D72A3" w:rsidP="005B17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5870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1476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E0BB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178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B1785"/>
    <w:pPr>
      <w:spacing w:before="360" w:after="60"/>
      <w:outlineLvl w:val="0"/>
    </w:pPr>
    <w:rPr>
      <w:sz w:val="32"/>
    </w:rPr>
  </w:style>
  <w:style w:type="paragraph" w:styleId="Heading2">
    <w:name w:val="heading 2"/>
    <w:basedOn w:val="HeadingBase"/>
    <w:next w:val="BodyText"/>
    <w:link w:val="Heading2Char"/>
    <w:qFormat/>
    <w:rsid w:val="005B1785"/>
    <w:pPr>
      <w:keepLines/>
      <w:spacing w:before="240" w:after="120"/>
      <w:outlineLvl w:val="1"/>
    </w:pPr>
    <w:rPr>
      <w:sz w:val="28"/>
      <w:szCs w:val="40"/>
    </w:rPr>
  </w:style>
  <w:style w:type="paragraph" w:styleId="Heading3">
    <w:name w:val="heading 3"/>
    <w:basedOn w:val="HeadingBase"/>
    <w:next w:val="BodyText"/>
    <w:link w:val="Heading3Char"/>
    <w:qFormat/>
    <w:rsid w:val="005B1785"/>
    <w:pPr>
      <w:spacing w:before="180" w:after="120"/>
      <w:outlineLvl w:val="2"/>
    </w:pPr>
    <w:rPr>
      <w:spacing w:val="-10"/>
      <w:kern w:val="32"/>
    </w:rPr>
  </w:style>
  <w:style w:type="paragraph" w:styleId="Heading4">
    <w:name w:val="heading 4"/>
    <w:basedOn w:val="HeadingBase"/>
    <w:next w:val="BodyText"/>
    <w:link w:val="Heading4Char"/>
    <w:qFormat/>
    <w:rsid w:val="005B1785"/>
    <w:pPr>
      <w:spacing w:before="160" w:after="120"/>
      <w:outlineLvl w:val="3"/>
    </w:pPr>
    <w:rPr>
      <w:sz w:val="22"/>
    </w:rPr>
  </w:style>
  <w:style w:type="paragraph" w:styleId="Heading5">
    <w:name w:val="heading 5"/>
    <w:basedOn w:val="HeadingBase"/>
    <w:next w:val="Normal"/>
    <w:link w:val="Heading5Char"/>
    <w:qFormat/>
    <w:rsid w:val="005B1785"/>
    <w:pPr>
      <w:spacing w:before="80"/>
      <w:outlineLvl w:val="4"/>
    </w:pPr>
    <w:rPr>
      <w:color w:val="918585"/>
      <w:sz w:val="20"/>
    </w:rPr>
  </w:style>
  <w:style w:type="paragraph" w:styleId="Heading6">
    <w:name w:val="heading 6"/>
    <w:basedOn w:val="HeadingBase"/>
    <w:next w:val="Normal"/>
    <w:link w:val="Heading6Char"/>
    <w:qFormat/>
    <w:rsid w:val="005B1785"/>
    <w:pPr>
      <w:spacing w:before="60"/>
      <w:outlineLvl w:val="5"/>
    </w:pPr>
    <w:rPr>
      <w:color w:val="918585"/>
      <w:sz w:val="20"/>
    </w:rPr>
  </w:style>
  <w:style w:type="paragraph" w:styleId="Heading7">
    <w:name w:val="heading 7"/>
    <w:basedOn w:val="Normal"/>
    <w:next w:val="Normal"/>
    <w:link w:val="Heading7Char"/>
    <w:qFormat/>
    <w:rsid w:val="005B1785"/>
    <w:pPr>
      <w:ind w:left="720"/>
      <w:outlineLvl w:val="6"/>
    </w:pPr>
    <w:rPr>
      <w:i/>
    </w:rPr>
  </w:style>
  <w:style w:type="paragraph" w:styleId="Heading8">
    <w:name w:val="heading 8"/>
    <w:basedOn w:val="Normal"/>
    <w:next w:val="Normal"/>
    <w:link w:val="Heading8Char"/>
    <w:qFormat/>
    <w:rsid w:val="005B1785"/>
    <w:pPr>
      <w:ind w:left="720"/>
      <w:outlineLvl w:val="7"/>
    </w:pPr>
    <w:rPr>
      <w:i/>
    </w:rPr>
  </w:style>
  <w:style w:type="paragraph" w:styleId="Heading9">
    <w:name w:val="heading 9"/>
    <w:basedOn w:val="Normal"/>
    <w:next w:val="Normal"/>
    <w:link w:val="Heading9Char"/>
    <w:qFormat/>
    <w:rsid w:val="005B1785"/>
    <w:pPr>
      <w:ind w:left="720"/>
      <w:outlineLvl w:val="8"/>
    </w:pPr>
    <w:rPr>
      <w:i/>
    </w:rPr>
  </w:style>
  <w:style w:type="character" w:default="1" w:styleId="DefaultParagraphFont">
    <w:name w:val="Default Paragraph Font"/>
    <w:uiPriority w:val="1"/>
    <w:unhideWhenUsed/>
    <w:rsid w:val="005B17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1785"/>
  </w:style>
  <w:style w:type="character" w:customStyle="1" w:styleId="Heading1Char">
    <w:name w:val="Heading 1 Char"/>
    <w:link w:val="Heading1"/>
    <w:rsid w:val="005B1785"/>
    <w:rPr>
      <w:rFonts w:ascii="Times New Roman" w:eastAsia="Times New Roman" w:hAnsi="Times New Roman" w:cs="Times New Roman"/>
      <w:b/>
      <w:sz w:val="32"/>
      <w:szCs w:val="20"/>
      <w:lang w:eastAsia="en-US"/>
    </w:rPr>
  </w:style>
  <w:style w:type="paragraph" w:styleId="BodyText">
    <w:name w:val="Body Text"/>
    <w:basedOn w:val="Normal"/>
    <w:link w:val="BodyTextChar"/>
    <w:rsid w:val="005B1785"/>
    <w:pPr>
      <w:spacing w:before="120" w:after="120"/>
      <w:contextualSpacing/>
    </w:pPr>
    <w:rPr>
      <w:rFonts w:ascii="Times New Roman" w:hAnsi="Times New Roman"/>
      <w:sz w:val="24"/>
      <w:szCs w:val="22"/>
    </w:rPr>
  </w:style>
  <w:style w:type="character" w:customStyle="1" w:styleId="BodyTextChar">
    <w:name w:val="Body Text Char"/>
    <w:link w:val="BodyText"/>
    <w:rsid w:val="005B1785"/>
    <w:rPr>
      <w:rFonts w:ascii="Times New Roman" w:eastAsia="Times New Roman" w:hAnsi="Times New Roman" w:cs="Times New Roman"/>
      <w:sz w:val="24"/>
      <w:lang w:val="en-US" w:eastAsia="en-US"/>
    </w:rPr>
  </w:style>
  <w:style w:type="paragraph" w:styleId="Footer">
    <w:name w:val="footer"/>
    <w:basedOn w:val="Normal"/>
    <w:link w:val="FooterChar"/>
    <w:rsid w:val="005B17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B1785"/>
    <w:rPr>
      <w:rFonts w:ascii="Times New Roman" w:eastAsia="Times New Roman" w:hAnsi="Times New Roman" w:cs="Times New Roman"/>
      <w:sz w:val="16"/>
      <w:lang w:val="en-US" w:eastAsia="en-US"/>
    </w:rPr>
  </w:style>
  <w:style w:type="paragraph" w:styleId="ListBullet">
    <w:name w:val="List Bullet"/>
    <w:basedOn w:val="List"/>
    <w:rsid w:val="005B1785"/>
    <w:pPr>
      <w:numPr>
        <w:numId w:val="13"/>
      </w:numPr>
      <w:tabs>
        <w:tab w:val="clear" w:pos="340"/>
      </w:tabs>
      <w:spacing w:before="40" w:after="40"/>
    </w:pPr>
  </w:style>
  <w:style w:type="character" w:customStyle="1" w:styleId="SpecialBold">
    <w:name w:val="Special Bold"/>
    <w:rsid w:val="005B1785"/>
    <w:rPr>
      <w:b/>
      <w:spacing w:val="0"/>
    </w:rPr>
  </w:style>
  <w:style w:type="paragraph" w:styleId="ListBullet2">
    <w:name w:val="List Bullet 2"/>
    <w:basedOn w:val="List2"/>
    <w:rsid w:val="005B1785"/>
    <w:pPr>
      <w:numPr>
        <w:numId w:val="14"/>
      </w:numPr>
      <w:tabs>
        <w:tab w:val="clear" w:pos="680"/>
      </w:tabs>
    </w:pPr>
  </w:style>
  <w:style w:type="paragraph" w:customStyle="1" w:styleId="SuperHeading">
    <w:name w:val="SuperHeading"/>
    <w:basedOn w:val="Normal"/>
    <w:rsid w:val="005B1785"/>
    <w:pPr>
      <w:spacing w:before="240" w:after="120"/>
      <w:outlineLvl w:val="0"/>
    </w:pPr>
    <w:rPr>
      <w:rFonts w:ascii="Times New Roman" w:hAnsi="Times New Roman"/>
      <w:b/>
      <w:sz w:val="28"/>
    </w:rPr>
  </w:style>
  <w:style w:type="paragraph" w:customStyle="1" w:styleId="AllowPageBreak">
    <w:name w:val="AllowPageBreak"/>
    <w:rsid w:val="005B17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5B1785"/>
    <w:rPr>
      <w:rFonts w:ascii="Times New Roman" w:eastAsia="Times New Roman" w:hAnsi="Times New Roman" w:cs="Times New Roman"/>
      <w:b/>
      <w:sz w:val="28"/>
      <w:szCs w:val="40"/>
      <w:lang w:eastAsia="en-US"/>
    </w:rPr>
  </w:style>
  <w:style w:type="character" w:customStyle="1" w:styleId="Heading3Char">
    <w:name w:val="Heading 3 Char"/>
    <w:link w:val="Heading3"/>
    <w:rsid w:val="005B178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B1785"/>
    <w:rPr>
      <w:rFonts w:ascii="Times New Roman" w:eastAsia="Times New Roman" w:hAnsi="Times New Roman" w:cs="Times New Roman"/>
      <w:b/>
      <w:szCs w:val="20"/>
      <w:lang w:eastAsia="en-US"/>
    </w:rPr>
  </w:style>
  <w:style w:type="character" w:customStyle="1" w:styleId="Heading5Char">
    <w:name w:val="Heading 5 Char"/>
    <w:link w:val="Heading5"/>
    <w:rsid w:val="005B178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B17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178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B178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B1785"/>
    <w:rPr>
      <w:rFonts w:ascii="Courier New" w:eastAsia="Times New Roman" w:hAnsi="Courier New" w:cs="Times New Roman"/>
      <w:i/>
      <w:szCs w:val="20"/>
      <w:lang w:val="en-US" w:eastAsia="en-US"/>
    </w:rPr>
  </w:style>
  <w:style w:type="paragraph" w:customStyle="1" w:styleId="HeadingBase">
    <w:name w:val="Heading Base"/>
    <w:rsid w:val="005B17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1785"/>
    <w:pPr>
      <w:tabs>
        <w:tab w:val="right" w:leader="dot" w:pos="9072"/>
      </w:tabs>
      <w:ind w:left="567"/>
    </w:pPr>
    <w:rPr>
      <w:szCs w:val="22"/>
    </w:rPr>
  </w:style>
  <w:style w:type="paragraph" w:customStyle="1" w:styleId="TOCBase">
    <w:name w:val="TOC Base"/>
    <w:rsid w:val="005B17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1785"/>
    <w:pPr>
      <w:tabs>
        <w:tab w:val="right" w:leader="dot" w:pos="9072"/>
      </w:tabs>
      <w:spacing w:before="40" w:after="40"/>
      <w:ind w:left="284"/>
    </w:pPr>
    <w:rPr>
      <w:rFonts w:ascii="Times New Roman" w:hAnsi="Times New Roman"/>
    </w:rPr>
  </w:style>
  <w:style w:type="paragraph" w:styleId="TOC1">
    <w:name w:val="toc 1"/>
    <w:basedOn w:val="TOCBase"/>
    <w:next w:val="Normal"/>
    <w:rsid w:val="005B17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B1785"/>
    <w:pPr>
      <w:spacing w:before="5040"/>
      <w:jc w:val="center"/>
    </w:pPr>
    <w:rPr>
      <w:sz w:val="48"/>
      <w:szCs w:val="72"/>
      <w:lang w:val="en-US"/>
    </w:rPr>
  </w:style>
  <w:style w:type="character" w:customStyle="1" w:styleId="TitleChar">
    <w:name w:val="Title Char"/>
    <w:link w:val="Title"/>
    <w:rsid w:val="005B17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1785"/>
    <w:pPr>
      <w:tabs>
        <w:tab w:val="left" w:pos="3600"/>
        <w:tab w:val="left" w:pos="3958"/>
      </w:tabs>
    </w:pPr>
  </w:style>
  <w:style w:type="paragraph" w:styleId="List">
    <w:name w:val="List"/>
    <w:basedOn w:val="BodyText"/>
    <w:next w:val="BodyText"/>
    <w:rsid w:val="005B1785"/>
    <w:pPr>
      <w:tabs>
        <w:tab w:val="left" w:pos="340"/>
      </w:tabs>
      <w:spacing w:before="60" w:after="60"/>
      <w:ind w:left="340" w:hanging="340"/>
    </w:pPr>
  </w:style>
  <w:style w:type="paragraph" w:customStyle="1" w:styleId="Note">
    <w:name w:val="Note"/>
    <w:basedOn w:val="BodyText"/>
    <w:rsid w:val="005B17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1785"/>
    <w:pPr>
      <w:framePr w:wrap="auto" w:hAnchor="text" w:y="6049"/>
    </w:pPr>
    <w:rPr>
      <w:color w:val="000000"/>
      <w:sz w:val="40"/>
    </w:rPr>
  </w:style>
  <w:style w:type="paragraph" w:customStyle="1" w:styleId="TOCTitle">
    <w:name w:val="TOCTitle"/>
    <w:basedOn w:val="Heading1"/>
    <w:rsid w:val="005B1785"/>
    <w:pPr>
      <w:spacing w:after="240"/>
      <w:jc w:val="center"/>
      <w:outlineLvl w:val="9"/>
    </w:pPr>
    <w:rPr>
      <w:caps/>
    </w:rPr>
  </w:style>
  <w:style w:type="paragraph" w:customStyle="1" w:styleId="Version">
    <w:name w:val="Version"/>
    <w:rsid w:val="005B17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1785"/>
    <w:pPr>
      <w:keepNext w:val="0"/>
      <w:tabs>
        <w:tab w:val="right" w:pos="4176"/>
      </w:tabs>
      <w:ind w:left="198" w:hanging="198"/>
    </w:pPr>
    <w:rPr>
      <w:rFonts w:ascii="Garamond" w:hAnsi="Garamond"/>
    </w:rPr>
  </w:style>
  <w:style w:type="paragraph" w:styleId="IndexHeading">
    <w:name w:val="index heading"/>
    <w:basedOn w:val="Normal"/>
    <w:next w:val="Index1"/>
    <w:semiHidden/>
    <w:rsid w:val="005B1785"/>
    <w:pPr>
      <w:spacing w:before="120" w:after="120"/>
    </w:pPr>
    <w:rPr>
      <w:rFonts w:ascii="Arial" w:hAnsi="Arial"/>
      <w:b/>
      <w:color w:val="918585"/>
      <w:sz w:val="24"/>
    </w:rPr>
  </w:style>
  <w:style w:type="paragraph" w:styleId="Header">
    <w:name w:val="header"/>
    <w:basedOn w:val="Normal"/>
    <w:link w:val="HeaderChar"/>
    <w:rsid w:val="005B17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B1785"/>
    <w:rPr>
      <w:rFonts w:ascii="Times New Roman" w:eastAsia="Times New Roman" w:hAnsi="Times New Roman" w:cs="Times New Roman"/>
      <w:sz w:val="16"/>
      <w:szCs w:val="20"/>
      <w:lang w:val="en-GB" w:eastAsia="en-US"/>
    </w:rPr>
  </w:style>
  <w:style w:type="paragraph" w:customStyle="1" w:styleId="Chapter">
    <w:name w:val="Chapter"/>
    <w:basedOn w:val="Normal"/>
    <w:rsid w:val="005B1785"/>
    <w:pPr>
      <w:spacing w:before="240"/>
    </w:pPr>
    <w:rPr>
      <w:rFonts w:ascii="Times New Roman" w:hAnsi="Times New Roman"/>
      <w:smallCaps/>
      <w:spacing w:val="80"/>
      <w:sz w:val="28"/>
    </w:rPr>
  </w:style>
  <w:style w:type="paragraph" w:customStyle="1" w:styleId="InChapter">
    <w:name w:val="InChapter"/>
    <w:basedOn w:val="Heading3"/>
    <w:rsid w:val="005B1785"/>
    <w:pPr>
      <w:spacing w:after="240"/>
      <w:outlineLvl w:val="9"/>
    </w:pPr>
    <w:rPr>
      <w:noProof/>
    </w:rPr>
  </w:style>
  <w:style w:type="paragraph" w:styleId="Index2">
    <w:name w:val="index 2"/>
    <w:basedOn w:val="Normal"/>
    <w:next w:val="Normal"/>
    <w:semiHidden/>
    <w:rsid w:val="005B1785"/>
    <w:pPr>
      <w:tabs>
        <w:tab w:val="right" w:pos="4176"/>
      </w:tabs>
      <w:ind w:left="568" w:hanging="284"/>
    </w:pPr>
    <w:rPr>
      <w:rFonts w:ascii="Garamond" w:hAnsi="Garamond"/>
    </w:rPr>
  </w:style>
  <w:style w:type="paragraph" w:customStyle="1" w:styleId="Byline">
    <w:name w:val="Byline"/>
    <w:rsid w:val="005B17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1785"/>
    <w:pPr>
      <w:tabs>
        <w:tab w:val="clear" w:pos="3600"/>
        <w:tab w:val="clear" w:pos="3958"/>
      </w:tabs>
      <w:jc w:val="right"/>
    </w:pPr>
  </w:style>
  <w:style w:type="character" w:styleId="Emphasis">
    <w:name w:val="Emphasis"/>
    <w:qFormat/>
    <w:rsid w:val="005B1785"/>
    <w:rPr>
      <w:i/>
    </w:rPr>
  </w:style>
  <w:style w:type="paragraph" w:styleId="Caption">
    <w:name w:val="caption"/>
    <w:basedOn w:val="BodyText"/>
    <w:next w:val="Normal"/>
    <w:qFormat/>
    <w:rsid w:val="005B1785"/>
    <w:pPr>
      <w:framePr w:w="2268" w:hSpace="181" w:vSpace="181" w:wrap="around" w:vAnchor="text" w:hAnchor="page" w:x="1135" w:y="285" w:anchorLock="1"/>
    </w:pPr>
    <w:rPr>
      <w:i/>
    </w:rPr>
  </w:style>
  <w:style w:type="paragraph" w:customStyle="1" w:styleId="MiniTOCTitle">
    <w:name w:val="MiniTOCTitle"/>
    <w:basedOn w:val="Heading4"/>
    <w:rsid w:val="005B1785"/>
    <w:pPr>
      <w:spacing w:before="240"/>
      <w:outlineLvl w:val="9"/>
    </w:pPr>
    <w:rPr>
      <w:noProof/>
      <w:sz w:val="24"/>
    </w:rPr>
  </w:style>
  <w:style w:type="paragraph" w:customStyle="1" w:styleId="MiniTOCItem">
    <w:name w:val="MiniTOCItem"/>
    <w:basedOn w:val="ListBullet"/>
    <w:rsid w:val="005B1785"/>
    <w:pPr>
      <w:numPr>
        <w:numId w:val="0"/>
      </w:numPr>
      <w:tabs>
        <w:tab w:val="right" w:leader="dot" w:pos="6521"/>
      </w:tabs>
      <w:spacing w:before="0" w:after="0"/>
    </w:pPr>
  </w:style>
  <w:style w:type="paragraph" w:customStyle="1" w:styleId="TOFTitle">
    <w:name w:val="TOFTitle"/>
    <w:basedOn w:val="TOCTitle"/>
    <w:rsid w:val="005B1785"/>
  </w:style>
  <w:style w:type="paragraph" w:styleId="TableofFigures">
    <w:name w:val="table of figures"/>
    <w:basedOn w:val="Normal"/>
    <w:next w:val="Normal"/>
    <w:semiHidden/>
    <w:rsid w:val="005B1785"/>
    <w:pPr>
      <w:tabs>
        <w:tab w:val="right" w:leader="dot" w:pos="9072"/>
      </w:tabs>
      <w:ind w:left="970" w:hanging="403"/>
    </w:pPr>
    <w:rPr>
      <w:rFonts w:ascii="Times New Roman" w:hAnsi="Times New Roman"/>
      <w:b/>
    </w:rPr>
  </w:style>
  <w:style w:type="paragraph" w:styleId="ListNumber">
    <w:name w:val="List Number"/>
    <w:basedOn w:val="List"/>
    <w:rsid w:val="005B1785"/>
    <w:pPr>
      <w:numPr>
        <w:numId w:val="11"/>
      </w:numPr>
    </w:pPr>
  </w:style>
  <w:style w:type="character" w:customStyle="1" w:styleId="WingdingSymbols">
    <w:name w:val="Wingding Symbols"/>
    <w:rsid w:val="005B1785"/>
    <w:rPr>
      <w:rFonts w:ascii="Wingdings" w:hAnsi="Wingdings"/>
    </w:rPr>
  </w:style>
  <w:style w:type="paragraph" w:customStyle="1" w:styleId="TableHeading">
    <w:name w:val="Table Heading"/>
    <w:basedOn w:val="HeadingBase"/>
    <w:rsid w:val="005B1785"/>
    <w:pPr>
      <w:keepLines/>
      <w:pBdr>
        <w:bottom w:val="single" w:sz="6" w:space="1" w:color="918585"/>
      </w:pBdr>
      <w:spacing w:before="240"/>
    </w:pPr>
  </w:style>
  <w:style w:type="character" w:customStyle="1" w:styleId="HotSpot">
    <w:name w:val="HotSpot"/>
    <w:rsid w:val="005B1785"/>
    <w:rPr>
      <w:color w:val="0033CC"/>
      <w:u w:val="none"/>
    </w:rPr>
  </w:style>
  <w:style w:type="paragraph" w:customStyle="1" w:styleId="BodyTextRight">
    <w:name w:val="Body Text Right"/>
    <w:basedOn w:val="BodyText"/>
    <w:rsid w:val="005B1785"/>
    <w:pPr>
      <w:spacing w:before="0" w:after="0"/>
      <w:jc w:val="right"/>
    </w:pPr>
  </w:style>
  <w:style w:type="paragraph" w:styleId="Index3">
    <w:name w:val="index 3"/>
    <w:basedOn w:val="ListNumber2"/>
    <w:next w:val="Normal"/>
    <w:semiHidden/>
    <w:rsid w:val="005B1785"/>
    <w:pPr>
      <w:numPr>
        <w:numId w:val="0"/>
      </w:numPr>
      <w:tabs>
        <w:tab w:val="right" w:leader="dot" w:pos="4176"/>
      </w:tabs>
    </w:pPr>
  </w:style>
  <w:style w:type="paragraph" w:styleId="ListNumber2">
    <w:name w:val="List Number 2"/>
    <w:basedOn w:val="List2"/>
    <w:rsid w:val="005B1785"/>
    <w:pPr>
      <w:numPr>
        <w:numId w:val="10"/>
      </w:numPr>
      <w:tabs>
        <w:tab w:val="clear" w:pos="1060"/>
      </w:tabs>
    </w:pPr>
  </w:style>
  <w:style w:type="paragraph" w:customStyle="1" w:styleId="MarginNote">
    <w:name w:val="Margin Note"/>
    <w:basedOn w:val="BodyText"/>
    <w:rsid w:val="005B17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17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B178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B1785"/>
    <w:rPr>
      <w:sz w:val="32"/>
    </w:rPr>
  </w:style>
  <w:style w:type="paragraph" w:customStyle="1" w:styleId="HeadingProcedure">
    <w:name w:val="Heading Procedure"/>
    <w:basedOn w:val="HeadingBase"/>
    <w:next w:val="Normal"/>
    <w:rsid w:val="005B1785"/>
    <w:pPr>
      <w:tabs>
        <w:tab w:val="left" w:pos="0"/>
      </w:tabs>
      <w:spacing w:before="120" w:after="60"/>
    </w:pPr>
    <w:rPr>
      <w:i/>
      <w:color w:val="918585"/>
      <w:sz w:val="22"/>
    </w:rPr>
  </w:style>
  <w:style w:type="paragraph" w:customStyle="1" w:styleId="TableBodyText">
    <w:name w:val="Table Body Text"/>
    <w:basedOn w:val="BodyText"/>
    <w:rsid w:val="005B1785"/>
    <w:pPr>
      <w:spacing w:before="60" w:after="60"/>
    </w:pPr>
  </w:style>
  <w:style w:type="paragraph" w:styleId="ListContinue">
    <w:name w:val="List Continue"/>
    <w:basedOn w:val="List"/>
    <w:rsid w:val="005B1785"/>
    <w:pPr>
      <w:ind w:firstLine="0"/>
    </w:pPr>
  </w:style>
  <w:style w:type="paragraph" w:customStyle="1" w:styleId="ListNote">
    <w:name w:val="List Note"/>
    <w:basedOn w:val="List"/>
    <w:rsid w:val="005B1785"/>
    <w:pPr>
      <w:pBdr>
        <w:top w:val="single" w:sz="6" w:space="2" w:color="918585"/>
        <w:bottom w:val="single" w:sz="6" w:space="2" w:color="918585"/>
      </w:pBdr>
      <w:tabs>
        <w:tab w:val="left" w:pos="1021"/>
      </w:tabs>
      <w:ind w:firstLine="0"/>
    </w:pPr>
  </w:style>
  <w:style w:type="paragraph" w:customStyle="1" w:styleId="Warning">
    <w:name w:val="Warning"/>
    <w:basedOn w:val="BodyText"/>
    <w:rsid w:val="005B1785"/>
    <w:pPr>
      <w:shd w:val="clear" w:color="auto" w:fill="D9D9D9"/>
      <w:tabs>
        <w:tab w:val="left" w:pos="992"/>
      </w:tabs>
      <w:ind w:left="119" w:right="119"/>
    </w:pPr>
    <w:rPr>
      <w:sz w:val="20"/>
    </w:rPr>
  </w:style>
  <w:style w:type="paragraph" w:customStyle="1" w:styleId="MarginIcons">
    <w:name w:val="Margin Icons"/>
    <w:basedOn w:val="BodyText"/>
    <w:rsid w:val="005B178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B1785"/>
    <w:rPr>
      <w:rFonts w:ascii="Courier New" w:hAnsi="Courier New"/>
    </w:rPr>
  </w:style>
  <w:style w:type="paragraph" w:customStyle="1" w:styleId="NoteBullet">
    <w:name w:val="Note Bullet"/>
    <w:basedOn w:val="Note"/>
    <w:rsid w:val="005B1785"/>
    <w:pPr>
      <w:tabs>
        <w:tab w:val="clear" w:pos="680"/>
      </w:tabs>
      <w:spacing w:before="60" w:after="60"/>
    </w:pPr>
  </w:style>
  <w:style w:type="paragraph" w:customStyle="1" w:styleId="SubHeading2">
    <w:name w:val="SubHeading2"/>
    <w:basedOn w:val="HeadingBase"/>
    <w:rsid w:val="005B1785"/>
    <w:pPr>
      <w:spacing w:before="240" w:after="60"/>
    </w:pPr>
    <w:rPr>
      <w:sz w:val="20"/>
    </w:rPr>
  </w:style>
  <w:style w:type="paragraph" w:customStyle="1" w:styleId="SubHeading1">
    <w:name w:val="SubHeading1"/>
    <w:basedOn w:val="HeadingBase"/>
    <w:rsid w:val="005B1785"/>
    <w:pPr>
      <w:spacing w:before="240" w:after="60"/>
    </w:pPr>
    <w:rPr>
      <w:color w:val="918585"/>
      <w:sz w:val="22"/>
    </w:rPr>
  </w:style>
  <w:style w:type="paragraph" w:customStyle="1" w:styleId="SideHeading">
    <w:name w:val="Side Heading"/>
    <w:basedOn w:val="HeadingBase"/>
    <w:rsid w:val="005B17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1785"/>
    <w:pPr>
      <w:numPr>
        <w:numId w:val="12"/>
      </w:numPr>
    </w:pPr>
  </w:style>
  <w:style w:type="paragraph" w:styleId="PlainText">
    <w:name w:val="Plain Text"/>
    <w:basedOn w:val="Normal"/>
    <w:link w:val="PlainTextChar"/>
    <w:rsid w:val="005B1785"/>
    <w:rPr>
      <w:sz w:val="20"/>
    </w:rPr>
  </w:style>
  <w:style w:type="character" w:customStyle="1" w:styleId="PlainTextChar">
    <w:name w:val="Plain Text Char"/>
    <w:basedOn w:val="DefaultParagraphFont"/>
    <w:link w:val="PlainText"/>
    <w:rsid w:val="005B1785"/>
    <w:rPr>
      <w:rFonts w:ascii="Courier New" w:eastAsia="Times New Roman" w:hAnsi="Courier New" w:cs="Times New Roman"/>
      <w:sz w:val="20"/>
      <w:szCs w:val="20"/>
      <w:lang w:val="en-US" w:eastAsia="en-US"/>
    </w:rPr>
  </w:style>
  <w:style w:type="character" w:customStyle="1" w:styleId="MenuOption">
    <w:name w:val="Menu Option"/>
    <w:rsid w:val="005B1785"/>
    <w:rPr>
      <w:b/>
      <w:smallCaps/>
    </w:rPr>
  </w:style>
  <w:style w:type="paragraph" w:customStyle="1" w:styleId="TableListNumber">
    <w:name w:val="Table List Number"/>
    <w:basedOn w:val="ListNumber"/>
    <w:rsid w:val="005B1785"/>
    <w:pPr>
      <w:numPr>
        <w:numId w:val="0"/>
      </w:numPr>
    </w:pPr>
  </w:style>
  <w:style w:type="paragraph" w:styleId="TOC4">
    <w:name w:val="toc 4"/>
    <w:basedOn w:val="TOCBase"/>
    <w:next w:val="Normal"/>
    <w:semiHidden/>
    <w:rsid w:val="005B1785"/>
    <w:pPr>
      <w:tabs>
        <w:tab w:val="right" w:leader="dot" w:pos="9071"/>
      </w:tabs>
      <w:ind w:left="1701"/>
    </w:pPr>
  </w:style>
  <w:style w:type="paragraph" w:customStyle="1" w:styleId="ListAlpha">
    <w:name w:val="List Alpha"/>
    <w:basedOn w:val="List"/>
    <w:rsid w:val="005B1785"/>
    <w:pPr>
      <w:numPr>
        <w:numId w:val="9"/>
      </w:numPr>
    </w:pPr>
  </w:style>
  <w:style w:type="paragraph" w:customStyle="1" w:styleId="ListAlpha2">
    <w:name w:val="List Alpha 2"/>
    <w:basedOn w:val="List2"/>
    <w:rsid w:val="005B1785"/>
    <w:pPr>
      <w:numPr>
        <w:numId w:val="8"/>
      </w:numPr>
    </w:pPr>
  </w:style>
  <w:style w:type="paragraph" w:styleId="List2">
    <w:name w:val="List 2"/>
    <w:basedOn w:val="BodyText"/>
    <w:rsid w:val="005B1785"/>
    <w:pPr>
      <w:tabs>
        <w:tab w:val="left" w:pos="680"/>
      </w:tabs>
      <w:spacing w:before="60" w:after="60"/>
      <w:ind w:left="680" w:hanging="340"/>
    </w:pPr>
  </w:style>
  <w:style w:type="paragraph" w:styleId="List3">
    <w:name w:val="List 3"/>
    <w:basedOn w:val="BodyText"/>
    <w:rsid w:val="005B1785"/>
    <w:pPr>
      <w:tabs>
        <w:tab w:val="left" w:pos="1021"/>
      </w:tabs>
      <w:spacing w:before="60" w:after="60"/>
      <w:ind w:left="1020" w:hanging="340"/>
    </w:pPr>
  </w:style>
  <w:style w:type="paragraph" w:styleId="List4">
    <w:name w:val="List 4"/>
    <w:basedOn w:val="BodyText"/>
    <w:rsid w:val="005B1785"/>
    <w:pPr>
      <w:tabs>
        <w:tab w:val="left" w:pos="1361"/>
      </w:tabs>
      <w:spacing w:before="60" w:after="60"/>
      <w:ind w:left="1361" w:hanging="340"/>
    </w:pPr>
  </w:style>
  <w:style w:type="paragraph" w:styleId="List5">
    <w:name w:val="List 5"/>
    <w:basedOn w:val="BodyText"/>
    <w:rsid w:val="005B1785"/>
    <w:pPr>
      <w:tabs>
        <w:tab w:val="left" w:pos="1701"/>
      </w:tabs>
      <w:spacing w:before="60" w:after="60"/>
      <w:ind w:left="1701" w:hanging="340"/>
    </w:pPr>
  </w:style>
  <w:style w:type="paragraph" w:styleId="ListBullet3">
    <w:name w:val="List Bullet 3"/>
    <w:basedOn w:val="List3"/>
    <w:rsid w:val="005B1785"/>
    <w:pPr>
      <w:numPr>
        <w:numId w:val="15"/>
      </w:numPr>
      <w:tabs>
        <w:tab w:val="clear" w:pos="1021"/>
      </w:tabs>
      <w:ind w:left="1037" w:hanging="357"/>
    </w:pPr>
  </w:style>
  <w:style w:type="paragraph" w:styleId="ListBullet4">
    <w:name w:val="List Bullet 4"/>
    <w:basedOn w:val="List4"/>
    <w:rsid w:val="005B1785"/>
    <w:pPr>
      <w:numPr>
        <w:numId w:val="3"/>
      </w:numPr>
    </w:pPr>
  </w:style>
  <w:style w:type="paragraph" w:styleId="ListBullet5">
    <w:name w:val="List Bullet 5"/>
    <w:basedOn w:val="List5"/>
    <w:rsid w:val="005B1785"/>
    <w:pPr>
      <w:numPr>
        <w:numId w:val="4"/>
      </w:numPr>
    </w:pPr>
  </w:style>
  <w:style w:type="paragraph" w:styleId="ListContinue2">
    <w:name w:val="List Continue 2"/>
    <w:basedOn w:val="List2"/>
    <w:rsid w:val="005B1785"/>
    <w:pPr>
      <w:ind w:firstLine="0"/>
    </w:pPr>
  </w:style>
  <w:style w:type="paragraph" w:styleId="ListContinue3">
    <w:name w:val="List Continue 3"/>
    <w:basedOn w:val="List3"/>
    <w:rsid w:val="005B1785"/>
    <w:pPr>
      <w:ind w:left="1021" w:firstLine="0"/>
    </w:pPr>
  </w:style>
  <w:style w:type="paragraph" w:styleId="ListContinue4">
    <w:name w:val="List Continue 4"/>
    <w:basedOn w:val="List4"/>
    <w:rsid w:val="005B1785"/>
    <w:pPr>
      <w:ind w:firstLine="0"/>
    </w:pPr>
  </w:style>
  <w:style w:type="paragraph" w:styleId="ListContinue5">
    <w:name w:val="List Continue 5"/>
    <w:basedOn w:val="List5"/>
    <w:rsid w:val="005B1785"/>
    <w:pPr>
      <w:ind w:firstLine="0"/>
    </w:pPr>
  </w:style>
  <w:style w:type="paragraph" w:styleId="ListNumber3">
    <w:name w:val="List Number 3"/>
    <w:basedOn w:val="List3"/>
    <w:rsid w:val="005B1785"/>
    <w:pPr>
      <w:numPr>
        <w:numId w:val="5"/>
      </w:numPr>
    </w:pPr>
  </w:style>
  <w:style w:type="paragraph" w:styleId="ListNumber4">
    <w:name w:val="List Number 4"/>
    <w:basedOn w:val="List4"/>
    <w:rsid w:val="005B1785"/>
    <w:pPr>
      <w:numPr>
        <w:numId w:val="6"/>
      </w:numPr>
    </w:pPr>
  </w:style>
  <w:style w:type="paragraph" w:styleId="ListNumber5">
    <w:name w:val="List Number 5"/>
    <w:basedOn w:val="List5"/>
    <w:rsid w:val="005B1785"/>
    <w:pPr>
      <w:numPr>
        <w:numId w:val="7"/>
      </w:numPr>
    </w:pPr>
  </w:style>
  <w:style w:type="paragraph" w:styleId="BlockText">
    <w:name w:val="Block Text"/>
    <w:basedOn w:val="Normal"/>
    <w:rsid w:val="005B1785"/>
    <w:pPr>
      <w:spacing w:after="120"/>
      <w:ind w:left="1440" w:right="1440"/>
    </w:pPr>
  </w:style>
  <w:style w:type="character" w:customStyle="1" w:styleId="Subscript">
    <w:name w:val="Subscript"/>
    <w:rsid w:val="005B1785"/>
    <w:rPr>
      <w:sz w:val="16"/>
      <w:vertAlign w:val="subscript"/>
    </w:rPr>
  </w:style>
  <w:style w:type="character" w:customStyle="1" w:styleId="Superscript">
    <w:name w:val="Superscript"/>
    <w:rsid w:val="005B1785"/>
    <w:rPr>
      <w:sz w:val="16"/>
      <w:vertAlign w:val="superscript"/>
    </w:rPr>
  </w:style>
  <w:style w:type="character" w:customStyle="1" w:styleId="Symbols">
    <w:name w:val="Symbols"/>
    <w:rsid w:val="005B1785"/>
    <w:rPr>
      <w:rFonts w:ascii="Symbol" w:hAnsi="Symbol"/>
    </w:rPr>
  </w:style>
  <w:style w:type="character" w:customStyle="1" w:styleId="MenuOptions">
    <w:name w:val="Menu Options"/>
    <w:rsid w:val="005B1785"/>
    <w:rPr>
      <w:rFonts w:ascii="Arial Narrow" w:hAnsi="Arial Narrow"/>
      <w:smallCaps/>
    </w:rPr>
  </w:style>
  <w:style w:type="character" w:customStyle="1" w:styleId="Buttons">
    <w:name w:val="Buttons"/>
    <w:rsid w:val="005B1785"/>
    <w:rPr>
      <w:b/>
    </w:rPr>
  </w:style>
  <w:style w:type="character" w:customStyle="1" w:styleId="Underlined">
    <w:name w:val="Underlined"/>
    <w:rsid w:val="005B1785"/>
    <w:rPr>
      <w:u w:val="single"/>
    </w:rPr>
  </w:style>
  <w:style w:type="paragraph" w:customStyle="1" w:styleId="TableBodyTextRight">
    <w:name w:val="Table Body Text Right"/>
    <w:basedOn w:val="TableBodyText"/>
    <w:rsid w:val="005B1785"/>
    <w:pPr>
      <w:widowControl w:val="0"/>
      <w:autoSpaceDE w:val="0"/>
      <w:autoSpaceDN w:val="0"/>
      <w:adjustRightInd w:val="0"/>
      <w:jc w:val="right"/>
    </w:pPr>
    <w:rPr>
      <w:rFonts w:cs="Arial"/>
      <w:szCs w:val="18"/>
    </w:rPr>
  </w:style>
  <w:style w:type="paragraph" w:customStyle="1" w:styleId="CopyrightText">
    <w:name w:val="Copyright Text"/>
    <w:basedOn w:val="BodyText"/>
    <w:rsid w:val="005B1785"/>
    <w:rPr>
      <w:sz w:val="18"/>
    </w:rPr>
  </w:style>
  <w:style w:type="paragraph" w:customStyle="1" w:styleId="BodySmallRight">
    <w:name w:val="Body Small Right"/>
    <w:basedOn w:val="BodyTextRight"/>
    <w:rsid w:val="005B1785"/>
    <w:rPr>
      <w:sz w:val="18"/>
      <w:szCs w:val="18"/>
    </w:rPr>
  </w:style>
  <w:style w:type="paragraph" w:customStyle="1" w:styleId="MarginEdition">
    <w:name w:val="Margin Edition"/>
    <w:basedOn w:val="MarginNote"/>
    <w:rsid w:val="005B1785"/>
    <w:pPr>
      <w:spacing w:before="0" w:after="0"/>
    </w:pPr>
    <w:rPr>
      <w:rFonts w:ascii="Times New Roman" w:hAnsi="Times New Roman"/>
      <w:color w:val="999999"/>
    </w:rPr>
  </w:style>
  <w:style w:type="paragraph" w:customStyle="1" w:styleId="Spacer">
    <w:name w:val="Spacer"/>
    <w:basedOn w:val="Normal"/>
    <w:rsid w:val="005B1785"/>
    <w:rPr>
      <w:sz w:val="2"/>
      <w:szCs w:val="2"/>
    </w:rPr>
  </w:style>
  <w:style w:type="character" w:customStyle="1" w:styleId="Small">
    <w:name w:val="Small"/>
    <w:rsid w:val="005B1785"/>
    <w:rPr>
      <w:sz w:val="16"/>
    </w:rPr>
  </w:style>
  <w:style w:type="paragraph" w:customStyle="1" w:styleId="WideTable">
    <w:name w:val="Wide Table"/>
    <w:basedOn w:val="Normal"/>
    <w:rsid w:val="005B1785"/>
    <w:pPr>
      <w:ind w:left="-1418"/>
    </w:pPr>
    <w:rPr>
      <w:sz w:val="2"/>
      <w:szCs w:val="2"/>
    </w:rPr>
  </w:style>
  <w:style w:type="character" w:styleId="PageNumber">
    <w:name w:val="page number"/>
    <w:rsid w:val="005B1785"/>
  </w:style>
  <w:style w:type="paragraph" w:styleId="Quote">
    <w:name w:val="Quote"/>
    <w:basedOn w:val="Heading1"/>
    <w:link w:val="QuoteChar"/>
    <w:qFormat/>
    <w:rsid w:val="005B1785"/>
    <w:rPr>
      <w:b w:val="0"/>
      <w:sz w:val="72"/>
      <w:szCs w:val="72"/>
      <w:lang w:val="en-NZ"/>
    </w:rPr>
  </w:style>
  <w:style w:type="character" w:customStyle="1" w:styleId="QuoteChar">
    <w:name w:val="Quote Char"/>
    <w:link w:val="Quote"/>
    <w:rsid w:val="005B17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1785"/>
    <w:pPr>
      <w:pageBreakBefore/>
    </w:pPr>
  </w:style>
  <w:style w:type="paragraph" w:customStyle="1" w:styleId="Border">
    <w:name w:val="Border"/>
    <w:basedOn w:val="Normal"/>
    <w:qFormat/>
    <w:rsid w:val="005B1785"/>
    <w:pPr>
      <w:pBdr>
        <w:top w:val="single" w:sz="18" w:space="1" w:color="auto"/>
      </w:pBdr>
    </w:pPr>
    <w:rPr>
      <w:rFonts w:ascii="Times New Roman" w:hAnsi="Times New Roman"/>
      <w:color w:val="FFFFFF"/>
      <w:sz w:val="2"/>
    </w:rPr>
  </w:style>
  <w:style w:type="character" w:styleId="IntenseEmphasis">
    <w:name w:val="Intense Emphasis"/>
    <w:uiPriority w:val="21"/>
    <w:qFormat/>
    <w:rsid w:val="005B1785"/>
    <w:rPr>
      <w:b/>
      <w:bCs/>
      <w:i/>
      <w:iCs/>
      <w:color w:val="auto"/>
    </w:rPr>
  </w:style>
  <w:style w:type="paragraph" w:styleId="IntenseQuote">
    <w:name w:val="Intense Quote"/>
    <w:basedOn w:val="Normal"/>
    <w:next w:val="Normal"/>
    <w:link w:val="IntenseQuoteChar"/>
    <w:uiPriority w:val="30"/>
    <w:qFormat/>
    <w:rsid w:val="005B178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B1785"/>
    <w:rPr>
      <w:rFonts w:ascii="Courier New" w:eastAsia="Times New Roman" w:hAnsi="Courier New" w:cs="Times New Roman"/>
      <w:b/>
      <w:bCs/>
      <w:i/>
      <w:iCs/>
      <w:szCs w:val="20"/>
      <w:lang w:val="en-US" w:eastAsia="en-US"/>
    </w:rPr>
  </w:style>
  <w:style w:type="character" w:styleId="SubtleReference">
    <w:name w:val="Subtle Reference"/>
    <w:uiPriority w:val="31"/>
    <w:qFormat/>
    <w:rsid w:val="005B1785"/>
    <w:rPr>
      <w:smallCaps/>
      <w:color w:val="auto"/>
      <w:u w:val="single"/>
    </w:rPr>
  </w:style>
  <w:style w:type="character" w:styleId="IntenseReference">
    <w:name w:val="Intense Reference"/>
    <w:uiPriority w:val="32"/>
    <w:qFormat/>
    <w:rsid w:val="005B1785"/>
    <w:rPr>
      <w:b/>
      <w:bCs/>
      <w:smallCaps/>
      <w:color w:val="auto"/>
      <w:spacing w:val="5"/>
      <w:u w:val="single"/>
    </w:rPr>
  </w:style>
  <w:style w:type="paragraph" w:customStyle="1" w:styleId="2ColumnHeading">
    <w:name w:val="2Column Heading"/>
    <w:basedOn w:val="BodyText"/>
    <w:qFormat/>
    <w:rsid w:val="005B1785"/>
    <w:pPr>
      <w:spacing w:after="60"/>
      <w:ind w:left="-2268"/>
    </w:pPr>
    <w:rPr>
      <w:b/>
    </w:rPr>
  </w:style>
  <w:style w:type="paragraph" w:customStyle="1" w:styleId="Heading1TOC">
    <w:name w:val="Heading1 TOC"/>
    <w:basedOn w:val="Normal"/>
    <w:qFormat/>
    <w:rsid w:val="005B1785"/>
    <w:pPr>
      <w:spacing w:before="240" w:after="120"/>
    </w:pPr>
    <w:rPr>
      <w:rFonts w:ascii="Times New Roman" w:hAnsi="Times New Roman"/>
      <w:b/>
      <w:sz w:val="32"/>
    </w:rPr>
  </w:style>
  <w:style w:type="paragraph" w:customStyle="1" w:styleId="Heading2TOC">
    <w:name w:val="Heading2 TOC"/>
    <w:basedOn w:val="Normal"/>
    <w:qFormat/>
    <w:rsid w:val="005B1785"/>
    <w:pPr>
      <w:spacing w:before="240" w:after="60"/>
    </w:pPr>
    <w:rPr>
      <w:rFonts w:ascii="Times New Roman" w:hAnsi="Times New Roman"/>
      <w:b/>
      <w:sz w:val="28"/>
    </w:rPr>
  </w:style>
  <w:style w:type="character" w:customStyle="1" w:styleId="Underline">
    <w:name w:val="Underline"/>
    <w:qFormat/>
    <w:rsid w:val="005B1785"/>
    <w:rPr>
      <w:u w:val="single"/>
    </w:rPr>
  </w:style>
  <w:style w:type="character" w:customStyle="1" w:styleId="BoldandItalics">
    <w:name w:val="Bold and Italics"/>
    <w:qFormat/>
    <w:rsid w:val="005B1785"/>
    <w:rPr>
      <w:b/>
      <w:i/>
      <w:u w:val="none"/>
    </w:rPr>
  </w:style>
  <w:style w:type="paragraph" w:styleId="BalloonText">
    <w:name w:val="Balloon Text"/>
    <w:basedOn w:val="Normal"/>
    <w:link w:val="BalloonTextChar"/>
    <w:rsid w:val="005B1785"/>
    <w:rPr>
      <w:rFonts w:ascii="Tahoma" w:hAnsi="Tahoma" w:cs="Tahoma"/>
      <w:sz w:val="16"/>
      <w:szCs w:val="16"/>
    </w:rPr>
  </w:style>
  <w:style w:type="character" w:customStyle="1" w:styleId="BalloonTextChar">
    <w:name w:val="Balloon Text Char"/>
    <w:link w:val="BalloonText"/>
    <w:rsid w:val="005B178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B178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B178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1717</Words>
  <Characters>10228</Characters>
  <Application>Microsoft Office Word</Application>
  <DocSecurity>0</DocSecurity>
  <Lines>388</Lines>
  <Paragraphs>152</Paragraphs>
  <ScaleCrop>false</ScaleCrop>
  <Company>Author-it Software Corporation Ltd.</Company>
  <LinksUpToDate>false</LinksUpToDate>
  <CharactersWithSpaces>11822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UEENEEG030B Design switchboards rated for high fault levels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2012-05-26T11:01:00Z</dcterms:created>
  <dcterms:modified xsi:type="dcterms:W3CDTF">2012-05-26T11:01:00Z</dcterms:modified>
</cp:coreProperties>
</file>