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812" w:rsidP="001D1812">
      <w:pPr>
        <w:pStyle w:val="Title"/>
      </w:pPr>
      <w:r>
        <w:fldChar w:fldCharType="begin"/>
      </w:r>
      <w:r>
        <w:instrText xml:space="preserve"> TITLE   \* MERGEFORMAT </w:instrText>
      </w:r>
      <w:r>
        <w:fldChar w:fldCharType="separate"/>
      </w:r>
      <w:r>
        <w:t>UEENEEE125A Provide engineering solutions for problems in complex multiple path circuits</w:t>
      </w:r>
      <w:r>
        <w:fldChar w:fldCharType="end"/>
      </w:r>
    </w:p>
    <w:p w:rsidR="001D1812" w:rsidP="001D1812">
      <w:pPr>
        <w:pStyle w:val="Version"/>
        <w:sectPr w:rsidSect="00CD2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2181" w:rsidP="00CD2181">
      <w:pPr>
        <w:pStyle w:val="SuperHeading"/>
      </w:pPr>
      <w:r w:rsidRPr="00CD2181">
        <w:t>UEENEEE125A Provide engineering solutions for problems in complex multiple path circuits</w:t>
      </w:r>
    </w:p>
    <w:p w:rsidR="00000000" w:rsidRPr="00CD2181" w:rsidP="00CD2181">
      <w:pPr>
        <w:pStyle w:val="Heading1"/>
      </w:pPr>
      <w:bookmarkStart w:id="1" w:name="O_584433"/>
      <w:bookmarkEnd w:id="1"/>
      <w:r w:rsidRPr="00CD2181">
        <w:t>Modification History</w:t>
      </w:r>
    </w:p>
    <w:p w:rsidR="00000000" w:rsidRPr="00CD2181" w:rsidP="00CD2181">
      <w:pPr>
        <w:pStyle w:val="BodyText"/>
      </w:pPr>
      <w:r w:rsidRPr="00CD2181">
        <w:t>Not Applicable</w:t>
      </w:r>
    </w:p>
    <w:p w:rsidR="00000000" w:rsidRPr="00CD2181" w:rsidP="00CD2181">
      <w:pPr>
        <w:pStyle w:val="AllowPageBreak"/>
      </w:pPr>
    </w:p>
    <w:p w:rsidR="00000000" w:rsidRPr="00CD2181" w:rsidP="00CD2181">
      <w:pPr>
        <w:pStyle w:val="Heading1"/>
      </w:pPr>
      <w:bookmarkStart w:id="2" w:name="O_584432"/>
      <w:bookmarkEnd w:id="2"/>
      <w:r w:rsidRPr="00CD2181">
        <w:t>Unit Descriptor</w:t>
      </w:r>
    </w:p>
    <w:tbl>
      <w:tblPr>
        <w:tblW w:w="0" w:type="auto"/>
        <w:tblLayout w:type="fixed"/>
        <w:tblCellMar>
          <w:left w:w="62" w:type="dxa"/>
          <w:right w:w="62" w:type="dxa"/>
        </w:tblCellMar>
        <w:tblLook w:val="0000"/>
      </w:tblPr>
      <w:tblGrid>
        <w:gridCol w:w="2700"/>
        <w:gridCol w:w="5760"/>
      </w:tblGrid>
      <w:tr w:rsidTr="001D18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1</w:t>
            </w:r>
            <w:r w:rsidRPr="00CD2181">
              <w:t>)</w:t>
            </w:r>
          </w:p>
          <w:p w:rsidR="00000000" w:rsidP="00CD2181">
            <w:pPr>
              <w:pStyle w:val="BodyText"/>
              <w:rPr>
                <w:lang w:val="en-NZ"/>
              </w:rPr>
            </w:pPr>
            <w:r w:rsidRPr="00CD2181">
              <w:rPr>
                <w:rStyle w:val="SpecialBold"/>
              </w:rPr>
              <w:t>1</w:t>
            </w:r>
            <w:r w:rsidRPr="00CD2181">
              <w:t>.</w:t>
            </w:r>
            <w:r w:rsidRPr="00CD2181">
              <w:rPr>
                <w:rStyle w:val="SpecialBold"/>
              </w:rPr>
              <w:t>1</w:t>
            </w:r>
            <w:r w:rsidRPr="00CD2181">
              <w:t xml:space="preserve">) </w:t>
            </w:r>
            <w:r w:rsidRPr="00CD2181">
              <w:rPr>
                <w:rStyle w:val="SpecialBold"/>
              </w:rPr>
              <w:t>Descriptor</w:t>
            </w:r>
          </w:p>
        </w:tc>
      </w:tr>
      <w:tr w:rsidTr="001D18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This unit covers determining correct operation of complex multiple path circuits and providing engineering solutions as they apply to various branches of electrotechnology work functions. It encompasses working safely, problem solving procedures, including</w:t>
            </w:r>
            <w:r w:rsidRPr="00CD2181">
              <w:t xml:space="preserve"> using electrical measuring devices, applying appropriate circuit theorems and providing solutions derived from measurements and calculations and justification for such solutions.</w:t>
            </w:r>
          </w:p>
        </w:tc>
      </w:tr>
    </w:tbl>
    <w:p w:rsidR="001D1812" w:rsidP="00CD2181">
      <w:pPr>
        <w:pStyle w:val="BodyText"/>
      </w:pPr>
    </w:p>
    <w:p w:rsidR="001D1812" w:rsidP="00CD2181">
      <w:pPr>
        <w:pStyle w:val="BodyText"/>
      </w:pPr>
    </w:p>
    <w:p w:rsidR="00000000" w:rsidRPr="00CD2181" w:rsidP="00CD2181">
      <w:pPr>
        <w:pStyle w:val="Heading1"/>
      </w:pPr>
      <w:bookmarkStart w:id="3" w:name="O_584431"/>
      <w:bookmarkEnd w:id="3"/>
      <w:r w:rsidRPr="00CD2181">
        <w:t>Application of the Unit</w:t>
      </w:r>
    </w:p>
    <w:tbl>
      <w:tblPr>
        <w:tblW w:w="0" w:type="auto"/>
        <w:tblLayout w:type="fixed"/>
        <w:tblCellMar>
          <w:left w:w="62" w:type="dxa"/>
          <w:right w:w="62" w:type="dxa"/>
        </w:tblCellMar>
        <w:tblLook w:val="0000"/>
      </w:tblPr>
      <w:tblGrid>
        <w:gridCol w:w="2700"/>
        <w:gridCol w:w="5760"/>
      </w:tblGrid>
      <w:tr w:rsidTr="001D18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4</w:t>
            </w:r>
            <w:r w:rsidRPr="00CD2181">
              <w:t>)</w:t>
            </w:r>
          </w:p>
        </w:tc>
      </w:tr>
      <w:tr w:rsidTr="001D18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This unit is intended to augment formally acquired competencies. It is suitable for employment-based programs under an approved contract of training.</w:t>
            </w:r>
          </w:p>
        </w:tc>
      </w:tr>
    </w:tbl>
    <w:p w:rsidR="001D1812" w:rsidP="00CD2181">
      <w:pPr>
        <w:pStyle w:val="BodyText"/>
      </w:pPr>
    </w:p>
    <w:p w:rsidR="001D1812" w:rsidP="00CD2181">
      <w:pPr>
        <w:pStyle w:val="BodyText"/>
      </w:pPr>
    </w:p>
    <w:p w:rsidR="00000000" w:rsidRPr="00CD2181" w:rsidP="00CD2181">
      <w:pPr>
        <w:pStyle w:val="Heading1"/>
      </w:pPr>
      <w:bookmarkStart w:id="4" w:name="O_584430"/>
      <w:bookmarkEnd w:id="4"/>
      <w:r w:rsidRPr="00CD2181">
        <w:t>Licensing/Regulatory Information</w:t>
      </w:r>
    </w:p>
    <w:tbl>
      <w:tblPr>
        <w:tblW w:w="0" w:type="auto"/>
        <w:tblLayout w:type="fixed"/>
        <w:tblCellMar>
          <w:left w:w="62" w:type="dxa"/>
          <w:right w:w="62" w:type="dxa"/>
        </w:tblCellMar>
        <w:tblLook w:val="0000"/>
      </w:tblPr>
      <w:tblGrid>
        <w:gridCol w:w="8460"/>
      </w:tblGrid>
      <w:tr w:rsidTr="001D18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1</w:t>
            </w:r>
            <w:r w:rsidRPr="00CD2181">
              <w:t>.</w:t>
            </w:r>
            <w:r w:rsidRPr="00CD2181">
              <w:rPr>
                <w:rStyle w:val="SpecialBold"/>
              </w:rPr>
              <w:t>2</w:t>
            </w:r>
            <w:r w:rsidRPr="00CD2181">
              <w:t xml:space="preserve">) </w:t>
            </w:r>
            <w:r w:rsidRPr="00CD2181">
              <w:rPr>
                <w:rStyle w:val="SpecialBold"/>
              </w:rPr>
              <w:t>License to practice</w:t>
            </w:r>
          </w:p>
        </w:tc>
      </w:tr>
      <w:tr w:rsidTr="001D18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The skills and knowledge described in this unit require a license to practice in the workplace where plant and equipment operate at voltage above 50 V a.c. or 120 V d.c. However other conditions may apply in some jurisdictions subject to regulations relate</w:t>
            </w:r>
            <w:r w:rsidRPr="00CD2181">
              <w:t>d to electrical work. Practice in the workplace and during training is also subject to regulations directly related to occupational health and safety and where applicable contracts of training such as apprenticeships.</w:t>
            </w:r>
          </w:p>
        </w:tc>
      </w:tr>
    </w:tbl>
    <w:p w:rsidR="001D1812" w:rsidP="00CD2181">
      <w:pPr>
        <w:pStyle w:val="BodyText"/>
      </w:pPr>
    </w:p>
    <w:p w:rsidR="001D1812" w:rsidP="00CD2181">
      <w:pPr>
        <w:pStyle w:val="BodyText"/>
      </w:pPr>
    </w:p>
    <w:p w:rsidR="00000000" w:rsidRPr="00CD2181" w:rsidP="00CD2181">
      <w:pPr>
        <w:pStyle w:val="Heading1"/>
      </w:pPr>
      <w:bookmarkStart w:id="5" w:name="O_584429"/>
      <w:bookmarkEnd w:id="5"/>
      <w:r w:rsidRPr="00CD2181">
        <w:t>Pre-Requisites</w:t>
      </w:r>
    </w:p>
    <w:tbl>
      <w:tblPr>
        <w:tblW w:w="0" w:type="auto"/>
        <w:tblLayout w:type="fixed"/>
        <w:tblCellMar>
          <w:left w:w="62" w:type="dxa"/>
          <w:right w:w="62" w:type="dxa"/>
        </w:tblCellMar>
        <w:tblLook w:val="0000"/>
      </w:tblPr>
      <w:tblGrid>
        <w:gridCol w:w="2430"/>
        <w:gridCol w:w="1710"/>
        <w:gridCol w:w="4320"/>
      </w:tblGrid>
      <w:tr w:rsidTr="001D1812">
        <w:tblPrEx>
          <w:tblW w:w="0" w:type="auto"/>
          <w:tblLayout w:type="fixed"/>
          <w:tblCellMar>
            <w:left w:w="62" w:type="dxa"/>
            <w:right w:w="62" w:type="dxa"/>
          </w:tblCellMar>
          <w:tblLook w:val="0000"/>
        </w:tblPrEx>
        <w:trPr>
          <w:tblHeader/>
        </w:trPr>
        <w:tc>
          <w:tcPr>
            <w:tcW w:w="243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Pre</w:t>
            </w:r>
            <w:r w:rsidRPr="00CD2181">
              <w:rPr>
                <w:rStyle w:val="SpecialBold"/>
              </w:rPr>
              <w:t>requisite Unit</w:t>
            </w:r>
            <w:r w:rsidRPr="00CD2181">
              <w:t>(</w:t>
            </w:r>
            <w:r w:rsidRPr="00CD2181">
              <w:rPr>
                <w:rStyle w:val="SpecialBold"/>
              </w:rPr>
              <w:t>s</w:t>
            </w:r>
            <w:r w:rsidRPr="00CD2181">
              <w:t>)</w:t>
            </w:r>
          </w:p>
        </w:tc>
        <w:tc>
          <w:tcPr>
            <w:tcW w:w="6030"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2</w:t>
            </w:r>
            <w:r w:rsidRPr="00CD2181">
              <w:t>)</w:t>
            </w:r>
          </w:p>
        </w:tc>
      </w:tr>
      <w:tr w:rsidTr="001D1812">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RPr="00CD2181">
            <w:pPr>
              <w:pStyle w:val="BodyText"/>
              <w:keepNext w:val="0"/>
              <w:keepLines w:val="0"/>
              <w:contextualSpacing w:val="0"/>
            </w:pPr>
          </w:p>
        </w:tc>
        <w:tc>
          <w:tcPr>
            <w:tcW w:w="6030"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2</w:t>
            </w:r>
            <w:r w:rsidRPr="00CD2181">
              <w:t>.</w:t>
            </w:r>
            <w:r w:rsidRPr="00CD2181">
              <w:rPr>
                <w:rStyle w:val="SpecialBold"/>
              </w:rPr>
              <w:t>1</w:t>
            </w:r>
            <w:r w:rsidRPr="00CD2181">
              <w:t xml:space="preserve">) </w:t>
            </w:r>
            <w:r w:rsidRPr="00CD2181">
              <w:rPr>
                <w:rStyle w:val="SpecialBold"/>
              </w:rPr>
              <w:t>Competencies</w:t>
            </w:r>
          </w:p>
        </w:tc>
      </w:tr>
      <w:tr w:rsidTr="001D1812">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0"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Granting competency in this unit shall be made only after competency in the following unit(s) has/have been confirmed.</w:t>
            </w:r>
          </w:p>
        </w:tc>
      </w:tr>
      <w:tr w:rsidTr="001D1812">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 xml:space="preserve">UEENEEE126A </w:t>
            </w:r>
          </w:p>
        </w:tc>
        <w:tc>
          <w:tcPr>
            <w:tcW w:w="432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Provide solutions to basic engineering computational problems</w:t>
            </w:r>
          </w:p>
        </w:tc>
      </w:tr>
    </w:tbl>
    <w:p w:rsidR="001D1812" w:rsidP="00CD2181">
      <w:pPr>
        <w:pStyle w:val="BodyText"/>
      </w:pPr>
    </w:p>
    <w:p w:rsidR="001D1812" w:rsidP="00CD2181">
      <w:pPr>
        <w:pStyle w:val="BodyText"/>
      </w:pPr>
    </w:p>
    <w:p w:rsidR="00000000" w:rsidRPr="00CD2181" w:rsidP="00CD2181">
      <w:pPr>
        <w:pStyle w:val="Heading1"/>
      </w:pPr>
      <w:bookmarkStart w:id="6" w:name="O_584428"/>
      <w:bookmarkEnd w:id="6"/>
      <w:r w:rsidRPr="00CD2181">
        <w:t>Employability Skills Information</w:t>
      </w:r>
    </w:p>
    <w:tbl>
      <w:tblPr>
        <w:tblW w:w="0" w:type="auto"/>
        <w:tblLayout w:type="fixed"/>
        <w:tblCellMar>
          <w:left w:w="62" w:type="dxa"/>
          <w:right w:w="62" w:type="dxa"/>
        </w:tblCellMar>
        <w:tblLook w:val="0000"/>
      </w:tblPr>
      <w:tblGrid>
        <w:gridCol w:w="2700"/>
        <w:gridCol w:w="5760"/>
      </w:tblGrid>
      <w:tr w:rsidTr="001D18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3</w:t>
            </w:r>
            <w:r w:rsidRPr="00CD2181">
              <w:t>)</w:t>
            </w:r>
          </w:p>
          <w:p w:rsidR="00000000" w:rsidRPr="00CD2181" w:rsidP="00CD2181">
            <w:pPr>
              <w:pStyle w:val="BodyText"/>
            </w:pPr>
            <w:r w:rsidRPr="00CD2181">
              <w:t>This unit contains Employability Skills</w:t>
            </w:r>
          </w:p>
          <w:p w:rsidR="00000000" w:rsidRPr="00CD2181" w:rsidP="00CD2181">
            <w:pPr>
              <w:pStyle w:val="BodyText"/>
            </w:pPr>
            <w:r w:rsidRPr="00CD2181">
              <w:t>The required outcomes described in this unit of competency contain applicable facets of Employability Skills. The Employability Skills Summary of the q</w:t>
            </w:r>
            <w:r w:rsidRPr="00CD2181">
              <w:t>ualification in which this unit of competency is packaged will assist in identifying Employability Skill requirements.</w:t>
            </w:r>
          </w:p>
        </w:tc>
      </w:tr>
    </w:tbl>
    <w:p w:rsidR="001D1812" w:rsidP="00CD2181">
      <w:pPr>
        <w:pStyle w:val="BodyText"/>
      </w:pPr>
    </w:p>
    <w:p w:rsidR="001D1812" w:rsidP="00CD2181">
      <w:pPr>
        <w:pStyle w:val="BodyText"/>
      </w:pPr>
    </w:p>
    <w:p w:rsidR="00000000" w:rsidRPr="00CD2181" w:rsidP="00CD2181">
      <w:pPr>
        <w:pStyle w:val="Heading1"/>
      </w:pPr>
      <w:bookmarkStart w:id="7" w:name="O_584427"/>
      <w:bookmarkEnd w:id="7"/>
      <w:r w:rsidRPr="00CD2181">
        <w:t>Elements and Performance Criteria Pre-Content</w:t>
      </w:r>
    </w:p>
    <w:tbl>
      <w:tblPr>
        <w:tblW w:w="0" w:type="auto"/>
        <w:tblLayout w:type="fixed"/>
        <w:tblCellMar>
          <w:left w:w="62" w:type="dxa"/>
          <w:right w:w="62" w:type="dxa"/>
        </w:tblCellMar>
        <w:tblLook w:val="0000"/>
      </w:tblPr>
      <w:tblGrid>
        <w:gridCol w:w="2700"/>
        <w:gridCol w:w="6375"/>
      </w:tblGrid>
      <w:tr w:rsidTr="001D18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6</w:t>
            </w:r>
            <w:r w:rsidRPr="00CD2181">
              <w:t>) Elements describe the essential outcomes of a unit of competency</w:t>
            </w:r>
          </w:p>
        </w:tc>
        <w:tc>
          <w:tcPr>
            <w:tcW w:w="6375"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Per</w:t>
            </w:r>
            <w:r w:rsidRPr="00CD2181">
              <w:t>formance criteria describe the required performance needed to demonstrate achievement of the Element. Assessment of performance is to be consistent with the evidence guide.</w:t>
            </w:r>
          </w:p>
        </w:tc>
      </w:tr>
    </w:tbl>
    <w:p w:rsidR="00000000" w:rsidRPr="00CD2181" w:rsidP="00CD2181">
      <w:pPr>
        <w:pStyle w:val="BodyText"/>
      </w:pPr>
    </w:p>
    <w:p w:rsidR="00000000" w:rsidRPr="00CD2181" w:rsidP="00CD2181">
      <w:pPr>
        <w:pStyle w:val="AllowPageBreak"/>
      </w:pPr>
    </w:p>
    <w:p w:rsidR="00000000" w:rsidRPr="00CD2181" w:rsidP="00CD2181">
      <w:pPr>
        <w:pStyle w:val="Heading1"/>
      </w:pPr>
      <w:bookmarkStart w:id="8" w:name="O_584426"/>
      <w:bookmarkEnd w:id="8"/>
      <w:r w:rsidRPr="00CD2181">
        <w:t>Elements and Performance Criteria</w:t>
      </w:r>
    </w:p>
    <w:tbl>
      <w:tblPr>
        <w:tblW w:w="0" w:type="auto"/>
        <w:tblLayout w:type="fixed"/>
        <w:tblCellMar>
          <w:left w:w="62" w:type="dxa"/>
          <w:right w:w="62" w:type="dxa"/>
        </w:tblCellMar>
        <w:tblLook w:val="0000"/>
      </w:tblPr>
      <w:tblGrid>
        <w:gridCol w:w="404"/>
        <w:gridCol w:w="2296"/>
        <w:gridCol w:w="900"/>
        <w:gridCol w:w="5475"/>
      </w:tblGrid>
      <w:tr w:rsidTr="001D18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ELEMENT</w:t>
            </w:r>
          </w:p>
        </w:tc>
        <w:tc>
          <w:tcPr>
            <w:tcW w:w="637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PERFORMANCE CRITERIA</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w:t>
            </w:r>
          </w:p>
        </w:tc>
        <w:tc>
          <w:tcPr>
            <w:tcW w:w="2296" w:type="dxa"/>
            <w:vMerge w:val="restart"/>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Prepare to solve problems in complex multiple path circuits.</w:t>
            </w: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1.1</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OHS procedures for a given work area are identified, obtained and understood.</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1.2</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OHS risk control work preparation measures and procedures are followed.</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1.3</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The nature of the circuit(s) problem is obtained from documentation or from work supervisor to establish the scope of work to be undertaken.</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1.4</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Advice is sought from the work supervisor to ensure the work is coordinated effectively with others.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1.5</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Sources of materials that may be required for the work are identified and accessed in accordance with established procedures.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1.6</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Tools, equipment and testing devices needed to carry out the work are obtained and checked for correct operation and safety</w:t>
            </w:r>
            <w:r w:rsidRPr="00CD2181">
              <w:t>.</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w:t>
            </w:r>
          </w:p>
        </w:tc>
        <w:tc>
          <w:tcPr>
            <w:tcW w:w="2296" w:type="dxa"/>
            <w:vMerge w:val="restart"/>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Solve problems in complex multiple path circuits</w:t>
            </w: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2.1</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OHS risk control work measures and procedures are followed.</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2.2</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The need to test or measure live is determined in strict accordance with OHS requirements and when necessary conducted within established safety procedures.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2.3</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Circuits are checked as being isolated where necessary in strict accordance OHS requirements</w:t>
            </w:r>
            <w:r w:rsidRPr="00CD2181">
              <w:t xml:space="preserve"> and procedures.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2.4</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Established methods are used to solve circuit problems from measure and calculated values as they apply to complex multiple path circuit.</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2.5</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Unexpected situations are dealt with safely and with the approval of an authorised person.</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2.6</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Problems are solved without damage to apparatus, circuits, the surrounding environment or services and using sustainable energy practices.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3</w:t>
            </w:r>
          </w:p>
        </w:tc>
        <w:tc>
          <w:tcPr>
            <w:tcW w:w="2296"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Complete work an</w:t>
            </w:r>
            <w:r w:rsidRPr="00CD2181">
              <w:t>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3.1</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OHS work completion risk control measures and procedures are followed.</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3.2</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Work site is cleaned and made safe in accordance with established procedures.</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3.3</w:t>
            </w:r>
          </w:p>
        </w:tc>
        <w:tc>
          <w:tcPr>
            <w:tcW w:w="54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Justification for solutions used to solve circuit problems is documented.</w:t>
            </w:r>
          </w:p>
        </w:tc>
      </w:tr>
      <w:tr w:rsidTr="001D181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3.4</w:t>
            </w:r>
          </w:p>
        </w:tc>
        <w:tc>
          <w:tcPr>
            <w:tcW w:w="5475"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Work completion is documented and appropriate person(s) notified in accordance with established procedures.</w:t>
            </w:r>
          </w:p>
        </w:tc>
      </w:tr>
    </w:tbl>
    <w:p w:rsidR="001D1812" w:rsidP="00CD2181">
      <w:pPr>
        <w:pStyle w:val="BodyText"/>
      </w:pPr>
    </w:p>
    <w:p w:rsidR="001D1812" w:rsidP="00CD2181">
      <w:pPr>
        <w:pStyle w:val="BodyText"/>
      </w:pPr>
    </w:p>
    <w:p w:rsidR="00000000" w:rsidRPr="00CD2181" w:rsidP="00CD2181">
      <w:pPr>
        <w:pStyle w:val="Heading1"/>
      </w:pPr>
      <w:bookmarkStart w:id="9" w:name="O_584425"/>
      <w:bookmarkEnd w:id="9"/>
      <w:r w:rsidRPr="00CD2181">
        <w:t>Required Skills and Knowledge</w:t>
      </w:r>
    </w:p>
    <w:tbl>
      <w:tblPr>
        <w:tblW w:w="0" w:type="auto"/>
        <w:tblLayout w:type="fixed"/>
        <w:tblCellMar>
          <w:left w:w="62" w:type="dxa"/>
          <w:right w:w="62" w:type="dxa"/>
        </w:tblCellMar>
        <w:tblLook w:val="0000"/>
      </w:tblPr>
      <w:tblGrid>
        <w:gridCol w:w="9075"/>
      </w:tblGrid>
      <w:tr w:rsidTr="001D1812">
        <w:tblPrEx>
          <w:tblW w:w="0" w:type="auto"/>
          <w:tblLayout w:type="fixed"/>
          <w:tblCellMar>
            <w:left w:w="62" w:type="dxa"/>
            <w:right w:w="62" w:type="dxa"/>
          </w:tblCellMar>
          <w:tblLook w:val="0000"/>
        </w:tblPrEx>
        <w:trPr>
          <w:tblHeader/>
        </w:trPr>
        <w:tc>
          <w:tcPr>
            <w:tcW w:w="90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REQUIRED SKILLS A</w:t>
            </w:r>
            <w:r w:rsidRPr="00CD2181">
              <w:rPr>
                <w:rStyle w:val="SpecialBold"/>
              </w:rPr>
              <w:t>ND KNOWLEDGE</w:t>
            </w:r>
          </w:p>
        </w:tc>
      </w:tr>
      <w:tr w:rsidTr="001D1812">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7)</w:t>
            </w:r>
            <w:r w:rsidRPr="00CD2181">
              <w:t xml:space="preserve"> This describes the essential skills and knowledge and their level, required for this unit.</w:t>
            </w:r>
          </w:p>
        </w:tc>
      </w:tr>
      <w:tr w:rsidTr="001D1812">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 xml:space="preserve">Evidence shall show that knowledge has been acquired of safe working practices and provide engineering solutions for solving problems in complex </w:t>
            </w:r>
            <w:r w:rsidRPr="00CD2181">
              <w:t>multiple path circuits.</w:t>
            </w:r>
          </w:p>
          <w:p w:rsidR="00000000" w:rsidRPr="00CD2181" w:rsidP="00CD2181">
            <w:pPr>
              <w:pStyle w:val="BodyText"/>
            </w:pPr>
            <w:r w:rsidRPr="00CD2181">
              <w:t>All knowledge and skills detailed in this unit should be contextualised to current industry practices and technologies.</w:t>
            </w:r>
          </w:p>
          <w:p w:rsidR="00000000" w:rsidRPr="00CD2181" w:rsidP="00CD2181">
            <w:pPr>
              <w:pStyle w:val="BodyText"/>
            </w:pPr>
            <w:r w:rsidRPr="00CD2181">
              <w:rPr>
                <w:rStyle w:val="SpecialBold"/>
              </w:rPr>
              <w:t>KS01-EE125A</w:t>
            </w:r>
            <w:r w:rsidRPr="00CD2181">
              <w:rPr>
                <w:rStyle w:val="SpecialBold"/>
              </w:rPr>
              <w:tab/>
              <w:t xml:space="preserve">              Circuit analysis</w:t>
            </w:r>
          </w:p>
          <w:p w:rsidR="00000000" w:rsidRPr="00CD2181" w:rsidP="00CD2181">
            <w:pPr>
              <w:pStyle w:val="BodyText"/>
            </w:pPr>
            <w:r w:rsidRPr="00CD2181">
              <w:t>Evidence shall show an understanding of circuit analysis to an extent</w:t>
            </w:r>
            <w:r w:rsidRPr="00CD2181">
              <w:t xml:space="preserve"> indicated by the following aspects:</w:t>
            </w:r>
          </w:p>
          <w:p w:rsidR="00000000" w:rsidRPr="00CD2181" w:rsidP="00CD2181">
            <w:pPr>
              <w:pStyle w:val="BodyText"/>
            </w:pPr>
            <w:r w:rsidRPr="00CD2181">
              <w:t>T1</w:t>
            </w:r>
            <w:r w:rsidRPr="00CD2181">
              <w:tab/>
              <w:t>Voltage/Current Sources and Kirchhoff’s Law for d.c. Linear Circuits encompassing:</w:t>
            </w:r>
          </w:p>
          <w:p w:rsidR="00000000" w:rsidRPr="00CD2181" w:rsidP="00CD2181">
            <w:pPr>
              <w:pStyle w:val="ListBullet"/>
            </w:pPr>
            <w:r w:rsidRPr="00CD2181">
              <w:t>calculating the effect of the internal resistance on terminal voltage and current delivered for practical voltage sources and curren</w:t>
            </w:r>
            <w:r w:rsidRPr="00CD2181">
              <w:t>t sources</w:t>
            </w:r>
          </w:p>
          <w:p w:rsidR="00000000" w:rsidRPr="00CD2181" w:rsidP="00CD2181">
            <w:pPr>
              <w:pStyle w:val="ListBullet"/>
            </w:pPr>
            <w:r w:rsidRPr="00CD2181">
              <w:t>calculating current and voltage in any d.c. network of up to two loops and three sources.</w:t>
            </w:r>
          </w:p>
          <w:p w:rsidR="00000000" w:rsidRPr="00CD2181" w:rsidP="00CD2181">
            <w:pPr>
              <w:pStyle w:val="ListBullet"/>
            </w:pPr>
            <w:r w:rsidRPr="00CD2181">
              <w:t>Kirchhoff’s Law using a circuit simulation program.</w:t>
            </w:r>
          </w:p>
          <w:p w:rsidR="00000000" w:rsidRPr="00CD2181" w:rsidP="00CD2181">
            <w:pPr>
              <w:pStyle w:val="ListBullet"/>
            </w:pPr>
            <w:r w:rsidRPr="00CD2181">
              <w:t>function and operation of an electronics circuit simulation program.</w:t>
            </w:r>
          </w:p>
          <w:p w:rsidR="00000000" w:rsidRPr="00CD2181" w:rsidP="00CD2181">
            <w:pPr>
              <w:pStyle w:val="ListBullet"/>
            </w:pPr>
            <w:r w:rsidRPr="00CD2181">
              <w:t>using electronics circuit simulation program.</w:t>
            </w:r>
          </w:p>
          <w:p w:rsidR="00000000" w:rsidRPr="00CD2181" w:rsidP="00CD2181">
            <w:pPr>
              <w:pStyle w:val="BodyText"/>
            </w:pPr>
            <w:r w:rsidRPr="00CD2181">
              <w:t>T2</w:t>
            </w:r>
            <w:r w:rsidRPr="00CD2181">
              <w:tab/>
              <w:t>Superposition Principles for d.c. Linear Circuits encompassing:</w:t>
            </w:r>
          </w:p>
          <w:p w:rsidR="00000000" w:rsidRPr="00CD2181" w:rsidP="00CD2181">
            <w:pPr>
              <w:pStyle w:val="ListBullet"/>
            </w:pPr>
            <w:r w:rsidRPr="00CD2181">
              <w:t xml:space="preserve">d.c. networks (two loops, three sources) </w:t>
            </w:r>
          </w:p>
          <w:p w:rsidR="00000000" w:rsidRPr="00CD2181" w:rsidP="00CD2181">
            <w:pPr>
              <w:pStyle w:val="ListBullet"/>
            </w:pPr>
            <w:r w:rsidRPr="00CD2181">
              <w:t>using simulation programs</w:t>
            </w:r>
          </w:p>
          <w:p w:rsidR="00000000" w:rsidRPr="00CD2181" w:rsidP="00CD2181">
            <w:pPr>
              <w:pStyle w:val="ListBullet"/>
            </w:pPr>
            <w:r w:rsidRPr="00CD2181">
              <w:t>calculating current and voltage in any d.c. network of up to two loops and</w:t>
            </w:r>
            <w:r w:rsidRPr="00CD2181">
              <w:t xml:space="preserve"> three sources.</w:t>
            </w:r>
          </w:p>
          <w:p w:rsidR="00000000" w:rsidRPr="00CD2181" w:rsidP="00CD2181">
            <w:pPr>
              <w:pStyle w:val="ListBullet"/>
            </w:pPr>
            <w:r w:rsidRPr="00CD2181">
              <w:t>Superposition theorem using a circuit simulation program.</w:t>
            </w:r>
          </w:p>
          <w:p w:rsidR="00000000" w:rsidRPr="00CD2181" w:rsidP="00CD2181">
            <w:pPr>
              <w:pStyle w:val="BodyText"/>
            </w:pPr>
            <w:r w:rsidRPr="00CD2181">
              <w:t>T3</w:t>
            </w:r>
            <w:r w:rsidRPr="00CD2181">
              <w:tab/>
              <w:t>Mesh and Nodal Analysis for d.c. Linear Circuits encompassing:</w:t>
            </w:r>
          </w:p>
          <w:p w:rsidR="00000000" w:rsidRPr="00CD2181" w:rsidP="00CD2181">
            <w:pPr>
              <w:pStyle w:val="ListBullet"/>
            </w:pPr>
            <w:r w:rsidRPr="00CD2181">
              <w:t>writing mesh equations for d.c. networks containing up to three loops.</w:t>
            </w:r>
          </w:p>
          <w:p w:rsidR="00000000" w:rsidRPr="00CD2181" w:rsidP="00CD2181">
            <w:pPr>
              <w:pStyle w:val="ListBullet"/>
            </w:pPr>
            <w:r w:rsidRPr="00CD2181">
              <w:t>writing Nodal equations for d.c. networks co</w:t>
            </w:r>
            <w:r w:rsidRPr="00CD2181">
              <w:t>ntaining up to three nodes.</w:t>
            </w:r>
          </w:p>
          <w:p w:rsidR="00000000" w:rsidRPr="00CD2181" w:rsidP="00CD2181">
            <w:pPr>
              <w:pStyle w:val="ListBullet"/>
            </w:pPr>
            <w:r w:rsidRPr="00CD2181">
              <w:t>using mesh analysis to find currents in d.c. networks of up to two loops.</w:t>
            </w:r>
          </w:p>
          <w:p w:rsidR="00000000" w:rsidRPr="00CD2181" w:rsidP="00CD2181">
            <w:pPr>
              <w:pStyle w:val="ListBullet"/>
            </w:pPr>
            <w:r w:rsidRPr="00CD2181">
              <w:t>using nodal analysis to find node voltage and branch currents in d.c. networks of up to two nodes</w:t>
            </w:r>
          </w:p>
          <w:p w:rsidR="00000000" w:rsidRPr="00CD2181" w:rsidP="00CD2181">
            <w:pPr>
              <w:pStyle w:val="ListBullet"/>
            </w:pPr>
            <w:r w:rsidRPr="00CD2181">
              <w:t>using a circuit simulation program to confirm the result</w:t>
            </w:r>
            <w:r w:rsidRPr="00CD2181">
              <w:t>s of Mesh analysis or Nodal analysis of d.c. networks.</w:t>
            </w:r>
          </w:p>
          <w:p w:rsidR="00000000" w:rsidRPr="00CD2181" w:rsidP="00CD2181">
            <w:pPr>
              <w:pStyle w:val="BodyText"/>
            </w:pPr>
            <w:r w:rsidRPr="00CD2181">
              <w:t>T4</w:t>
            </w:r>
            <w:r w:rsidRPr="00CD2181">
              <w:tab/>
              <w:t>Thévenin’s principles for d.c. Linear Circuits encompassing:</w:t>
            </w:r>
          </w:p>
          <w:p w:rsidR="00000000" w:rsidRPr="00CD2181" w:rsidP="00CD2181">
            <w:pPr>
              <w:pStyle w:val="ListBullet"/>
            </w:pPr>
            <w:r w:rsidRPr="00CD2181">
              <w:t>calculating the effect of the internal resistance on terminal voltage and current delivered for practical voltage sources and current so</w:t>
            </w:r>
            <w:r w:rsidRPr="00CD2181">
              <w:t>urces.</w:t>
            </w:r>
          </w:p>
          <w:p w:rsidR="00000000" w:rsidRPr="00CD2181" w:rsidP="00CD2181">
            <w:pPr>
              <w:pStyle w:val="ListBullet"/>
            </w:pPr>
            <w:r w:rsidRPr="00CD2181">
              <w:t>calculating the Thévenin equivalent voltage and resistance for d.c. networks and determining the load current, voltage and power.</w:t>
            </w:r>
          </w:p>
          <w:p w:rsidR="00000000" w:rsidRPr="00CD2181" w:rsidP="00CD2181">
            <w:pPr>
              <w:pStyle w:val="ListBullet"/>
            </w:pPr>
            <w:r w:rsidRPr="00CD2181">
              <w:t>converting the Thévenin equivalent circuit to a Norton equivalent circuit and vice versa.</w:t>
            </w:r>
          </w:p>
          <w:p w:rsidR="00000000" w:rsidRPr="00CD2181" w:rsidP="00CD2181">
            <w:pPr>
              <w:pStyle w:val="ListBullet"/>
            </w:pPr>
            <w:r w:rsidRPr="00CD2181">
              <w:t xml:space="preserve">verifying the equivalence of </w:t>
            </w:r>
            <w:r w:rsidRPr="00CD2181">
              <w:t>Thévenin equivalent circuits by measurement.</w:t>
            </w:r>
          </w:p>
          <w:p w:rsidR="00000000" w:rsidRPr="00CD2181" w:rsidP="00CD2181">
            <w:pPr>
              <w:pStyle w:val="BodyText"/>
            </w:pPr>
            <w:r w:rsidRPr="00CD2181">
              <w:t>T5</w:t>
            </w:r>
            <w:r w:rsidRPr="00CD2181">
              <w:tab/>
              <w:t xml:space="preserve">Norton’s principles for d.c. linear circuits encompassing: </w:t>
            </w:r>
          </w:p>
          <w:p w:rsidR="00000000" w:rsidRPr="00CD2181" w:rsidP="00CD2181">
            <w:pPr>
              <w:pStyle w:val="ListBullet"/>
            </w:pPr>
            <w:r w:rsidRPr="00CD2181">
              <w:t>calculating the effect of the internal resistance on terminal voltage and current delivered for practical voltage sources and current sources.</w:t>
            </w:r>
          </w:p>
          <w:p w:rsidR="00000000" w:rsidRPr="00CD2181" w:rsidP="00CD2181">
            <w:pPr>
              <w:pStyle w:val="ListBullet"/>
            </w:pPr>
            <w:r w:rsidRPr="00CD2181">
              <w:t>calculating the Norton equivalent current and resistance for d.c. networks and determining the load current, voltage and power.</w:t>
            </w:r>
          </w:p>
          <w:p w:rsidR="00000000" w:rsidRPr="00CD2181" w:rsidP="00CD2181">
            <w:pPr>
              <w:pStyle w:val="ListBullet"/>
            </w:pPr>
            <w:r w:rsidRPr="00CD2181">
              <w:t>converting the Thévenin equivalent circuit to a Norton equivalent circuit and vice versa.</w:t>
            </w:r>
          </w:p>
          <w:p w:rsidR="00000000" w:rsidRPr="00CD2181" w:rsidP="00CD2181">
            <w:pPr>
              <w:pStyle w:val="ListBullet"/>
            </w:pPr>
            <w:r w:rsidRPr="00CD2181">
              <w:t>verifying the equivalence of Norton eq</w:t>
            </w:r>
            <w:r w:rsidRPr="00CD2181">
              <w:t>uivalent circuits by measurement.</w:t>
            </w:r>
          </w:p>
          <w:p w:rsidR="00000000" w:rsidRPr="00CD2181" w:rsidP="00CD2181">
            <w:pPr>
              <w:pStyle w:val="BodyText"/>
            </w:pPr>
            <w:r w:rsidRPr="00CD2181">
              <w:t>T6</w:t>
            </w:r>
            <w:r w:rsidRPr="00CD2181">
              <w:tab/>
              <w:t>Phasors encompassing:</w:t>
            </w:r>
          </w:p>
          <w:p w:rsidR="00000000" w:rsidRPr="00CD2181" w:rsidP="00CD2181">
            <w:pPr>
              <w:pStyle w:val="ListBullet"/>
            </w:pPr>
            <w:r w:rsidRPr="00CD2181">
              <w:t>time domain and frequency domain</w:t>
            </w:r>
          </w:p>
          <w:p w:rsidR="00000000" w:rsidRPr="00CD2181" w:rsidP="00CD2181">
            <w:pPr>
              <w:pStyle w:val="ListBullet"/>
            </w:pPr>
            <w:r w:rsidRPr="00CD2181">
              <w:t>frequency, angular frequency and units of measurement</w:t>
            </w:r>
          </w:p>
          <w:p w:rsidR="00000000" w:rsidRPr="00CD2181" w:rsidP="00CD2181">
            <w:pPr>
              <w:pStyle w:val="ListBullet"/>
            </w:pPr>
            <w:r w:rsidRPr="00CD2181">
              <w:t>defining rms and convert between time domain and rms phasor values for a sine wave.</w:t>
            </w:r>
          </w:p>
          <w:p w:rsidR="00000000" w:rsidRPr="00CD2181" w:rsidP="00CD2181">
            <w:pPr>
              <w:pStyle w:val="ListBullet"/>
            </w:pPr>
            <w:r w:rsidRPr="00CD2181">
              <w:t>converting between angula</w:t>
            </w:r>
            <w:r w:rsidRPr="00CD2181">
              <w:t>r frequency and frequency.</w:t>
            </w:r>
          </w:p>
          <w:p w:rsidR="00000000" w:rsidRPr="00CD2181" w:rsidP="00CD2181">
            <w:pPr>
              <w:pStyle w:val="ListBullet"/>
            </w:pPr>
            <w:r w:rsidRPr="00CD2181">
              <w:t>using a calculator to convert between polar and rectangular forms of phasor.</w:t>
            </w:r>
          </w:p>
          <w:p w:rsidR="00000000" w:rsidRPr="00CD2181" w:rsidP="00CD2181">
            <w:pPr>
              <w:pStyle w:val="ListBullet"/>
            </w:pPr>
            <w:r w:rsidRPr="00CD2181">
              <w:t>representing a.c. voltages on a phasor diagram.</w:t>
            </w:r>
          </w:p>
          <w:p w:rsidR="00000000" w:rsidRPr="00CD2181" w:rsidP="00CD2181">
            <w:pPr>
              <w:pStyle w:val="BodyText"/>
            </w:pPr>
            <w:r w:rsidRPr="00CD2181">
              <w:t>T7</w:t>
            </w:r>
            <w:r w:rsidRPr="00CD2181">
              <w:tab/>
              <w:t>Complex Impedance encompassing:</w:t>
            </w:r>
          </w:p>
          <w:p w:rsidR="00000000" w:rsidRPr="00CD2181" w:rsidP="00CD2181">
            <w:pPr>
              <w:pStyle w:val="ListBullet"/>
            </w:pPr>
            <w:r w:rsidRPr="00CD2181">
              <w:t>defining impedance, resistance and reactance.</w:t>
            </w:r>
          </w:p>
          <w:p w:rsidR="00000000" w:rsidRPr="00CD2181" w:rsidP="00CD2181">
            <w:pPr>
              <w:pStyle w:val="ListBullet"/>
            </w:pPr>
            <w:r w:rsidRPr="00CD2181">
              <w:t>defining admittance, c</w:t>
            </w:r>
            <w:r w:rsidRPr="00CD2181">
              <w:t xml:space="preserve">onductance and susceptance. </w:t>
            </w:r>
          </w:p>
          <w:p w:rsidR="00000000" w:rsidRPr="00CD2181" w:rsidP="00CD2181">
            <w:pPr>
              <w:pStyle w:val="ListBullet"/>
            </w:pPr>
            <w:r w:rsidRPr="00CD2181">
              <w:t>converting between conductance to resistance.</w:t>
            </w:r>
          </w:p>
          <w:p w:rsidR="00000000" w:rsidRPr="00CD2181" w:rsidP="00CD2181">
            <w:pPr>
              <w:pStyle w:val="ListBullet"/>
            </w:pPr>
            <w:r w:rsidRPr="00CD2181">
              <w:t>converting between susceptance and reactance.</w:t>
            </w:r>
          </w:p>
          <w:p w:rsidR="00000000" w:rsidRPr="00CD2181" w:rsidP="00CD2181">
            <w:pPr>
              <w:pStyle w:val="ListBullet"/>
            </w:pPr>
            <w:r w:rsidRPr="00CD2181">
              <w:t>converting between impedance and admittance.</w:t>
            </w:r>
          </w:p>
          <w:p w:rsidR="00000000" w:rsidRPr="00CD2181" w:rsidP="00CD2181">
            <w:pPr>
              <w:pStyle w:val="ListBullet"/>
            </w:pPr>
            <w:r w:rsidRPr="00CD2181">
              <w:t>sketching impedance and admittance diagrams.</w:t>
            </w:r>
          </w:p>
          <w:p w:rsidR="00000000" w:rsidRPr="00CD2181" w:rsidP="00CD2181">
            <w:pPr>
              <w:pStyle w:val="ListBullet"/>
            </w:pPr>
            <w:r w:rsidRPr="00CD2181">
              <w:t>calculating two-component series equivalent c</w:t>
            </w:r>
            <w:r w:rsidRPr="00CD2181">
              <w:t>ircuits and two-component parallel equivalent circuits and convert between these forms.</w:t>
            </w:r>
          </w:p>
          <w:p w:rsidR="00000000" w:rsidRPr="00CD2181" w:rsidP="00CD2181">
            <w:pPr>
              <w:pStyle w:val="BodyText"/>
            </w:pPr>
            <w:r w:rsidRPr="00CD2181">
              <w:t>T8</w:t>
            </w:r>
            <w:r w:rsidRPr="00CD2181">
              <w:tab/>
              <w:t>Series and parallel a.c. linear circuits encompassing:</w:t>
            </w:r>
          </w:p>
          <w:p w:rsidR="00000000" w:rsidRPr="00CD2181" w:rsidP="00CD2181">
            <w:pPr>
              <w:pStyle w:val="ListBullet"/>
            </w:pPr>
            <w:r w:rsidRPr="00CD2181">
              <w:t>Kirchhoff’s Laws</w:t>
            </w:r>
          </w:p>
          <w:p w:rsidR="00000000" w:rsidRPr="00CD2181" w:rsidP="00CD2181">
            <w:pPr>
              <w:pStyle w:val="ListBullet"/>
            </w:pPr>
            <w:r w:rsidRPr="00CD2181">
              <w:t>series equivalent impedance</w:t>
            </w:r>
          </w:p>
          <w:p w:rsidR="00000000" w:rsidRPr="00CD2181" w:rsidP="00CD2181">
            <w:pPr>
              <w:pStyle w:val="ListBullet"/>
            </w:pPr>
            <w:r w:rsidRPr="00CD2181">
              <w:t>parallel equivalent impedance</w:t>
            </w:r>
          </w:p>
          <w:p w:rsidR="00000000" w:rsidRPr="00CD2181" w:rsidP="00CD2181">
            <w:pPr>
              <w:pStyle w:val="ListBullet"/>
            </w:pPr>
            <w:r w:rsidRPr="00CD2181">
              <w:t>voltage divider and current divider rules</w:t>
            </w:r>
          </w:p>
          <w:p w:rsidR="00000000" w:rsidRPr="00CD2181" w:rsidP="00CD2181">
            <w:pPr>
              <w:pStyle w:val="ListBullet"/>
            </w:pPr>
            <w:r w:rsidRPr="00CD2181">
              <w:t>calculating and measuring voltage and currents in a series a.c .circuit and draw the phasor diagram.</w:t>
            </w:r>
          </w:p>
          <w:p w:rsidR="00000000" w:rsidRPr="00CD2181" w:rsidP="00CD2181">
            <w:pPr>
              <w:pStyle w:val="ListBullet"/>
            </w:pPr>
            <w:r w:rsidRPr="00CD2181">
              <w:t>calculating and measuring currents in a parallel a.c. circuit and draw the phasor diagram.</w:t>
            </w:r>
          </w:p>
          <w:p w:rsidR="00000000" w:rsidRPr="00CD2181" w:rsidP="00CD2181">
            <w:pPr>
              <w:pStyle w:val="ListBullet"/>
            </w:pPr>
            <w:r w:rsidRPr="00CD2181">
              <w:t>calculating and measur</w:t>
            </w:r>
            <w:r w:rsidRPr="00CD2181">
              <w:t>ing voltage and currents in a series/parallel a.c. circuit and draw the phasor diagram.</w:t>
            </w:r>
          </w:p>
          <w:p w:rsidR="00000000" w:rsidRPr="00CD2181" w:rsidP="00CD2181">
            <w:pPr>
              <w:pStyle w:val="BodyText"/>
            </w:pPr>
            <w:r w:rsidRPr="00CD2181">
              <w:t>T9</w:t>
            </w:r>
            <w:r w:rsidRPr="00CD2181">
              <w:tab/>
              <w:t>Superposition principles and Kirchoff’s Laws applied to a.c. linear circuits encompassing:</w:t>
            </w:r>
          </w:p>
          <w:p w:rsidR="00000000" w:rsidRPr="00CD2181" w:rsidP="00CD2181">
            <w:pPr>
              <w:pStyle w:val="ListBullet"/>
            </w:pPr>
            <w:r w:rsidRPr="00CD2181">
              <w:t>calculating current and voltage in any a.c. network of up to two loops an</w:t>
            </w:r>
            <w:r w:rsidRPr="00CD2181">
              <w:t>d two sources.</w:t>
            </w:r>
          </w:p>
          <w:p w:rsidR="00000000" w:rsidRPr="00CD2181" w:rsidP="00CD2181">
            <w:pPr>
              <w:pStyle w:val="ListBullet"/>
            </w:pPr>
            <w:r w:rsidRPr="00CD2181">
              <w:t>using circuit simulation programs to demonstrate the superposition theorem.</w:t>
            </w:r>
          </w:p>
          <w:p w:rsidR="00000000" w:rsidRPr="00CD2181" w:rsidP="00CD2181">
            <w:pPr>
              <w:pStyle w:val="ListBullet"/>
            </w:pPr>
            <w:r w:rsidRPr="00CD2181">
              <w:t>function and operation of an electronics circuit simulation program.</w:t>
            </w:r>
          </w:p>
          <w:p w:rsidR="00000000" w:rsidRPr="00CD2181" w:rsidP="00CD2181">
            <w:pPr>
              <w:pStyle w:val="ListBullet"/>
            </w:pPr>
            <w:r w:rsidRPr="00CD2181">
              <w:t>entering given circuit specifications into an electronic circuit program.</w:t>
            </w:r>
          </w:p>
          <w:p w:rsidR="00000000" w:rsidRPr="00CD2181" w:rsidP="00CD2181">
            <w:pPr>
              <w:pStyle w:val="ListBullet"/>
            </w:pPr>
            <w:r w:rsidRPr="00CD2181">
              <w:t>setting the circuit si</w:t>
            </w:r>
            <w:r w:rsidRPr="00CD2181">
              <w:t>mulation program operation parameters including input and output values, ranges and graduation.</w:t>
            </w:r>
          </w:p>
          <w:p w:rsidR="00000000" w:rsidRPr="00CD2181" w:rsidP="00CD2181">
            <w:pPr>
              <w:pStyle w:val="ListBullet"/>
            </w:pPr>
            <w:r w:rsidRPr="00CD2181">
              <w:t>producing hardcopies of the circuit and analyse results.</w:t>
            </w:r>
          </w:p>
          <w:p w:rsidR="00000000" w:rsidRPr="00CD2181" w:rsidP="00CD2181">
            <w:pPr>
              <w:pStyle w:val="BodyText"/>
            </w:pPr>
            <w:r w:rsidRPr="00CD2181">
              <w:t>T10</w:t>
            </w:r>
            <w:r w:rsidRPr="00CD2181">
              <w:tab/>
              <w:t>Mesh and Nodal analysis for a.c. linear circuits encompassing:</w:t>
            </w:r>
          </w:p>
          <w:p w:rsidR="00000000" w:rsidRPr="00CD2181" w:rsidP="00CD2181">
            <w:pPr>
              <w:pStyle w:val="ListBullet"/>
            </w:pPr>
            <w:r w:rsidRPr="00CD2181">
              <w:t>Mesh analysis</w:t>
            </w:r>
          </w:p>
          <w:p w:rsidR="00000000" w:rsidRPr="00CD2181" w:rsidP="00CD2181">
            <w:pPr>
              <w:pStyle w:val="ListBullet"/>
            </w:pPr>
            <w:r w:rsidRPr="00CD2181">
              <w:t>Node voltages and nod</w:t>
            </w:r>
            <w:r w:rsidRPr="00CD2181">
              <w:t>al analysis</w:t>
            </w:r>
          </w:p>
          <w:p w:rsidR="00000000" w:rsidRPr="00CD2181" w:rsidP="00CD2181">
            <w:pPr>
              <w:pStyle w:val="ListBullet"/>
            </w:pPr>
            <w:r w:rsidRPr="00CD2181">
              <w:t>matrix representation</w:t>
            </w:r>
          </w:p>
          <w:p w:rsidR="00000000" w:rsidRPr="00CD2181" w:rsidP="00CD2181">
            <w:pPr>
              <w:pStyle w:val="ListBullet"/>
            </w:pPr>
            <w:r w:rsidRPr="00CD2181">
              <w:t>method of determinants</w:t>
            </w:r>
          </w:p>
          <w:p w:rsidR="00000000" w:rsidRPr="00CD2181" w:rsidP="00CD2181">
            <w:pPr>
              <w:pStyle w:val="ListBullet"/>
            </w:pPr>
            <w:r w:rsidRPr="00CD2181">
              <w:t>writing mesh equations for a.c. networks containing up to three loops.</w:t>
            </w:r>
          </w:p>
          <w:p w:rsidR="00000000" w:rsidRPr="00CD2181" w:rsidP="00CD2181">
            <w:pPr>
              <w:pStyle w:val="ListBullet"/>
            </w:pPr>
            <w:r w:rsidRPr="00CD2181">
              <w:t>writing nodal equations for a.c. networks containing up to three nodes.</w:t>
            </w:r>
          </w:p>
          <w:p w:rsidR="00000000" w:rsidRPr="00CD2181" w:rsidP="00CD2181">
            <w:pPr>
              <w:pStyle w:val="ListBullet"/>
            </w:pPr>
            <w:r w:rsidRPr="00CD2181">
              <w:t>using mesh analysis to find currents in a.c. networks of up to two loops.</w:t>
            </w:r>
          </w:p>
          <w:p w:rsidR="00000000" w:rsidRPr="00CD2181" w:rsidP="00CD2181">
            <w:pPr>
              <w:pStyle w:val="ListBullet"/>
            </w:pPr>
            <w:r w:rsidRPr="00CD2181">
              <w:t>using nodal analysis to find node voltage and branch currents in a.c. networks of up to two nodes.</w:t>
            </w:r>
          </w:p>
          <w:p w:rsidR="00000000" w:rsidRPr="00CD2181" w:rsidP="00CD2181">
            <w:pPr>
              <w:pStyle w:val="ListBullet"/>
            </w:pPr>
            <w:r w:rsidRPr="00CD2181">
              <w:t>using a circuit simulation program to confirm the results of mesh analysis or nodal</w:t>
            </w:r>
            <w:r w:rsidRPr="00CD2181">
              <w:t xml:space="preserve"> analysis of a.c. networks.</w:t>
            </w:r>
          </w:p>
          <w:p w:rsidR="00000000" w:rsidRPr="00CD2181" w:rsidP="00CD2181">
            <w:pPr>
              <w:pStyle w:val="BodyText"/>
            </w:pPr>
            <w:r w:rsidRPr="00CD2181">
              <w:t>T11</w:t>
            </w:r>
            <w:r w:rsidRPr="00CD2181">
              <w:tab/>
              <w:t>Thévenin and Norton theorems applied to a.c. linear circuits encompassing:</w:t>
            </w:r>
          </w:p>
          <w:p w:rsidR="00000000" w:rsidRPr="00CD2181" w:rsidP="00CD2181">
            <w:pPr>
              <w:pStyle w:val="ListBullet"/>
            </w:pPr>
            <w:r w:rsidRPr="00CD2181">
              <w:t>calculating the effect of the internal resistance on terminal voltage and current delivered for practical voltage sources and current sources.</w:t>
            </w:r>
          </w:p>
          <w:p w:rsidR="00000000" w:rsidRPr="00CD2181" w:rsidP="00CD2181">
            <w:pPr>
              <w:pStyle w:val="ListBullet"/>
            </w:pPr>
            <w:r w:rsidRPr="00CD2181">
              <w:t>calcu</w:t>
            </w:r>
            <w:r w:rsidRPr="00CD2181">
              <w:t>lating the Thévenin equivalent voltage and impedance for a.c. networks and determining the load current, voltage and power.</w:t>
            </w:r>
          </w:p>
          <w:p w:rsidR="00000000" w:rsidRPr="00CD2181" w:rsidP="00CD2181">
            <w:pPr>
              <w:pStyle w:val="ListBullet"/>
            </w:pPr>
            <w:r w:rsidRPr="00CD2181">
              <w:t>calculating the Norton equivalent current and impedance for a.c. networks and determining the load current, voltage and power.</w:t>
            </w:r>
          </w:p>
          <w:p w:rsidR="00000000" w:rsidRPr="00CD2181" w:rsidP="00CD2181">
            <w:pPr>
              <w:pStyle w:val="ListBullet"/>
            </w:pPr>
            <w:r w:rsidRPr="00CD2181">
              <w:t>conve</w:t>
            </w:r>
            <w:r w:rsidRPr="00CD2181">
              <w:t>rting the Thévenin equivalent circuit to a Norton equivalent circuit and vice versa.</w:t>
            </w:r>
          </w:p>
          <w:p w:rsidR="00000000" w:rsidRPr="00CD2181" w:rsidP="00CD2181">
            <w:pPr>
              <w:pStyle w:val="ListBullet"/>
            </w:pPr>
            <w:r w:rsidRPr="00CD2181">
              <w:t>verifying the equivalence of Thévenin and Norton equivalent circuits by measurement.</w:t>
            </w:r>
          </w:p>
          <w:p w:rsidR="00000000" w:rsidRPr="00CD2181" w:rsidP="00CD2181">
            <w:pPr>
              <w:pStyle w:val="BodyText"/>
            </w:pPr>
            <w:r w:rsidRPr="00CD2181">
              <w:t>T12</w:t>
            </w:r>
            <w:r w:rsidRPr="00CD2181">
              <w:tab/>
              <w:t>Star-delta conversions encompassing:</w:t>
            </w:r>
          </w:p>
          <w:p w:rsidR="00000000" w:rsidRPr="00CD2181" w:rsidP="00CD2181">
            <w:pPr>
              <w:pStyle w:val="ListBullet"/>
            </w:pPr>
            <w:r w:rsidRPr="00CD2181">
              <w:t>Star connections</w:t>
            </w:r>
          </w:p>
          <w:p w:rsidR="00000000" w:rsidRPr="00CD2181" w:rsidP="00CD2181">
            <w:pPr>
              <w:pStyle w:val="ListBullet"/>
            </w:pPr>
            <w:r w:rsidRPr="00CD2181">
              <w:t>Star-delta transformation f</w:t>
            </w:r>
            <w:r w:rsidRPr="00CD2181">
              <w:t xml:space="preserve">ormula equations </w:t>
            </w:r>
          </w:p>
          <w:p w:rsidR="00000000" w:rsidRPr="00CD2181" w:rsidP="00CD2181">
            <w:pPr>
              <w:pStyle w:val="ListBullet"/>
            </w:pPr>
            <w:r w:rsidRPr="00CD2181">
              <w:t>selection of appropriate conversion</w:t>
            </w:r>
          </w:p>
          <w:p w:rsidR="00000000" w:rsidRPr="00CD2181" w:rsidP="00CD2181">
            <w:pPr>
              <w:pStyle w:val="ListBullet"/>
            </w:pPr>
            <w:r w:rsidRPr="00CD2181">
              <w:t>calculating the delta connected equivalent of a star connected balanced a.c. or d.c. load and vice versa.</w:t>
            </w:r>
          </w:p>
          <w:p w:rsidR="00000000" w:rsidRPr="00CD2181" w:rsidP="00CD2181">
            <w:pPr>
              <w:pStyle w:val="ListBullet"/>
            </w:pPr>
            <w:r w:rsidRPr="00CD2181">
              <w:t>converting a complex non-series/parallel network to a series/parallel network by means of star-d</w:t>
            </w:r>
            <w:r w:rsidRPr="00CD2181">
              <w:t>elta or delta-star conversions.</w:t>
            </w:r>
          </w:p>
          <w:p w:rsidR="00000000" w:rsidRPr="00CD2181" w:rsidP="00CD2181">
            <w:pPr>
              <w:pStyle w:val="ListBullet"/>
            </w:pPr>
            <w:r w:rsidRPr="00CD2181">
              <w:t>verifying star-delta and delta-star network conversions by measurements.</w:t>
            </w:r>
          </w:p>
          <w:p w:rsidR="00000000" w:rsidRPr="00CD2181" w:rsidP="00CD2181">
            <w:pPr>
              <w:pStyle w:val="BodyText"/>
            </w:pPr>
            <w:r w:rsidRPr="00CD2181">
              <w:t>T13</w:t>
            </w:r>
            <w:r w:rsidRPr="00CD2181">
              <w:tab/>
              <w:t>Complex a.c. power and maximum power transfer theorem encompassing:</w:t>
            </w:r>
          </w:p>
          <w:p w:rsidR="00000000" w:rsidRPr="00CD2181" w:rsidP="00CD2181">
            <w:pPr>
              <w:pStyle w:val="ListBullet"/>
            </w:pPr>
            <w:r w:rsidRPr="00CD2181">
              <w:t>true power, reactive power and apparent power</w:t>
            </w:r>
          </w:p>
          <w:p w:rsidR="00000000" w:rsidRPr="00CD2181" w:rsidP="00CD2181">
            <w:pPr>
              <w:pStyle w:val="ListBullet"/>
            </w:pPr>
            <w:r w:rsidRPr="00CD2181">
              <w:t>maximum power transfer</w:t>
            </w:r>
          </w:p>
          <w:p w:rsidR="00000000" w:rsidRPr="00CD2181" w:rsidP="00CD2181">
            <w:pPr>
              <w:pStyle w:val="ListBullet"/>
            </w:pPr>
            <w:r w:rsidRPr="00CD2181">
              <w:t>calculati</w:t>
            </w:r>
            <w:r w:rsidRPr="00CD2181">
              <w:t>ng real, reactive and apparent power for series/parallel a.c. circuits and state the appropriate units of measurement.</w:t>
            </w:r>
          </w:p>
          <w:p w:rsidR="00000000" w:rsidRPr="00CD2181" w:rsidP="00CD2181">
            <w:pPr>
              <w:pStyle w:val="ListBullet"/>
            </w:pPr>
            <w:r w:rsidRPr="00CD2181">
              <w:t>calculating the power factor of a.c. series/parallel circuits.</w:t>
            </w:r>
          </w:p>
          <w:p w:rsidR="00000000" w:rsidRPr="00CD2181" w:rsidP="00CD2181">
            <w:pPr>
              <w:pStyle w:val="ListBullet"/>
            </w:pPr>
            <w:r w:rsidRPr="00CD2181">
              <w:t>drawing power triangle for a given circuit.</w:t>
            </w:r>
          </w:p>
          <w:p w:rsidR="00000000" w:rsidRPr="00CD2181" w:rsidP="00CD2181">
            <w:pPr>
              <w:pStyle w:val="ListBullet"/>
            </w:pPr>
            <w:r w:rsidRPr="00CD2181">
              <w:t>calculating the load value which would consume maximum power and calculate this power for d.c. networks.</w:t>
            </w:r>
          </w:p>
          <w:p w:rsidR="00000000" w:rsidRPr="00CD2181" w:rsidP="00CD2181">
            <w:pPr>
              <w:pStyle w:val="ListBullet"/>
            </w:pPr>
            <w:r w:rsidRPr="00CD2181">
              <w:t>calculating the load value which would consume maximum power in an a.c. network when the load is a pure resistance and calculate the power.</w:t>
            </w:r>
          </w:p>
          <w:p w:rsidR="00000000" w:rsidRPr="00CD2181" w:rsidP="00CD2181">
            <w:pPr>
              <w:pStyle w:val="ListBullet"/>
            </w:pPr>
            <w:r w:rsidRPr="00CD2181">
              <w:t>calculating</w:t>
            </w:r>
            <w:r w:rsidRPr="00CD2181">
              <w:t xml:space="preserve"> the load value which would consume maximum power in an a.c. network when the load is an impedance of variable resistance and reactance and calculate the power.</w:t>
            </w:r>
          </w:p>
          <w:p w:rsidR="00000000" w:rsidRPr="00CD2181" w:rsidP="00CD2181">
            <w:pPr>
              <w:pStyle w:val="ListBullet"/>
            </w:pPr>
            <w:r w:rsidRPr="00CD2181">
              <w:t>verifying load selection by measurement.</w:t>
            </w:r>
          </w:p>
          <w:p w:rsidR="00000000" w:rsidRPr="00CD2181" w:rsidP="00CD2181">
            <w:pPr>
              <w:pStyle w:val="BodyText"/>
            </w:pPr>
            <w:r w:rsidRPr="00CD2181">
              <w:t>T14</w:t>
            </w:r>
            <w:r w:rsidRPr="00CD2181">
              <w:tab/>
              <w:t>Transients encompassing:</w:t>
            </w:r>
          </w:p>
          <w:p w:rsidR="00000000" w:rsidRPr="00CD2181" w:rsidP="00CD2181">
            <w:pPr>
              <w:pStyle w:val="ListBullet"/>
            </w:pPr>
            <w:r w:rsidRPr="00CD2181">
              <w:t>transients in R-C and R-</w:t>
            </w:r>
            <w:r w:rsidRPr="00CD2181">
              <w:t>L circuits</w:t>
            </w:r>
          </w:p>
          <w:p w:rsidR="00000000" w:rsidRPr="00CD2181" w:rsidP="00CD2181">
            <w:pPr>
              <w:pStyle w:val="ListBullet"/>
            </w:pPr>
            <w:r w:rsidRPr="00CD2181">
              <w:t>growth and decay</w:t>
            </w:r>
          </w:p>
          <w:p w:rsidR="00000000" w:rsidRPr="00CD2181" w:rsidP="00CD2181">
            <w:pPr>
              <w:pStyle w:val="ListBullet"/>
            </w:pPr>
            <w:r w:rsidRPr="00CD2181">
              <w:t>calculating voltage and currents in R-C series circuits using exponential equations.</w:t>
            </w:r>
          </w:p>
          <w:p w:rsidR="00000000" w:rsidRPr="00CD2181" w:rsidP="00CD2181">
            <w:pPr>
              <w:pStyle w:val="ListBullet"/>
            </w:pPr>
            <w:r w:rsidRPr="00CD2181">
              <w:t>calculating voltage and currents in R-L series circuits using exponential equations</w:t>
            </w:r>
          </w:p>
        </w:tc>
      </w:tr>
    </w:tbl>
    <w:p w:rsidR="001D1812" w:rsidP="00CD2181">
      <w:pPr>
        <w:pStyle w:val="BodyText"/>
      </w:pPr>
    </w:p>
    <w:p w:rsidR="001D1812" w:rsidP="00CD2181">
      <w:pPr>
        <w:pStyle w:val="BodyText"/>
      </w:pPr>
    </w:p>
    <w:p w:rsidR="00000000" w:rsidRPr="00CD2181" w:rsidP="00CD2181">
      <w:pPr>
        <w:pStyle w:val="Heading1"/>
      </w:pPr>
      <w:bookmarkStart w:id="10" w:name="O_584424"/>
      <w:bookmarkEnd w:id="10"/>
      <w:r w:rsidRPr="00CD2181">
        <w:t>Evidence Guide</w:t>
      </w:r>
    </w:p>
    <w:tbl>
      <w:tblPr>
        <w:tblW w:w="0" w:type="auto"/>
        <w:tblLayout w:type="fixed"/>
        <w:tblCellMar>
          <w:left w:w="62" w:type="dxa"/>
          <w:right w:w="62" w:type="dxa"/>
        </w:tblCellMar>
        <w:tblLook w:val="0000"/>
      </w:tblPr>
      <w:tblGrid>
        <w:gridCol w:w="2160"/>
        <w:gridCol w:w="720"/>
        <w:gridCol w:w="540"/>
        <w:gridCol w:w="975"/>
        <w:gridCol w:w="4680"/>
      </w:tblGrid>
      <w:tr w:rsidTr="001D1812">
        <w:tblPrEx>
          <w:tblW w:w="0" w:type="auto"/>
          <w:tblLayout w:type="fixed"/>
          <w:tblCellMar>
            <w:left w:w="62" w:type="dxa"/>
            <w:right w:w="62" w:type="dxa"/>
          </w:tblCellMar>
          <w:tblLook w:val="0000"/>
        </w:tblPrEx>
        <w:trPr>
          <w:tblHeader/>
        </w:trPr>
        <w:tc>
          <w:tcPr>
            <w:tcW w:w="9075" w:type="dxa"/>
            <w:gridSpan w:val="5"/>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EVIDENCE GUIDE</w:t>
            </w:r>
          </w:p>
        </w:tc>
      </w:tr>
      <w:tr w:rsidTr="001D1812">
        <w:tblPrEx>
          <w:tblW w:w="0" w:type="auto"/>
          <w:tblLayout w:type="fixed"/>
          <w:tblCellMar>
            <w:left w:w="62" w:type="dxa"/>
            <w:right w:w="62" w:type="dxa"/>
          </w:tblCellMar>
          <w:tblLook w:val="0000"/>
        </w:tblPrEx>
        <w:tc>
          <w:tcPr>
            <w:tcW w:w="9075" w:type="dxa"/>
            <w:gridSpan w:val="5"/>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9</w:t>
            </w:r>
            <w:r w:rsidRPr="00CD2181">
              <w:t xml:space="preserve">) The evidence guide provides advice on assessment and must be read in conjunction with the Performance Criteria, Required Skills and Knowledge, the Range Statement and the Assessment Guidelines for this Training Package. </w:t>
            </w:r>
          </w:p>
          <w:p w:rsidR="00000000" w:rsidP="00CD2181">
            <w:pPr>
              <w:pStyle w:val="BodyText"/>
              <w:rPr>
                <w:lang w:val="en-NZ"/>
              </w:rPr>
            </w:pPr>
            <w:r w:rsidRPr="00CD2181">
              <w:t>The Evidence Guide forms an integ</w:t>
            </w:r>
            <w:r w:rsidRPr="00CD2181">
              <w:t>ral part of this unit. It must be used in conjunction with all parts of the unit and performed in accordance with the Assessment Guidelines of this Training Package.</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Overview of Assessment</w:t>
            </w: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9</w:t>
            </w:r>
            <w:r w:rsidRPr="00CD2181">
              <w:t>.</w:t>
            </w:r>
            <w:r w:rsidRPr="00CD2181">
              <w:rPr>
                <w:rStyle w:val="SpecialBold"/>
              </w:rPr>
              <w:t>1</w:t>
            </w:r>
            <w:r w:rsidRPr="00CD2181">
              <w:t xml:space="preserve">) </w:t>
            </w:r>
          </w:p>
          <w:p w:rsidR="00000000" w:rsidRPr="00CD2181" w:rsidP="00CD2181">
            <w:pPr>
              <w:pStyle w:val="BodyText"/>
            </w:pPr>
            <w:r w:rsidRPr="00CD2181">
              <w:t>Longitudinal competency development approaches to assessment, such as Profiling, require data to be reliably gathered in a form that can be consistently interpreted over time. This approach is best utilised in Apprenticeship programs and reduces assessment</w:t>
            </w:r>
            <w:r w:rsidRPr="00CD218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D2181">
              <w:t>ncy in a realistically simulated work environment. It is recognised that, in some circumstances, assessment in part or full can occur outside the workplace. However, it must be in accordance with industry and regulatory policy.</w:t>
            </w:r>
          </w:p>
          <w:p w:rsidR="00000000" w:rsidRPr="00CD2181" w:rsidP="00CD2181">
            <w:pPr>
              <w:pStyle w:val="BodyText"/>
            </w:pPr>
            <w:r w:rsidRPr="00CD2181">
              <w:t>Methods chosen for a particu</w:t>
            </w:r>
            <w:r w:rsidRPr="00CD2181">
              <w:t>lar assessment will be influenced by various factors. These include the extent of the assessment, the most effective locations for the assessment activities to take place, access to physical resources, additional safety measures that may be required and th</w:t>
            </w:r>
            <w:r w:rsidRPr="00CD2181">
              <w:t>e critical nature of the competencies being assessed.</w:t>
            </w:r>
          </w:p>
          <w:p w:rsidR="00000000" w:rsidRPr="00CD2181" w:rsidP="00CD2181">
            <w:pPr>
              <w:pStyle w:val="BodyText"/>
            </w:pPr>
            <w:r w:rsidRPr="00CD2181">
              <w:t>The critical safety nature of working with electricity, electrical equipment, gas or any other hazardous substance/material carries risk in deeming a person competent. Sources of evidence need to be 'ri</w:t>
            </w:r>
            <w:r w:rsidRPr="00CD2181">
              <w:t>ch' in nature to minimise error in judgment.</w:t>
            </w:r>
          </w:p>
          <w:p w:rsidR="00000000" w:rsidP="00CD2181">
            <w:pPr>
              <w:pStyle w:val="BodyText"/>
              <w:rPr>
                <w:lang w:val="en-NZ"/>
              </w:rPr>
            </w:pPr>
            <w:r w:rsidRPr="00CD2181">
              <w:t>Activities associated with normal everyday work have a bearing on the decision as to how much and how detailed the data gathered will contribute to its 'richness'. Some skills are more critical to safety and ope</w:t>
            </w:r>
            <w:r w:rsidRPr="00CD2181">
              <w:t>rational requirements while the same skills may be more or less frequently practised. These points are raised for the assessors to consider when choosing an assessment method and developing assessment instruments. Sample assessment instruments are included</w:t>
            </w:r>
            <w:r w:rsidRPr="00CD2181">
              <w:t xml:space="preserve"> for Assessors in the Assessment Guidelines of this Training Package.</w:t>
            </w:r>
          </w:p>
        </w:tc>
      </w:tr>
      <w:tr w:rsidTr="001D18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 xml:space="preserve">Critical aspects of evidence required to demonstrate </w:t>
            </w:r>
            <w:r w:rsidRPr="00CD2181">
              <w:rPr>
                <w:rStyle w:val="SpecialBold"/>
              </w:rPr>
              <w:t>competency in this unit</w:t>
            </w: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9</w:t>
            </w:r>
            <w:r w:rsidRPr="00CD2181">
              <w:t>.</w:t>
            </w:r>
            <w:r w:rsidRPr="00CD2181">
              <w:rPr>
                <w:rStyle w:val="SpecialBold"/>
              </w:rPr>
              <w:t>2</w:t>
            </w:r>
            <w:r w:rsidRPr="00CD2181">
              <w:t xml:space="preserve">) </w:t>
            </w:r>
          </w:p>
          <w:p w:rsidR="00000000" w:rsidP="00CD2181">
            <w:pPr>
              <w:pStyle w:val="BodyText"/>
              <w:rPr>
                <w:lang w:val="en-NZ"/>
              </w:rPr>
            </w:pPr>
            <w:r w:rsidRPr="00CD2181">
              <w:t>Before the critical aspects of evidence are considered all prerequisites must be met.</w:t>
            </w:r>
          </w:p>
        </w:tc>
      </w:tr>
      <w:tr w:rsidTr="001D18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D2181">
            <w:pPr>
              <w:pStyle w:val="ListBullet"/>
              <w:rPr>
                <w:lang w:val="en-NZ"/>
              </w:rPr>
            </w:pPr>
            <w:r w:rsidRPr="00CD2181">
              <w:t>A representative body of work performance demonstrated within the timeframes typically expected of the discipline, work function and industrial environment. In particular this shall incorporate evidence that shows a candidate is able to:</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ListBullet2"/>
            </w:pPr>
            <w:r w:rsidRPr="00CD2181">
              <w:t>Implement Occupational Health and Safety workplace procedures and practices, including the use of risk control measures as specified in the performance criteria and range statement</w:t>
            </w:r>
          </w:p>
          <w:p w:rsidR="00000000" w:rsidRPr="00CD2181" w:rsidP="00CD2181">
            <w:pPr>
              <w:pStyle w:val="ListBullet2"/>
            </w:pPr>
            <w:r w:rsidRPr="00CD2181">
              <w:t>Apply sustainable energy principles and practices as specified in the perfo</w:t>
            </w:r>
            <w:r w:rsidRPr="00CD2181">
              <w:t>rmance criteria and range statement</w:t>
            </w:r>
          </w:p>
          <w:p w:rsidR="00000000" w:rsidRPr="00CD2181" w:rsidP="00CD2181">
            <w:pPr>
              <w:pStyle w:val="ListBullet2"/>
            </w:pPr>
            <w:r w:rsidRPr="00CD2181">
              <w:t>Demonstrate an understanding of the essential knowledge and associated skills as described in this unit.  It may be required by some jurisdictions that RTOs provide a percentile graded result for the purpose of regulator</w:t>
            </w:r>
            <w:r w:rsidRPr="00CD2181">
              <w:t xml:space="preserve">y or licensing requirements.   </w:t>
            </w:r>
          </w:p>
          <w:p w:rsidR="00000000" w:rsidRPr="00CD2181" w:rsidP="00CD2181">
            <w:pPr>
              <w:pStyle w:val="ListBullet2"/>
            </w:pPr>
            <w:r w:rsidRPr="00CD2181">
              <w:t>Demonstrate an appropriate level of skills enabling employment</w:t>
            </w:r>
          </w:p>
          <w:p w:rsidR="00000000" w:rsidP="00CD2181">
            <w:pPr>
              <w:pStyle w:val="ListBullet2"/>
              <w:rPr>
                <w:lang w:val="en-NZ"/>
              </w:rPr>
            </w:pPr>
            <w:r w:rsidRPr="00CD2181">
              <w:t>Conduct work observing the relevant Anti Discrimination legislation, regulations, polices and workplace procedures</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P="00CD2181">
            <w:pPr>
              <w:pStyle w:val="ListBullet"/>
              <w:rPr>
                <w:lang w:val="en-NZ"/>
              </w:rPr>
            </w:pPr>
            <w:r w:rsidRPr="00CD2181">
              <w:t>Demonstrated consistent performance across a representative range of contexts from the prescribed items below:</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P="00CD2181">
            <w:pPr>
              <w:pStyle w:val="ListBullet2"/>
              <w:rPr>
                <w:lang w:val="en-NZ"/>
              </w:rPr>
            </w:pPr>
            <w:r w:rsidRPr="00CD2181">
              <w:t>Solve problems in complex multiple path circuits as described in 8) and including:</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A</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Determining the operating parameters of existing circuit.</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B</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Using established problem solving methods.</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C</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Taking relevant measurements accurately.</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D</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Interpreting measured values appropriately.</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E</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Providing effective solutions to circuit problems from measurements and calculations.</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F</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Giving written justification of solutions provided.</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G</w:t>
            </w:r>
          </w:p>
        </w:tc>
        <w:tc>
          <w:tcPr>
            <w:tcW w:w="5655"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Dealing with unplanned events by drawing on essential knowledge and skills to provide appropriate solution</w:t>
            </w:r>
            <w:r w:rsidRPr="00CD2181">
              <w:t>s incorporated in a holistic assessment with the above listed items.</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Context of and specific resources for assessment</w:t>
            </w: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9</w:t>
            </w:r>
            <w:r w:rsidRPr="00CD2181">
              <w:t>.</w:t>
            </w:r>
            <w:r w:rsidRPr="00CD2181">
              <w:rPr>
                <w:rStyle w:val="SpecialBold"/>
              </w:rPr>
              <w:t>3</w:t>
            </w:r>
            <w:r w:rsidRPr="00CD2181">
              <w:t xml:space="preserve">) </w:t>
            </w:r>
          </w:p>
          <w:p w:rsidR="00000000" w:rsidRPr="00CD2181" w:rsidP="00CD2181">
            <w:pPr>
              <w:pStyle w:val="BodyText"/>
            </w:pPr>
            <w:r w:rsidRPr="00CD2181">
              <w:t>This unit should be assessed as it relates to normal work practice using procedures, information and resources typical of a workpl</w:t>
            </w:r>
            <w:r w:rsidRPr="00CD2181">
              <w:t>ace. This should include:</w:t>
            </w:r>
          </w:p>
          <w:p w:rsidR="00000000" w:rsidRPr="00CD2181" w:rsidP="00CD2181">
            <w:pPr>
              <w:pStyle w:val="ListBullet"/>
            </w:pPr>
            <w:r w:rsidRPr="00CD2181">
              <w:t>OHS policy and work procedures and instructions.</w:t>
            </w:r>
          </w:p>
          <w:p w:rsidR="00000000" w:rsidRPr="00CD2181" w:rsidP="00CD2181">
            <w:pPr>
              <w:pStyle w:val="ListBullet"/>
            </w:pPr>
            <w:r w:rsidRPr="00CD2181">
              <w:t>Suitable work environment, facilities, equipment and materials to undertake actual work as prescribed in this unit.</w:t>
            </w:r>
          </w:p>
          <w:p w:rsidR="00000000" w:rsidRPr="00CD2181" w:rsidP="00CD2181">
            <w:pPr>
              <w:pStyle w:val="BodyText"/>
            </w:pPr>
            <w:r w:rsidRPr="00CD2181">
              <w:t>These should be used in the formal learning/assessment environment.</w:t>
            </w:r>
          </w:p>
          <w:p w:rsidR="00000000" w:rsidRPr="00CD2181" w:rsidP="00CD2181">
            <w:pPr>
              <w:pStyle w:val="BodyText"/>
            </w:pPr>
            <w:r w:rsidRPr="00CD2181">
              <w:t>Note:</w:t>
            </w:r>
          </w:p>
          <w:p w:rsidR="00000000" w:rsidP="00CD2181">
            <w:pPr>
              <w:pStyle w:val="BodyText"/>
              <w:rPr>
                <w:lang w:val="en-NZ"/>
              </w:rPr>
            </w:pPr>
            <w:r w:rsidRPr="00CD2181">
              <w:t>Where simulation is considered a suitable strategy for assessment, conditions for assessment must be authentic and as far as possible reproduce and replicate the workplace and be con</w:t>
            </w:r>
            <w:r w:rsidRPr="00CD2181">
              <w:t>sistent with the approved industry simulation policy.</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The resources used for assessment should reflect current industry practices in relation to solving problems in complex multiple path circuits.</w:t>
            </w:r>
          </w:p>
        </w:tc>
      </w:tr>
      <w:tr w:rsidTr="001D181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Method of assessment</w:t>
            </w:r>
          </w:p>
        </w:tc>
        <w:tc>
          <w:tcPr>
            <w:tcW w:w="6915" w:type="dxa"/>
            <w:gridSpan w:val="4"/>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9</w:t>
            </w:r>
            <w:r w:rsidRPr="00CD2181">
              <w:t>.</w:t>
            </w:r>
            <w:r w:rsidRPr="00CD2181">
              <w:rPr>
                <w:rStyle w:val="SpecialBold"/>
              </w:rPr>
              <w:t>4</w:t>
            </w:r>
            <w:r w:rsidRPr="00CD2181">
              <w:t xml:space="preserve">) </w:t>
            </w:r>
          </w:p>
          <w:p w:rsidR="00000000" w:rsidRPr="00CD2181" w:rsidP="00CD2181">
            <w:pPr>
              <w:pStyle w:val="BodyText"/>
            </w:pPr>
            <w:r w:rsidRPr="00CD2181">
              <w:t>This unit shall</w:t>
            </w:r>
            <w:r w:rsidRPr="00CD2181">
              <w:t xml:space="preserve"> be assessed by methods given in Volume 1, Part 3 'Assessment Guidelines'.</w:t>
            </w:r>
          </w:p>
          <w:p w:rsidR="00000000" w:rsidP="00CD2181">
            <w:pPr>
              <w:pStyle w:val="BodyText"/>
              <w:rPr>
                <w:lang w:val="en-NZ"/>
              </w:rPr>
            </w:pPr>
            <w:r w:rsidRPr="00CD2181">
              <w:t xml:space="preserve">Note: </w:t>
            </w:r>
            <w:r w:rsidRPr="00CD2181">
              <w:br/>
              <w:t>Competent performance with inherent safe working practices is expected in the Industry to which this unit applies. This requires that the specified essential knowledge and as</w:t>
            </w:r>
            <w:r w:rsidRPr="00CD2181">
              <w:t>sociated skills are assessed in a structured environment which is primarily intended for learning/assessment and incorporates all necessary equipment and facilities for learners to develop and demonstrate the essential knowledge and skills described in thi</w:t>
            </w:r>
            <w:r w:rsidRPr="00CD2181">
              <w:t>s unit.</w:t>
            </w:r>
          </w:p>
        </w:tc>
      </w:tr>
      <w:tr w:rsidTr="001D181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Concurrent assessment and relationship with other units</w:t>
            </w:r>
          </w:p>
        </w:tc>
        <w:tc>
          <w:tcPr>
            <w:tcW w:w="6915" w:type="dxa"/>
            <w:gridSpan w:val="4"/>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9</w:t>
            </w:r>
            <w:r w:rsidRPr="00CD2181">
              <w:t>.</w:t>
            </w:r>
            <w:r w:rsidRPr="00CD2181">
              <w:rPr>
                <w:rStyle w:val="SpecialBold"/>
              </w:rPr>
              <w:t>5</w:t>
            </w:r>
            <w:r w:rsidRPr="00CD2181">
              <w:t>)</w:t>
            </w:r>
          </w:p>
        </w:tc>
      </w:tr>
      <w:tr w:rsidTr="001D18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4"/>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There are no concurrent assessment recommendations for this unit.</w:t>
            </w:r>
          </w:p>
        </w:tc>
      </w:tr>
      <w:tr w:rsidTr="001D181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5"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D2181" w:rsidP="00CD2181">
            <w:pPr>
              <w:pStyle w:val="BodyText"/>
            </w:pPr>
          </w:p>
        </w:tc>
      </w:tr>
    </w:tbl>
    <w:p w:rsidR="001D1812" w:rsidP="00CD2181">
      <w:pPr>
        <w:pStyle w:val="BodyText"/>
      </w:pPr>
    </w:p>
    <w:p w:rsidR="001D1812" w:rsidP="00CD2181">
      <w:pPr>
        <w:pStyle w:val="BodyText"/>
      </w:pPr>
    </w:p>
    <w:p w:rsidR="00000000" w:rsidRPr="00CD2181" w:rsidP="00CD2181">
      <w:pPr>
        <w:pStyle w:val="Heading1"/>
      </w:pPr>
      <w:bookmarkStart w:id="11" w:name="O_584423"/>
      <w:bookmarkEnd w:id="11"/>
      <w:r w:rsidRPr="00CD2181">
        <w:t>Range Statement</w:t>
      </w:r>
    </w:p>
    <w:tbl>
      <w:tblPr>
        <w:tblW w:w="0" w:type="auto"/>
        <w:tblLayout w:type="fixed"/>
        <w:tblCellMar>
          <w:left w:w="62" w:type="dxa"/>
          <w:right w:w="62" w:type="dxa"/>
        </w:tblCellMar>
        <w:tblLook w:val="0000"/>
      </w:tblPr>
      <w:tblGrid>
        <w:gridCol w:w="1620"/>
        <w:gridCol w:w="540"/>
        <w:gridCol w:w="6915"/>
      </w:tblGrid>
      <w:tr w:rsidTr="001D1812">
        <w:tblPrEx>
          <w:tblW w:w="0" w:type="auto"/>
          <w:tblLayout w:type="fixed"/>
          <w:tblCellMar>
            <w:left w:w="62" w:type="dxa"/>
            <w:right w:w="62" w:type="dxa"/>
          </w:tblCellMar>
          <w:tblLook w:val="0000"/>
        </w:tblPrEx>
        <w:trPr>
          <w:tblHeader/>
        </w:trPr>
        <w:tc>
          <w:tcPr>
            <w:tcW w:w="9075" w:type="dxa"/>
            <w:gridSpan w:val="3"/>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RANGE STATEMENT</w:t>
            </w:r>
          </w:p>
        </w:tc>
      </w:tr>
      <w:tr w:rsidTr="001D1812">
        <w:tblPrEx>
          <w:tblW w:w="0" w:type="auto"/>
          <w:tblLayout w:type="fixed"/>
          <w:tblCellMar>
            <w:left w:w="62" w:type="dxa"/>
            <w:right w:w="62" w:type="dxa"/>
          </w:tblCellMar>
          <w:tblLook w:val="0000"/>
        </w:tblPrEx>
        <w:tc>
          <w:tcPr>
            <w:tcW w:w="9075" w:type="dxa"/>
            <w:gridSpan w:val="3"/>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8</w:t>
            </w:r>
            <w:r w:rsidRPr="00CD2181">
              <w:t>) This relates to the unit as a whole providing the range of contexts and conditions to which the performance criteria apply. It allows for different work environments and situations that will affect performance.</w:t>
            </w:r>
          </w:p>
        </w:tc>
      </w:tr>
      <w:tr w:rsidTr="001D1812">
        <w:tblPrEx>
          <w:tblW w:w="0" w:type="auto"/>
          <w:tblLayout w:type="fixed"/>
          <w:tblCellMar>
            <w:left w:w="62" w:type="dxa"/>
            <w:right w:w="62" w:type="dxa"/>
          </w:tblCellMar>
          <w:tblLook w:val="0000"/>
        </w:tblPrEx>
        <w:tc>
          <w:tcPr>
            <w:tcW w:w="9075" w:type="dxa"/>
            <w:gridSpan w:val="3"/>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This unit shall be demonstrated in relat</w:t>
            </w:r>
            <w:r w:rsidRPr="00CD2181">
              <w:t>ion to:</w:t>
            </w:r>
          </w:p>
        </w:tc>
      </w:tr>
      <w:tr w:rsidTr="001D181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7455" w:type="dxa"/>
            <w:gridSpan w:val="2"/>
            <w:tcBorders>
              <w:top w:val="nil"/>
              <w:left w:val="nil"/>
              <w:bottom w:val="nil"/>
              <w:right w:val="nil"/>
            </w:tcBorders>
            <w:tcMar>
              <w:top w:w="0" w:type="dxa"/>
              <w:left w:w="62" w:type="dxa"/>
              <w:bottom w:w="0" w:type="dxa"/>
              <w:right w:w="62" w:type="dxa"/>
            </w:tcMar>
          </w:tcPr>
          <w:p w:rsidR="00000000" w:rsidP="00CD2181">
            <w:pPr>
              <w:pStyle w:val="ListBullet"/>
              <w:rPr>
                <w:lang w:val="en-NZ"/>
              </w:rPr>
            </w:pPr>
            <w:r w:rsidRPr="00CD2181">
              <w:t>Complex series-parallel circuits as they apply to problems related to engineering diagnosis and development work functions in any of the following disciplines:</w:t>
            </w:r>
          </w:p>
        </w:tc>
      </w:tr>
      <w:tr w:rsidTr="001D181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6915" w:type="dxa"/>
            <w:tcBorders>
              <w:top w:val="nil"/>
              <w:left w:val="nil"/>
              <w:bottom w:val="nil"/>
              <w:right w:val="nil"/>
            </w:tcBorders>
            <w:tcMar>
              <w:top w:w="0" w:type="dxa"/>
              <w:left w:w="62" w:type="dxa"/>
              <w:bottom w:w="0" w:type="dxa"/>
              <w:right w:w="62" w:type="dxa"/>
            </w:tcMar>
          </w:tcPr>
          <w:p w:rsidR="00000000" w:rsidRPr="00CD2181" w:rsidP="00CD2181">
            <w:pPr>
              <w:pStyle w:val="ListBullet"/>
            </w:pPr>
            <w:r w:rsidRPr="00CD2181">
              <w:t xml:space="preserve">Computers </w:t>
            </w:r>
          </w:p>
          <w:p w:rsidR="00000000" w:rsidRPr="00CD2181" w:rsidP="00CD2181">
            <w:pPr>
              <w:pStyle w:val="ListBullet"/>
            </w:pPr>
            <w:r w:rsidRPr="00CD2181">
              <w:t>Data Communications</w:t>
            </w:r>
          </w:p>
          <w:p w:rsidR="00000000" w:rsidRPr="00CD2181" w:rsidP="00CD2181">
            <w:pPr>
              <w:pStyle w:val="ListBullet"/>
            </w:pPr>
            <w:r w:rsidRPr="00CD2181">
              <w:t>Electrical</w:t>
            </w:r>
          </w:p>
          <w:p w:rsidR="00000000" w:rsidRPr="00CD2181" w:rsidP="00CD2181">
            <w:pPr>
              <w:pStyle w:val="ListBullet"/>
            </w:pPr>
            <w:r w:rsidRPr="00CD2181">
              <w:t>Electronics</w:t>
            </w:r>
          </w:p>
          <w:p w:rsidR="00000000" w:rsidRPr="00CD2181" w:rsidP="00CD2181">
            <w:pPr>
              <w:pStyle w:val="ListBullet"/>
            </w:pPr>
            <w:r w:rsidRPr="00CD2181">
              <w:t>Instrumentation</w:t>
            </w:r>
          </w:p>
          <w:p w:rsidR="00000000" w:rsidP="00CD2181">
            <w:pPr>
              <w:pStyle w:val="ListBullet"/>
              <w:rPr>
                <w:lang w:val="en-NZ"/>
              </w:rPr>
            </w:pPr>
            <w:r w:rsidRPr="00CD2181">
              <w:t>Refrigeration and Air Conditioning</w:t>
            </w:r>
          </w:p>
        </w:tc>
      </w:tr>
      <w:tr w:rsidTr="001D181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7455" w:type="dxa"/>
            <w:gridSpan w:val="2"/>
            <w:tcBorders>
              <w:top w:val="nil"/>
              <w:left w:val="nil"/>
              <w:bottom w:val="nil"/>
              <w:right w:val="nil"/>
            </w:tcBorders>
            <w:tcMar>
              <w:top w:w="0" w:type="dxa"/>
              <w:left w:w="62" w:type="dxa"/>
              <w:bottom w:w="0" w:type="dxa"/>
              <w:right w:w="62" w:type="dxa"/>
            </w:tcMar>
          </w:tcPr>
          <w:p w:rsidR="00000000" w:rsidP="00CD2181">
            <w:pPr>
              <w:pStyle w:val="ListBullet"/>
              <w:rPr>
                <w:lang w:val="en-NZ"/>
              </w:rPr>
            </w:pPr>
            <w:r w:rsidRPr="00CD2181">
              <w:t>In relation to the following types of circuit problems and on at least two occasions:</w:t>
            </w:r>
          </w:p>
        </w:tc>
      </w:tr>
      <w:tr w:rsidTr="001D181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CD2181">
            <w:pPr>
              <w:pStyle w:val="BodyText"/>
              <w:rPr>
                <w:lang w:val="en-NZ"/>
              </w:rPr>
            </w:pPr>
          </w:p>
        </w:tc>
        <w:tc>
          <w:tcPr>
            <w:tcW w:w="6915" w:type="dxa"/>
            <w:tcBorders>
              <w:top w:val="nil"/>
              <w:left w:val="nil"/>
              <w:bottom w:val="nil"/>
              <w:right w:val="nil"/>
            </w:tcBorders>
            <w:tcMar>
              <w:top w:w="0" w:type="dxa"/>
              <w:left w:w="62" w:type="dxa"/>
              <w:bottom w:w="0" w:type="dxa"/>
              <w:right w:w="62" w:type="dxa"/>
            </w:tcMar>
          </w:tcPr>
          <w:p w:rsidR="00000000" w:rsidRPr="00CD2181" w:rsidP="00CD2181">
            <w:pPr>
              <w:pStyle w:val="ListBullet"/>
            </w:pPr>
            <w:r w:rsidRPr="00CD2181">
              <w:t xml:space="preserve">Determining the operating parameters of an existing circuit </w:t>
            </w:r>
          </w:p>
          <w:p w:rsidR="00000000" w:rsidRPr="00CD2181" w:rsidP="00CD2181">
            <w:pPr>
              <w:pStyle w:val="ListBullet"/>
            </w:pPr>
            <w:r w:rsidRPr="00CD2181">
              <w:t>Altering an existing circuit to comply with specified operating parameters</w:t>
            </w:r>
          </w:p>
          <w:p w:rsidR="00000000" w:rsidP="00CD2181">
            <w:pPr>
              <w:pStyle w:val="ListBullet"/>
              <w:rPr>
                <w:lang w:val="en-NZ"/>
              </w:rPr>
            </w:pPr>
            <w:r w:rsidRPr="00CD2181">
              <w:t>Developing circuits to comply with a specified function and operating parameters</w:t>
            </w:r>
          </w:p>
        </w:tc>
      </w:tr>
      <w:tr w:rsidTr="001D1812">
        <w:tblPrEx>
          <w:tblW w:w="0" w:type="auto"/>
          <w:tblLayout w:type="fixed"/>
          <w:tblCellMar>
            <w:left w:w="62" w:type="dxa"/>
            <w:right w:w="62" w:type="dxa"/>
          </w:tblCellMar>
          <w:tblLook w:val="0000"/>
        </w:tblPrEx>
        <w:tc>
          <w:tcPr>
            <w:tcW w:w="9075" w:type="dxa"/>
            <w:gridSpan w:val="3"/>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Generic terms used throughout this Vocational Standard shall be regarded as part of the Range State</w:t>
            </w:r>
            <w:r w:rsidRPr="00CD2181">
              <w:t>ment in which competency is demonstrated. The definition of these and other terms that apply are given in Volume 2, Part 2.1.</w:t>
            </w:r>
          </w:p>
        </w:tc>
      </w:tr>
    </w:tbl>
    <w:p w:rsidR="001D1812" w:rsidP="00CD2181">
      <w:pPr>
        <w:pStyle w:val="BodyText"/>
      </w:pPr>
    </w:p>
    <w:p w:rsidR="001D1812" w:rsidP="00CD2181">
      <w:pPr>
        <w:pStyle w:val="BodyText"/>
      </w:pPr>
    </w:p>
    <w:p w:rsidR="00000000" w:rsidRPr="00CD2181" w:rsidP="00CD2181">
      <w:pPr>
        <w:pStyle w:val="Heading1"/>
      </w:pPr>
      <w:bookmarkStart w:id="12" w:name="O_584422"/>
      <w:bookmarkEnd w:id="12"/>
      <w:r w:rsidRPr="00CD2181">
        <w:t>Unit Sector(s)</w:t>
      </w:r>
    </w:p>
    <w:p w:rsidR="00000000" w:rsidRPr="00CD2181" w:rsidP="00CD2181">
      <w:pPr>
        <w:pStyle w:val="BodyText"/>
      </w:pPr>
      <w:r w:rsidRPr="00CD2181">
        <w:t>Not Applicable</w:t>
      </w:r>
    </w:p>
    <w:p w:rsidR="00000000" w:rsidRPr="00CD2181" w:rsidP="00CD2181">
      <w:pPr>
        <w:pStyle w:val="AllowPageBreak"/>
      </w:pPr>
    </w:p>
    <w:p w:rsidR="00000000" w:rsidRPr="00CD2181" w:rsidP="00CD2181">
      <w:pPr>
        <w:pStyle w:val="Heading1"/>
      </w:pPr>
      <w:bookmarkStart w:id="13" w:name="O_584421"/>
      <w:bookmarkEnd w:id="13"/>
      <w:r w:rsidRPr="00CD218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D181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2</w:t>
            </w:r>
            <w:r w:rsidRPr="00CD2181">
              <w:t>.</w:t>
            </w:r>
            <w:r w:rsidRPr="00CD2181">
              <w:rPr>
                <w:rStyle w:val="SpecialBold"/>
              </w:rPr>
              <w:t>2</w:t>
            </w:r>
            <w:r w:rsidRPr="00CD2181">
              <w:t xml:space="preserve">) </w:t>
            </w:r>
            <w:r w:rsidRPr="00CD2181">
              <w:rPr>
                <w:rStyle w:val="SpecialBold"/>
              </w:rPr>
              <w:t>Literacy and numeracy skills</w:t>
            </w:r>
          </w:p>
          <w:p w:rsidR="00000000" w:rsidP="00CD2181">
            <w:pPr>
              <w:pStyle w:val="BodyText"/>
              <w:rPr>
                <w:lang w:val="en-NZ"/>
              </w:rPr>
            </w:pPr>
            <w:r w:rsidRPr="00CD2181">
              <w:t>Participants are best equipped to achieve competency in this unit if they have reading, writing and numeracy skills indicated by the following scales. Description of each scale is given in Volume 2, Part 3 'Literacy and Numeracy'</w:t>
            </w:r>
          </w:p>
        </w:tc>
      </w:tr>
      <w:tr w:rsidTr="001D181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Reading</w:t>
            </w:r>
          </w:p>
        </w:tc>
        <w:tc>
          <w:tcPr>
            <w:tcW w:w="1182"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5</w:t>
            </w:r>
          </w:p>
        </w:tc>
        <w:tc>
          <w:tcPr>
            <w:tcW w:w="1739"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Writing</w:t>
            </w:r>
          </w:p>
        </w:tc>
        <w:tc>
          <w:tcPr>
            <w:tcW w:w="1182"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5</w:t>
            </w:r>
          </w:p>
        </w:tc>
        <w:tc>
          <w:tcPr>
            <w:tcW w:w="1721"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t>Numeracy</w:t>
            </w:r>
          </w:p>
        </w:tc>
        <w:tc>
          <w:tcPr>
            <w:tcW w:w="1182"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5</w:t>
            </w:r>
          </w:p>
        </w:tc>
      </w:tr>
    </w:tbl>
    <w:p w:rsidR="001D1812" w:rsidP="00CD2181">
      <w:pPr>
        <w:pStyle w:val="BodyText"/>
      </w:pPr>
    </w:p>
    <w:p w:rsidR="001D1812" w:rsidP="00CD2181">
      <w:pPr>
        <w:pStyle w:val="BodyText"/>
      </w:pPr>
    </w:p>
    <w:p w:rsidR="00000000" w:rsidRPr="00CD2181" w:rsidP="00CD2181">
      <w:pPr>
        <w:pStyle w:val="Heading1"/>
      </w:pPr>
      <w:bookmarkStart w:id="14" w:name="O_584420"/>
      <w:bookmarkEnd w:id="14"/>
      <w:r w:rsidRPr="00CD2181">
        <w:t>Custom Content Section</w:t>
      </w:r>
    </w:p>
    <w:tbl>
      <w:tblPr>
        <w:tblW w:w="0" w:type="auto"/>
        <w:tblLayout w:type="fixed"/>
        <w:tblCellMar>
          <w:left w:w="62" w:type="dxa"/>
          <w:right w:w="62" w:type="dxa"/>
        </w:tblCellMar>
        <w:tblLook w:val="0000"/>
      </w:tblPr>
      <w:tblGrid>
        <w:gridCol w:w="2700"/>
        <w:gridCol w:w="5760"/>
      </w:tblGrid>
      <w:tr w:rsidTr="001D18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2181">
            <w:pPr>
              <w:pStyle w:val="BodyText"/>
              <w:rPr>
                <w:lang w:val="en-NZ"/>
              </w:rPr>
            </w:pPr>
            <w:r w:rsidRPr="00CD2181">
              <w:rPr>
                <w:rStyle w:val="SpecialBold"/>
              </w:rPr>
              <w:t>5</w:t>
            </w:r>
            <w:r w:rsidRPr="00CD2181">
              <w:t>)</w:t>
            </w:r>
          </w:p>
        </w:tc>
      </w:tr>
      <w:tr w:rsidTr="001D18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2181" w:rsidP="00CD2181">
            <w:pPr>
              <w:pStyle w:val="BodyText"/>
            </w:pPr>
            <w:r w:rsidRPr="00CD2181">
              <w:t>Electrotechnology</w:t>
            </w:r>
          </w:p>
        </w:tc>
      </w:tr>
    </w:tbl>
    <w:p w:rsidR="001D1812" w:rsidP="00CD2181">
      <w:pPr>
        <w:pStyle w:val="BodyText"/>
      </w:pPr>
    </w:p>
    <w:p w:rsidR="001D1812" w:rsidP="00CD2181">
      <w:pPr>
        <w:pStyle w:val="BodyText"/>
      </w:pPr>
    </w:p>
    <w:p w:rsidR="00000000" w:rsidRPr="00CD2181" w:rsidP="00CD2181"/>
    <w:sectPr w:rsidSect="00CD2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rsidRPr="001D1812" w:rsidP="001D1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12" w:rsidP="00CD2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D1812" w:rsidP="00CD21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D1812" w:rsidP="00CD2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rsidRPr="001D1812" w:rsidP="001D18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12" w:rsidRPr="002D2AF8" w:rsidP="00CD2181">
    <w:pPr>
      <w:pStyle w:val="Header"/>
      <w:framePr w:wrap="around"/>
    </w:pPr>
    <w:r>
      <w:fldChar w:fldCharType="begin"/>
    </w:r>
    <w:r>
      <w:instrText xml:space="preserve"> TITLE   \* MERGEFORMAT </w:instrText>
    </w:r>
    <w:r>
      <w:fldChar w:fldCharType="separate"/>
    </w:r>
    <w:r>
      <w:t>UEENEEE125A Provide engineering solutions for problems in complex multiple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D1812" w:rsidP="00CD2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F4E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0B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29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181"/>
    <w:pPr>
      <w:spacing w:before="360" w:after="60"/>
      <w:outlineLvl w:val="0"/>
    </w:pPr>
    <w:rPr>
      <w:sz w:val="32"/>
    </w:rPr>
  </w:style>
  <w:style w:type="paragraph" w:styleId="Heading2">
    <w:name w:val="heading 2"/>
    <w:basedOn w:val="HeadingBase"/>
    <w:next w:val="BodyText"/>
    <w:link w:val="Heading2Char"/>
    <w:qFormat/>
    <w:rsid w:val="00CD2181"/>
    <w:pPr>
      <w:keepLines/>
      <w:spacing w:before="240" w:after="120"/>
      <w:outlineLvl w:val="1"/>
    </w:pPr>
    <w:rPr>
      <w:sz w:val="28"/>
      <w:szCs w:val="40"/>
    </w:rPr>
  </w:style>
  <w:style w:type="paragraph" w:styleId="Heading3">
    <w:name w:val="heading 3"/>
    <w:basedOn w:val="HeadingBase"/>
    <w:next w:val="BodyText"/>
    <w:link w:val="Heading3Char"/>
    <w:qFormat/>
    <w:rsid w:val="00CD2181"/>
    <w:pPr>
      <w:spacing w:before="180" w:after="120"/>
      <w:outlineLvl w:val="2"/>
    </w:pPr>
    <w:rPr>
      <w:spacing w:val="-10"/>
      <w:kern w:val="32"/>
    </w:rPr>
  </w:style>
  <w:style w:type="paragraph" w:styleId="Heading4">
    <w:name w:val="heading 4"/>
    <w:basedOn w:val="HeadingBase"/>
    <w:next w:val="BodyText"/>
    <w:link w:val="Heading4Char"/>
    <w:qFormat/>
    <w:rsid w:val="00CD2181"/>
    <w:pPr>
      <w:spacing w:before="160" w:after="120"/>
      <w:outlineLvl w:val="3"/>
    </w:pPr>
    <w:rPr>
      <w:sz w:val="22"/>
    </w:rPr>
  </w:style>
  <w:style w:type="paragraph" w:styleId="Heading5">
    <w:name w:val="heading 5"/>
    <w:basedOn w:val="HeadingBase"/>
    <w:next w:val="Normal"/>
    <w:link w:val="Heading5Char"/>
    <w:qFormat/>
    <w:rsid w:val="00CD2181"/>
    <w:pPr>
      <w:spacing w:before="80"/>
      <w:outlineLvl w:val="4"/>
    </w:pPr>
    <w:rPr>
      <w:color w:val="918585"/>
      <w:sz w:val="20"/>
    </w:rPr>
  </w:style>
  <w:style w:type="paragraph" w:styleId="Heading6">
    <w:name w:val="heading 6"/>
    <w:basedOn w:val="HeadingBase"/>
    <w:next w:val="Normal"/>
    <w:link w:val="Heading6Char"/>
    <w:qFormat/>
    <w:rsid w:val="00CD2181"/>
    <w:pPr>
      <w:spacing w:before="60"/>
      <w:outlineLvl w:val="5"/>
    </w:pPr>
    <w:rPr>
      <w:color w:val="918585"/>
      <w:sz w:val="20"/>
    </w:rPr>
  </w:style>
  <w:style w:type="paragraph" w:styleId="Heading7">
    <w:name w:val="heading 7"/>
    <w:basedOn w:val="Normal"/>
    <w:next w:val="Normal"/>
    <w:link w:val="Heading7Char"/>
    <w:qFormat/>
    <w:rsid w:val="00CD2181"/>
    <w:pPr>
      <w:ind w:left="720"/>
      <w:outlineLvl w:val="6"/>
    </w:pPr>
    <w:rPr>
      <w:i/>
    </w:rPr>
  </w:style>
  <w:style w:type="paragraph" w:styleId="Heading8">
    <w:name w:val="heading 8"/>
    <w:basedOn w:val="Normal"/>
    <w:next w:val="Normal"/>
    <w:link w:val="Heading8Char"/>
    <w:qFormat/>
    <w:rsid w:val="00CD2181"/>
    <w:pPr>
      <w:ind w:left="720"/>
      <w:outlineLvl w:val="7"/>
    </w:pPr>
    <w:rPr>
      <w:i/>
    </w:rPr>
  </w:style>
  <w:style w:type="paragraph" w:styleId="Heading9">
    <w:name w:val="heading 9"/>
    <w:basedOn w:val="Normal"/>
    <w:next w:val="Normal"/>
    <w:link w:val="Heading9Char"/>
    <w:qFormat/>
    <w:rsid w:val="00CD2181"/>
    <w:pPr>
      <w:ind w:left="720"/>
      <w:outlineLvl w:val="8"/>
    </w:pPr>
    <w:rPr>
      <w:i/>
    </w:rPr>
  </w:style>
  <w:style w:type="character" w:default="1" w:styleId="DefaultParagraphFont">
    <w:name w:val="Default Paragraph Font"/>
    <w:uiPriority w:val="1"/>
    <w:unhideWhenUsed/>
    <w:rsid w:val="00CD2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181"/>
  </w:style>
  <w:style w:type="character" w:customStyle="1" w:styleId="Heading1Char">
    <w:name w:val="Heading 1 Char"/>
    <w:basedOn w:val="DefaultParagraphFont"/>
    <w:link w:val="Heading1"/>
    <w:rsid w:val="00CD2181"/>
    <w:rPr>
      <w:rFonts w:ascii="Times New Roman" w:eastAsia="Times New Roman" w:hAnsi="Times New Roman" w:cs="Times New Roman"/>
      <w:b/>
      <w:sz w:val="32"/>
      <w:szCs w:val="20"/>
      <w:lang w:eastAsia="en-US"/>
    </w:rPr>
  </w:style>
  <w:style w:type="paragraph" w:styleId="BodyText">
    <w:name w:val="Body Text"/>
    <w:basedOn w:val="Normal"/>
    <w:link w:val="BodyTextChar"/>
    <w:rsid w:val="00CD2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2181"/>
    <w:rPr>
      <w:rFonts w:ascii="Times New Roman" w:eastAsia="Times New Roman" w:hAnsi="Times New Roman" w:cs="Times New Roman"/>
      <w:sz w:val="24"/>
      <w:lang w:eastAsia="en-US"/>
    </w:rPr>
  </w:style>
  <w:style w:type="paragraph" w:styleId="ListBullet">
    <w:name w:val="List Bullet"/>
    <w:basedOn w:val="List"/>
    <w:rsid w:val="00CD2181"/>
    <w:pPr>
      <w:numPr>
        <w:numId w:val="13"/>
      </w:numPr>
      <w:tabs>
        <w:tab w:val="clear" w:pos="340"/>
      </w:tabs>
      <w:spacing w:before="40" w:after="40"/>
    </w:pPr>
  </w:style>
  <w:style w:type="character" w:customStyle="1" w:styleId="SpecialBold">
    <w:name w:val="Special Bold"/>
    <w:basedOn w:val="DefaultParagraphFont"/>
    <w:rsid w:val="00CD2181"/>
    <w:rPr>
      <w:b/>
      <w:spacing w:val="0"/>
    </w:rPr>
  </w:style>
  <w:style w:type="paragraph" w:styleId="ListBullet2">
    <w:name w:val="List Bullet 2"/>
    <w:basedOn w:val="List2"/>
    <w:rsid w:val="00CD2181"/>
    <w:pPr>
      <w:numPr>
        <w:numId w:val="14"/>
      </w:numPr>
      <w:tabs>
        <w:tab w:val="clear" w:pos="680"/>
      </w:tabs>
    </w:pPr>
  </w:style>
  <w:style w:type="paragraph" w:customStyle="1" w:styleId="SuperHeading">
    <w:name w:val="SuperHeading"/>
    <w:basedOn w:val="Normal"/>
    <w:rsid w:val="00CD2181"/>
    <w:pPr>
      <w:spacing w:before="240" w:after="120"/>
      <w:outlineLvl w:val="0"/>
    </w:pPr>
    <w:rPr>
      <w:rFonts w:ascii="Times New Roman" w:hAnsi="Times New Roman"/>
      <w:b/>
      <w:sz w:val="32"/>
    </w:rPr>
  </w:style>
  <w:style w:type="paragraph" w:customStyle="1" w:styleId="AllowPageBreak">
    <w:name w:val="AllowPageBreak"/>
    <w:rsid w:val="00CD2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181"/>
    <w:rPr>
      <w:rFonts w:ascii="Courier New" w:eastAsia="Times New Roman" w:hAnsi="Courier New" w:cs="Times New Roman"/>
      <w:i/>
      <w:szCs w:val="20"/>
      <w:lang w:eastAsia="en-US"/>
    </w:rPr>
  </w:style>
  <w:style w:type="paragraph" w:customStyle="1" w:styleId="HeadingBase">
    <w:name w:val="Heading Base"/>
    <w:rsid w:val="00CD2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181"/>
    <w:pPr>
      <w:tabs>
        <w:tab w:val="right" w:leader="dot" w:pos="9072"/>
      </w:tabs>
      <w:ind w:left="567"/>
    </w:pPr>
    <w:rPr>
      <w:szCs w:val="22"/>
    </w:rPr>
  </w:style>
  <w:style w:type="paragraph" w:customStyle="1" w:styleId="TOCBase">
    <w:name w:val="TOC Base"/>
    <w:rsid w:val="00CD2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181"/>
    <w:pPr>
      <w:tabs>
        <w:tab w:val="right" w:leader="dot" w:pos="9072"/>
      </w:tabs>
      <w:spacing w:before="40" w:after="40"/>
      <w:ind w:left="284"/>
    </w:pPr>
    <w:rPr>
      <w:rFonts w:ascii="Times New Roman" w:hAnsi="Times New Roman"/>
    </w:rPr>
  </w:style>
  <w:style w:type="paragraph" w:styleId="TOC1">
    <w:name w:val="toc 1"/>
    <w:basedOn w:val="TOCBase"/>
    <w:next w:val="Normal"/>
    <w:rsid w:val="00CD2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181"/>
    <w:rPr>
      <w:rFonts w:ascii="Times New Roman" w:eastAsia="Times New Roman" w:hAnsi="Times New Roman" w:cs="Times New Roman"/>
      <w:sz w:val="16"/>
      <w:lang w:eastAsia="en-US"/>
    </w:rPr>
  </w:style>
  <w:style w:type="paragraph" w:styleId="Title">
    <w:name w:val="Title"/>
    <w:basedOn w:val="HeadingBase"/>
    <w:link w:val="TitleChar"/>
    <w:qFormat/>
    <w:rsid w:val="00CD2181"/>
    <w:pPr>
      <w:spacing w:before="5040"/>
      <w:jc w:val="center"/>
    </w:pPr>
    <w:rPr>
      <w:sz w:val="48"/>
      <w:szCs w:val="72"/>
      <w:lang w:val="en-US"/>
    </w:rPr>
  </w:style>
  <w:style w:type="character" w:customStyle="1" w:styleId="TitleChar">
    <w:name w:val="Title Char"/>
    <w:basedOn w:val="DefaultParagraphFont"/>
    <w:link w:val="Title"/>
    <w:rsid w:val="00CD2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181"/>
    <w:pPr>
      <w:tabs>
        <w:tab w:val="left" w:pos="3600"/>
        <w:tab w:val="left" w:pos="3958"/>
      </w:tabs>
    </w:pPr>
  </w:style>
  <w:style w:type="paragraph" w:styleId="List">
    <w:name w:val="List"/>
    <w:basedOn w:val="BodyText"/>
    <w:next w:val="BodyText"/>
    <w:rsid w:val="00CD2181"/>
    <w:pPr>
      <w:tabs>
        <w:tab w:val="left" w:pos="340"/>
      </w:tabs>
      <w:spacing w:before="60" w:after="60"/>
      <w:ind w:left="340" w:hanging="340"/>
    </w:pPr>
  </w:style>
  <w:style w:type="paragraph" w:customStyle="1" w:styleId="Note">
    <w:name w:val="Note"/>
    <w:basedOn w:val="BodyText"/>
    <w:rsid w:val="00CD2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181"/>
    <w:pPr>
      <w:framePr w:wrap="auto" w:hAnchor="text" w:y="6049"/>
    </w:pPr>
    <w:rPr>
      <w:color w:val="000000"/>
      <w:sz w:val="40"/>
    </w:rPr>
  </w:style>
  <w:style w:type="paragraph" w:customStyle="1" w:styleId="TOCTitle">
    <w:name w:val="TOCTitle"/>
    <w:basedOn w:val="Heading1"/>
    <w:rsid w:val="00CD2181"/>
    <w:pPr>
      <w:spacing w:after="240"/>
      <w:jc w:val="center"/>
      <w:outlineLvl w:val="9"/>
    </w:pPr>
    <w:rPr>
      <w:caps/>
    </w:rPr>
  </w:style>
  <w:style w:type="paragraph" w:customStyle="1" w:styleId="Version">
    <w:name w:val="Version"/>
    <w:rsid w:val="00CD2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181"/>
    <w:pPr>
      <w:keepNext w:val="0"/>
      <w:tabs>
        <w:tab w:val="right" w:pos="4176"/>
      </w:tabs>
      <w:ind w:left="198" w:hanging="198"/>
    </w:pPr>
    <w:rPr>
      <w:rFonts w:ascii="Garamond" w:hAnsi="Garamond"/>
    </w:rPr>
  </w:style>
  <w:style w:type="paragraph" w:styleId="IndexHeading">
    <w:name w:val="index heading"/>
    <w:basedOn w:val="Normal"/>
    <w:next w:val="Index1"/>
    <w:semiHidden/>
    <w:rsid w:val="00CD2181"/>
    <w:pPr>
      <w:spacing w:before="120" w:after="120"/>
    </w:pPr>
    <w:rPr>
      <w:rFonts w:ascii="Arial" w:hAnsi="Arial"/>
      <w:b/>
      <w:color w:val="918585"/>
      <w:sz w:val="24"/>
    </w:rPr>
  </w:style>
  <w:style w:type="paragraph" w:styleId="Header">
    <w:name w:val="header"/>
    <w:basedOn w:val="Normal"/>
    <w:link w:val="HeaderChar"/>
    <w:rsid w:val="00CD2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181"/>
    <w:rPr>
      <w:rFonts w:ascii="Times New Roman" w:eastAsia="Times New Roman" w:hAnsi="Times New Roman" w:cs="Times New Roman"/>
      <w:sz w:val="16"/>
      <w:szCs w:val="20"/>
      <w:lang w:val="en-GB" w:eastAsia="en-US"/>
    </w:rPr>
  </w:style>
  <w:style w:type="paragraph" w:customStyle="1" w:styleId="Chapter">
    <w:name w:val="Chapter"/>
    <w:basedOn w:val="Normal"/>
    <w:rsid w:val="00CD2181"/>
    <w:pPr>
      <w:spacing w:before="240"/>
    </w:pPr>
    <w:rPr>
      <w:rFonts w:ascii="Times New Roman" w:hAnsi="Times New Roman"/>
      <w:smallCaps/>
      <w:spacing w:val="80"/>
      <w:sz w:val="28"/>
    </w:rPr>
  </w:style>
  <w:style w:type="paragraph" w:customStyle="1" w:styleId="InChapter">
    <w:name w:val="InChapter"/>
    <w:basedOn w:val="Heading3"/>
    <w:rsid w:val="00CD2181"/>
    <w:pPr>
      <w:spacing w:after="240"/>
      <w:outlineLvl w:val="9"/>
    </w:pPr>
    <w:rPr>
      <w:noProof/>
    </w:rPr>
  </w:style>
  <w:style w:type="paragraph" w:styleId="Index2">
    <w:name w:val="index 2"/>
    <w:basedOn w:val="Normal"/>
    <w:next w:val="Normal"/>
    <w:semiHidden/>
    <w:rsid w:val="00CD2181"/>
    <w:pPr>
      <w:tabs>
        <w:tab w:val="right" w:pos="4176"/>
      </w:tabs>
      <w:ind w:left="568" w:hanging="284"/>
    </w:pPr>
    <w:rPr>
      <w:rFonts w:ascii="Garamond" w:hAnsi="Garamond"/>
    </w:rPr>
  </w:style>
  <w:style w:type="paragraph" w:customStyle="1" w:styleId="Byline">
    <w:name w:val="Byline"/>
    <w:rsid w:val="00CD2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181"/>
    <w:pPr>
      <w:tabs>
        <w:tab w:val="clear" w:pos="3600"/>
        <w:tab w:val="clear" w:pos="3958"/>
      </w:tabs>
      <w:jc w:val="right"/>
    </w:pPr>
  </w:style>
  <w:style w:type="character" w:styleId="Emphasis">
    <w:name w:val="Emphasis"/>
    <w:basedOn w:val="DefaultParagraphFont"/>
    <w:qFormat/>
    <w:rsid w:val="00CD2181"/>
    <w:rPr>
      <w:i/>
    </w:rPr>
  </w:style>
  <w:style w:type="paragraph" w:styleId="Caption">
    <w:name w:val="caption"/>
    <w:basedOn w:val="BodyText"/>
    <w:next w:val="Normal"/>
    <w:qFormat/>
    <w:rsid w:val="00CD2181"/>
    <w:pPr>
      <w:framePr w:w="2268" w:hSpace="181" w:vSpace="181" w:wrap="around" w:vAnchor="text" w:hAnchor="page" w:x="1135" w:y="285" w:anchorLock="1"/>
    </w:pPr>
    <w:rPr>
      <w:i/>
    </w:rPr>
  </w:style>
  <w:style w:type="paragraph" w:customStyle="1" w:styleId="MiniTOCTitle">
    <w:name w:val="MiniTOCTitle"/>
    <w:basedOn w:val="Heading4"/>
    <w:rsid w:val="00CD2181"/>
    <w:pPr>
      <w:spacing w:before="240"/>
      <w:outlineLvl w:val="9"/>
    </w:pPr>
    <w:rPr>
      <w:noProof/>
      <w:sz w:val="24"/>
    </w:rPr>
  </w:style>
  <w:style w:type="paragraph" w:customStyle="1" w:styleId="MiniTOCItem">
    <w:name w:val="MiniTOCItem"/>
    <w:basedOn w:val="ListBullet"/>
    <w:rsid w:val="00CD2181"/>
    <w:pPr>
      <w:numPr>
        <w:numId w:val="0"/>
      </w:numPr>
      <w:tabs>
        <w:tab w:val="right" w:leader="dot" w:pos="6521"/>
      </w:tabs>
      <w:spacing w:before="0" w:after="0"/>
    </w:pPr>
  </w:style>
  <w:style w:type="paragraph" w:customStyle="1" w:styleId="TOFTitle">
    <w:name w:val="TOFTitle"/>
    <w:basedOn w:val="TOCTitle"/>
    <w:rsid w:val="00CD2181"/>
  </w:style>
  <w:style w:type="paragraph" w:styleId="TableofFigures">
    <w:name w:val="table of figures"/>
    <w:basedOn w:val="Normal"/>
    <w:next w:val="Normal"/>
    <w:semiHidden/>
    <w:rsid w:val="00CD2181"/>
    <w:pPr>
      <w:tabs>
        <w:tab w:val="right" w:leader="dot" w:pos="9072"/>
      </w:tabs>
      <w:ind w:left="970" w:hanging="403"/>
    </w:pPr>
    <w:rPr>
      <w:rFonts w:ascii="Times New Roman" w:hAnsi="Times New Roman"/>
      <w:b/>
    </w:rPr>
  </w:style>
  <w:style w:type="paragraph" w:styleId="ListNumber">
    <w:name w:val="List Number"/>
    <w:basedOn w:val="List"/>
    <w:rsid w:val="00CD2181"/>
    <w:pPr>
      <w:numPr>
        <w:numId w:val="11"/>
      </w:numPr>
    </w:pPr>
  </w:style>
  <w:style w:type="character" w:customStyle="1" w:styleId="WingdingSymbols">
    <w:name w:val="Wingding Symbols"/>
    <w:rsid w:val="00CD2181"/>
    <w:rPr>
      <w:rFonts w:ascii="Wingdings" w:hAnsi="Wingdings"/>
    </w:rPr>
  </w:style>
  <w:style w:type="paragraph" w:customStyle="1" w:styleId="TableHeading">
    <w:name w:val="Table Heading"/>
    <w:basedOn w:val="HeadingBase"/>
    <w:rsid w:val="00CD2181"/>
    <w:pPr>
      <w:keepLines/>
      <w:pBdr>
        <w:bottom w:val="single" w:sz="6" w:space="1" w:color="918585"/>
      </w:pBdr>
      <w:spacing w:before="240"/>
    </w:pPr>
  </w:style>
  <w:style w:type="character" w:customStyle="1" w:styleId="HotSpot">
    <w:name w:val="HotSpot"/>
    <w:rsid w:val="00CD2181"/>
    <w:rPr>
      <w:color w:val="0033CC"/>
      <w:u w:val="none"/>
    </w:rPr>
  </w:style>
  <w:style w:type="paragraph" w:customStyle="1" w:styleId="BodyTextRight">
    <w:name w:val="Body Text Right"/>
    <w:basedOn w:val="BodyText"/>
    <w:rsid w:val="00CD2181"/>
    <w:pPr>
      <w:spacing w:before="0" w:after="0"/>
      <w:jc w:val="right"/>
    </w:pPr>
  </w:style>
  <w:style w:type="paragraph" w:styleId="Index3">
    <w:name w:val="index 3"/>
    <w:basedOn w:val="ListNumber2"/>
    <w:next w:val="Normal"/>
    <w:semiHidden/>
    <w:rsid w:val="00CD2181"/>
    <w:pPr>
      <w:numPr>
        <w:numId w:val="0"/>
      </w:numPr>
      <w:tabs>
        <w:tab w:val="right" w:leader="dot" w:pos="4176"/>
      </w:tabs>
    </w:pPr>
  </w:style>
  <w:style w:type="paragraph" w:styleId="ListNumber2">
    <w:name w:val="List Number 2"/>
    <w:basedOn w:val="List2"/>
    <w:rsid w:val="00CD2181"/>
    <w:pPr>
      <w:numPr>
        <w:numId w:val="10"/>
      </w:numPr>
      <w:tabs>
        <w:tab w:val="clear" w:pos="1060"/>
      </w:tabs>
    </w:pPr>
  </w:style>
  <w:style w:type="paragraph" w:customStyle="1" w:styleId="MarginNote">
    <w:name w:val="Margin Note"/>
    <w:basedOn w:val="BodyText"/>
    <w:rsid w:val="00CD2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181"/>
    <w:rPr>
      <w:sz w:val="32"/>
    </w:rPr>
  </w:style>
  <w:style w:type="paragraph" w:customStyle="1" w:styleId="HeadingProcedure">
    <w:name w:val="Heading Procedure"/>
    <w:basedOn w:val="HeadingBase"/>
    <w:next w:val="Normal"/>
    <w:rsid w:val="00CD2181"/>
    <w:pPr>
      <w:tabs>
        <w:tab w:val="left" w:pos="0"/>
      </w:tabs>
      <w:spacing w:before="120" w:after="60"/>
    </w:pPr>
    <w:rPr>
      <w:i/>
      <w:color w:val="918585"/>
      <w:sz w:val="22"/>
    </w:rPr>
  </w:style>
  <w:style w:type="paragraph" w:customStyle="1" w:styleId="TableBodyText">
    <w:name w:val="Table Body Text"/>
    <w:basedOn w:val="BodyText"/>
    <w:rsid w:val="00CD2181"/>
    <w:pPr>
      <w:spacing w:before="60" w:after="60"/>
    </w:pPr>
  </w:style>
  <w:style w:type="paragraph" w:styleId="ListContinue">
    <w:name w:val="List Continue"/>
    <w:basedOn w:val="List"/>
    <w:rsid w:val="00CD2181"/>
    <w:pPr>
      <w:ind w:firstLine="0"/>
    </w:pPr>
  </w:style>
  <w:style w:type="paragraph" w:customStyle="1" w:styleId="ListNote">
    <w:name w:val="List Note"/>
    <w:basedOn w:val="List"/>
    <w:rsid w:val="00CD2181"/>
    <w:pPr>
      <w:pBdr>
        <w:top w:val="single" w:sz="6" w:space="2" w:color="918585"/>
        <w:bottom w:val="single" w:sz="6" w:space="2" w:color="918585"/>
      </w:pBdr>
      <w:tabs>
        <w:tab w:val="left" w:pos="1021"/>
      </w:tabs>
      <w:ind w:firstLine="0"/>
    </w:pPr>
  </w:style>
  <w:style w:type="paragraph" w:customStyle="1" w:styleId="Warning">
    <w:name w:val="Warning"/>
    <w:basedOn w:val="BodyText"/>
    <w:rsid w:val="00CD2181"/>
    <w:pPr>
      <w:shd w:val="clear" w:color="auto" w:fill="D9D9D9"/>
      <w:tabs>
        <w:tab w:val="left" w:pos="992"/>
      </w:tabs>
      <w:ind w:left="119" w:right="119"/>
    </w:pPr>
    <w:rPr>
      <w:sz w:val="20"/>
    </w:rPr>
  </w:style>
  <w:style w:type="paragraph" w:customStyle="1" w:styleId="MarginIcons">
    <w:name w:val="Margin Icons"/>
    <w:basedOn w:val="BodyText"/>
    <w:rsid w:val="00CD2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181"/>
    <w:rPr>
      <w:rFonts w:ascii="Courier New" w:hAnsi="Courier New"/>
    </w:rPr>
  </w:style>
  <w:style w:type="paragraph" w:customStyle="1" w:styleId="NoteBullet">
    <w:name w:val="Note Bullet"/>
    <w:basedOn w:val="Note"/>
    <w:rsid w:val="00CD2181"/>
    <w:pPr>
      <w:tabs>
        <w:tab w:val="clear" w:pos="680"/>
      </w:tabs>
      <w:spacing w:before="60" w:after="60"/>
    </w:pPr>
  </w:style>
  <w:style w:type="paragraph" w:customStyle="1" w:styleId="SubHeading2">
    <w:name w:val="SubHeading2"/>
    <w:basedOn w:val="HeadingBase"/>
    <w:rsid w:val="00CD2181"/>
    <w:pPr>
      <w:spacing w:before="240" w:after="60"/>
    </w:pPr>
    <w:rPr>
      <w:sz w:val="20"/>
    </w:rPr>
  </w:style>
  <w:style w:type="paragraph" w:customStyle="1" w:styleId="SubHeading1">
    <w:name w:val="SubHeading1"/>
    <w:basedOn w:val="HeadingBase"/>
    <w:rsid w:val="00CD2181"/>
    <w:pPr>
      <w:spacing w:before="240" w:after="60"/>
    </w:pPr>
    <w:rPr>
      <w:color w:val="918585"/>
      <w:sz w:val="22"/>
    </w:rPr>
  </w:style>
  <w:style w:type="paragraph" w:customStyle="1" w:styleId="SideHeading">
    <w:name w:val="Side Heading"/>
    <w:basedOn w:val="HeadingBase"/>
    <w:rsid w:val="00CD2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181"/>
    <w:pPr>
      <w:numPr>
        <w:numId w:val="12"/>
      </w:numPr>
    </w:pPr>
  </w:style>
  <w:style w:type="paragraph" w:styleId="PlainText">
    <w:name w:val="Plain Text"/>
    <w:basedOn w:val="Normal"/>
    <w:link w:val="PlainTextChar"/>
    <w:rsid w:val="00CD2181"/>
    <w:rPr>
      <w:sz w:val="20"/>
    </w:rPr>
  </w:style>
  <w:style w:type="character" w:customStyle="1" w:styleId="PlainTextChar">
    <w:name w:val="Plain Text Char"/>
    <w:basedOn w:val="DefaultParagraphFont"/>
    <w:link w:val="PlainText"/>
    <w:rsid w:val="00CD2181"/>
    <w:rPr>
      <w:rFonts w:ascii="Courier New" w:eastAsia="Times New Roman" w:hAnsi="Courier New" w:cs="Times New Roman"/>
      <w:sz w:val="20"/>
      <w:szCs w:val="20"/>
      <w:lang w:eastAsia="en-US"/>
    </w:rPr>
  </w:style>
  <w:style w:type="character" w:customStyle="1" w:styleId="MenuOption">
    <w:name w:val="Menu Option"/>
    <w:basedOn w:val="DefaultParagraphFont"/>
    <w:rsid w:val="00CD2181"/>
    <w:rPr>
      <w:b/>
      <w:smallCaps/>
    </w:rPr>
  </w:style>
  <w:style w:type="paragraph" w:customStyle="1" w:styleId="TableListNumber">
    <w:name w:val="Table List Number"/>
    <w:basedOn w:val="ListNumber"/>
    <w:rsid w:val="00CD2181"/>
    <w:pPr>
      <w:numPr>
        <w:numId w:val="0"/>
      </w:numPr>
    </w:pPr>
  </w:style>
  <w:style w:type="paragraph" w:styleId="TOC4">
    <w:name w:val="toc 4"/>
    <w:basedOn w:val="TOCBase"/>
    <w:next w:val="Normal"/>
    <w:semiHidden/>
    <w:rsid w:val="00CD2181"/>
    <w:pPr>
      <w:tabs>
        <w:tab w:val="right" w:leader="dot" w:pos="9071"/>
      </w:tabs>
      <w:ind w:left="1701"/>
    </w:pPr>
  </w:style>
  <w:style w:type="paragraph" w:customStyle="1" w:styleId="ListAlpha">
    <w:name w:val="List Alpha"/>
    <w:basedOn w:val="List"/>
    <w:rsid w:val="00CD2181"/>
    <w:pPr>
      <w:numPr>
        <w:numId w:val="9"/>
      </w:numPr>
    </w:pPr>
  </w:style>
  <w:style w:type="paragraph" w:customStyle="1" w:styleId="ListAlpha2">
    <w:name w:val="List Alpha 2"/>
    <w:basedOn w:val="List2"/>
    <w:rsid w:val="00CD2181"/>
    <w:pPr>
      <w:numPr>
        <w:numId w:val="8"/>
      </w:numPr>
    </w:pPr>
  </w:style>
  <w:style w:type="paragraph" w:styleId="List2">
    <w:name w:val="List 2"/>
    <w:basedOn w:val="BodyText"/>
    <w:rsid w:val="00CD2181"/>
    <w:pPr>
      <w:tabs>
        <w:tab w:val="left" w:pos="680"/>
      </w:tabs>
      <w:spacing w:before="60" w:after="60"/>
      <w:ind w:left="680" w:hanging="340"/>
    </w:pPr>
  </w:style>
  <w:style w:type="paragraph" w:styleId="List3">
    <w:name w:val="List 3"/>
    <w:basedOn w:val="BodyText"/>
    <w:rsid w:val="00CD2181"/>
    <w:pPr>
      <w:tabs>
        <w:tab w:val="left" w:pos="1021"/>
      </w:tabs>
      <w:spacing w:before="60" w:after="60"/>
      <w:ind w:left="1020" w:hanging="340"/>
    </w:pPr>
  </w:style>
  <w:style w:type="paragraph" w:styleId="List4">
    <w:name w:val="List 4"/>
    <w:basedOn w:val="BodyText"/>
    <w:rsid w:val="00CD2181"/>
    <w:pPr>
      <w:tabs>
        <w:tab w:val="left" w:pos="1361"/>
      </w:tabs>
      <w:spacing w:before="60" w:after="60"/>
      <w:ind w:left="1361" w:hanging="340"/>
    </w:pPr>
  </w:style>
  <w:style w:type="paragraph" w:styleId="List5">
    <w:name w:val="List 5"/>
    <w:basedOn w:val="BodyText"/>
    <w:rsid w:val="00CD2181"/>
    <w:pPr>
      <w:tabs>
        <w:tab w:val="left" w:pos="1701"/>
      </w:tabs>
      <w:spacing w:before="60" w:after="60"/>
      <w:ind w:left="1701" w:hanging="340"/>
    </w:pPr>
  </w:style>
  <w:style w:type="paragraph" w:styleId="ListBullet3">
    <w:name w:val="List Bullet 3"/>
    <w:basedOn w:val="List3"/>
    <w:rsid w:val="00CD2181"/>
    <w:pPr>
      <w:numPr>
        <w:numId w:val="15"/>
      </w:numPr>
      <w:tabs>
        <w:tab w:val="clear" w:pos="1021"/>
      </w:tabs>
      <w:ind w:left="1037" w:hanging="357"/>
    </w:pPr>
  </w:style>
  <w:style w:type="paragraph" w:styleId="ListBullet4">
    <w:name w:val="List Bullet 4"/>
    <w:basedOn w:val="List4"/>
    <w:rsid w:val="00CD2181"/>
    <w:pPr>
      <w:numPr>
        <w:numId w:val="3"/>
      </w:numPr>
    </w:pPr>
  </w:style>
  <w:style w:type="paragraph" w:styleId="ListBullet5">
    <w:name w:val="List Bullet 5"/>
    <w:basedOn w:val="List5"/>
    <w:rsid w:val="00CD2181"/>
    <w:pPr>
      <w:numPr>
        <w:numId w:val="4"/>
      </w:numPr>
    </w:pPr>
  </w:style>
  <w:style w:type="paragraph" w:styleId="ListContinue2">
    <w:name w:val="List Continue 2"/>
    <w:basedOn w:val="List2"/>
    <w:rsid w:val="00CD2181"/>
    <w:pPr>
      <w:ind w:firstLine="0"/>
    </w:pPr>
  </w:style>
  <w:style w:type="paragraph" w:styleId="ListContinue3">
    <w:name w:val="List Continue 3"/>
    <w:basedOn w:val="List3"/>
    <w:rsid w:val="00CD2181"/>
    <w:pPr>
      <w:ind w:left="1021" w:firstLine="0"/>
    </w:pPr>
  </w:style>
  <w:style w:type="paragraph" w:styleId="ListContinue4">
    <w:name w:val="List Continue 4"/>
    <w:basedOn w:val="List4"/>
    <w:rsid w:val="00CD2181"/>
    <w:pPr>
      <w:ind w:firstLine="0"/>
    </w:pPr>
  </w:style>
  <w:style w:type="paragraph" w:styleId="ListContinue5">
    <w:name w:val="List Continue 5"/>
    <w:basedOn w:val="List5"/>
    <w:rsid w:val="00CD2181"/>
    <w:pPr>
      <w:ind w:firstLine="0"/>
    </w:pPr>
  </w:style>
  <w:style w:type="paragraph" w:styleId="ListNumber3">
    <w:name w:val="List Number 3"/>
    <w:basedOn w:val="List3"/>
    <w:rsid w:val="00CD2181"/>
    <w:pPr>
      <w:numPr>
        <w:numId w:val="5"/>
      </w:numPr>
    </w:pPr>
  </w:style>
  <w:style w:type="paragraph" w:styleId="ListNumber4">
    <w:name w:val="List Number 4"/>
    <w:basedOn w:val="List4"/>
    <w:rsid w:val="00CD2181"/>
    <w:pPr>
      <w:numPr>
        <w:numId w:val="6"/>
      </w:numPr>
    </w:pPr>
  </w:style>
  <w:style w:type="paragraph" w:styleId="ListNumber5">
    <w:name w:val="List Number 5"/>
    <w:basedOn w:val="List5"/>
    <w:rsid w:val="00CD2181"/>
    <w:pPr>
      <w:numPr>
        <w:numId w:val="7"/>
      </w:numPr>
    </w:pPr>
  </w:style>
  <w:style w:type="paragraph" w:styleId="BlockText">
    <w:name w:val="Block Text"/>
    <w:basedOn w:val="Normal"/>
    <w:rsid w:val="00CD2181"/>
    <w:pPr>
      <w:spacing w:after="120"/>
      <w:ind w:left="1440" w:right="1440"/>
    </w:pPr>
  </w:style>
  <w:style w:type="character" w:customStyle="1" w:styleId="Subscript">
    <w:name w:val="Subscript"/>
    <w:basedOn w:val="DefaultParagraphFont"/>
    <w:rsid w:val="00CD2181"/>
    <w:rPr>
      <w:sz w:val="16"/>
      <w:vertAlign w:val="subscript"/>
    </w:rPr>
  </w:style>
  <w:style w:type="character" w:customStyle="1" w:styleId="Superscript">
    <w:name w:val="Superscript"/>
    <w:basedOn w:val="DefaultParagraphFont"/>
    <w:rsid w:val="00CD2181"/>
    <w:rPr>
      <w:sz w:val="16"/>
      <w:vertAlign w:val="superscript"/>
    </w:rPr>
  </w:style>
  <w:style w:type="character" w:customStyle="1" w:styleId="Symbols">
    <w:name w:val="Symbols"/>
    <w:basedOn w:val="DefaultParagraphFont"/>
    <w:rsid w:val="00CD2181"/>
    <w:rPr>
      <w:rFonts w:ascii="Symbol" w:hAnsi="Symbol"/>
    </w:rPr>
  </w:style>
  <w:style w:type="character" w:customStyle="1" w:styleId="MenuOptions">
    <w:name w:val="Menu Options"/>
    <w:basedOn w:val="DefaultParagraphFont"/>
    <w:rsid w:val="00CD2181"/>
    <w:rPr>
      <w:rFonts w:ascii="Arial Narrow" w:hAnsi="Arial Narrow"/>
      <w:smallCaps/>
    </w:rPr>
  </w:style>
  <w:style w:type="character" w:customStyle="1" w:styleId="Buttons">
    <w:name w:val="Buttons"/>
    <w:basedOn w:val="DefaultParagraphFont"/>
    <w:rsid w:val="00CD2181"/>
    <w:rPr>
      <w:b/>
    </w:rPr>
  </w:style>
  <w:style w:type="character" w:customStyle="1" w:styleId="Underlined">
    <w:name w:val="Underlined"/>
    <w:basedOn w:val="DefaultParagraphFont"/>
    <w:rsid w:val="00CD2181"/>
    <w:rPr>
      <w:u w:val="single"/>
    </w:rPr>
  </w:style>
  <w:style w:type="paragraph" w:customStyle="1" w:styleId="TableBodyTextRight">
    <w:name w:val="Table Body Text Right"/>
    <w:basedOn w:val="TableBodyText"/>
    <w:rsid w:val="00CD2181"/>
    <w:pPr>
      <w:widowControl w:val="0"/>
      <w:autoSpaceDE w:val="0"/>
      <w:autoSpaceDN w:val="0"/>
      <w:adjustRightInd w:val="0"/>
      <w:jc w:val="right"/>
    </w:pPr>
    <w:rPr>
      <w:rFonts w:cs="Arial"/>
      <w:szCs w:val="18"/>
    </w:rPr>
  </w:style>
  <w:style w:type="paragraph" w:customStyle="1" w:styleId="CopyrightText">
    <w:name w:val="Copyright Text"/>
    <w:basedOn w:val="BodyText"/>
    <w:rsid w:val="00CD2181"/>
    <w:rPr>
      <w:sz w:val="18"/>
    </w:rPr>
  </w:style>
  <w:style w:type="paragraph" w:customStyle="1" w:styleId="BodySmallRight">
    <w:name w:val="Body Small Right"/>
    <w:basedOn w:val="BodyTextRight"/>
    <w:rsid w:val="00CD2181"/>
    <w:rPr>
      <w:sz w:val="18"/>
      <w:szCs w:val="18"/>
    </w:rPr>
  </w:style>
  <w:style w:type="paragraph" w:customStyle="1" w:styleId="MarginEdition">
    <w:name w:val="Margin Edition"/>
    <w:basedOn w:val="MarginNote"/>
    <w:rsid w:val="00CD2181"/>
    <w:pPr>
      <w:spacing w:before="0" w:after="0"/>
    </w:pPr>
    <w:rPr>
      <w:rFonts w:ascii="Times New Roman" w:hAnsi="Times New Roman"/>
      <w:color w:val="999999"/>
    </w:rPr>
  </w:style>
  <w:style w:type="paragraph" w:customStyle="1" w:styleId="Spacer">
    <w:name w:val="Spacer"/>
    <w:basedOn w:val="Normal"/>
    <w:rsid w:val="00CD2181"/>
    <w:rPr>
      <w:sz w:val="2"/>
      <w:szCs w:val="2"/>
    </w:rPr>
  </w:style>
  <w:style w:type="character" w:customStyle="1" w:styleId="Small">
    <w:name w:val="Small"/>
    <w:basedOn w:val="DefaultParagraphFont"/>
    <w:rsid w:val="00CD2181"/>
    <w:rPr>
      <w:sz w:val="16"/>
    </w:rPr>
  </w:style>
  <w:style w:type="paragraph" w:customStyle="1" w:styleId="WideTable">
    <w:name w:val="Wide Table"/>
    <w:basedOn w:val="Normal"/>
    <w:rsid w:val="00CD2181"/>
    <w:pPr>
      <w:ind w:left="-1418"/>
    </w:pPr>
    <w:rPr>
      <w:sz w:val="2"/>
      <w:szCs w:val="2"/>
    </w:rPr>
  </w:style>
  <w:style w:type="character" w:styleId="PageNumber">
    <w:name w:val="page number"/>
    <w:basedOn w:val="DefaultParagraphFont"/>
    <w:rsid w:val="00CD2181"/>
  </w:style>
  <w:style w:type="paragraph" w:styleId="Quote">
    <w:name w:val="Quote"/>
    <w:basedOn w:val="Heading1"/>
    <w:link w:val="QuoteChar"/>
    <w:qFormat/>
    <w:rsid w:val="00CD2181"/>
    <w:rPr>
      <w:b w:val="0"/>
      <w:sz w:val="72"/>
      <w:szCs w:val="72"/>
      <w:lang w:val="en-NZ"/>
    </w:rPr>
  </w:style>
  <w:style w:type="character" w:customStyle="1" w:styleId="QuoteChar">
    <w:name w:val="Quote Char"/>
    <w:basedOn w:val="DefaultParagraphFont"/>
    <w:link w:val="Quote"/>
    <w:rsid w:val="00CD2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181"/>
    <w:pPr>
      <w:pageBreakBefore/>
    </w:pPr>
  </w:style>
  <w:style w:type="paragraph" w:customStyle="1" w:styleId="Border">
    <w:name w:val="Border"/>
    <w:basedOn w:val="Normal"/>
    <w:qFormat/>
    <w:rsid w:val="00CD2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181"/>
    <w:rPr>
      <w:b/>
      <w:bCs/>
      <w:i/>
      <w:iCs/>
      <w:color w:val="auto"/>
    </w:rPr>
  </w:style>
  <w:style w:type="paragraph" w:styleId="IntenseQuote">
    <w:name w:val="Intense Quote"/>
    <w:basedOn w:val="Normal"/>
    <w:next w:val="Normal"/>
    <w:link w:val="IntenseQuoteChar"/>
    <w:uiPriority w:val="30"/>
    <w:qFormat/>
    <w:rsid w:val="00CD2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181"/>
    <w:rPr>
      <w:smallCaps/>
      <w:color w:val="auto"/>
      <w:u w:val="single"/>
    </w:rPr>
  </w:style>
  <w:style w:type="character" w:styleId="IntenseReference">
    <w:name w:val="Intense Reference"/>
    <w:basedOn w:val="DefaultParagraphFont"/>
    <w:uiPriority w:val="32"/>
    <w:qFormat/>
    <w:rsid w:val="00CD2181"/>
    <w:rPr>
      <w:b/>
      <w:bCs/>
      <w:smallCaps/>
      <w:color w:val="auto"/>
      <w:spacing w:val="5"/>
      <w:u w:val="single"/>
    </w:rPr>
  </w:style>
  <w:style w:type="paragraph" w:customStyle="1" w:styleId="2ColumnHeading">
    <w:name w:val="2Column Heading"/>
    <w:basedOn w:val="BodyText"/>
    <w:qFormat/>
    <w:rsid w:val="00CD2181"/>
    <w:pPr>
      <w:spacing w:after="60"/>
      <w:ind w:left="-2268"/>
    </w:pPr>
    <w:rPr>
      <w:b/>
    </w:rPr>
  </w:style>
  <w:style w:type="paragraph" w:customStyle="1" w:styleId="Heading1TOC">
    <w:name w:val="Heading1 TOC"/>
    <w:basedOn w:val="Normal"/>
    <w:qFormat/>
    <w:rsid w:val="00CD2181"/>
    <w:pPr>
      <w:spacing w:before="240" w:after="120"/>
    </w:pPr>
    <w:rPr>
      <w:rFonts w:ascii="Times New Roman" w:hAnsi="Times New Roman"/>
      <w:b/>
      <w:sz w:val="32"/>
    </w:rPr>
  </w:style>
  <w:style w:type="paragraph" w:customStyle="1" w:styleId="Heading2TOC">
    <w:name w:val="Heading2 TOC"/>
    <w:basedOn w:val="Normal"/>
    <w:qFormat/>
    <w:rsid w:val="00CD2181"/>
    <w:pPr>
      <w:spacing w:before="240" w:after="60"/>
    </w:pPr>
    <w:rPr>
      <w:rFonts w:ascii="Times New Roman" w:hAnsi="Times New Roman"/>
      <w:b/>
      <w:sz w:val="28"/>
    </w:rPr>
  </w:style>
  <w:style w:type="character" w:customStyle="1" w:styleId="Underline">
    <w:name w:val="Underline"/>
    <w:basedOn w:val="DefaultParagraphFont"/>
    <w:qFormat/>
    <w:rsid w:val="00CD2181"/>
    <w:rPr>
      <w:u w:val="single"/>
    </w:rPr>
  </w:style>
  <w:style w:type="character" w:customStyle="1" w:styleId="BoldandItalics">
    <w:name w:val="Bold and Italics"/>
    <w:qFormat/>
    <w:rsid w:val="00CD2181"/>
    <w:rPr>
      <w:b/>
      <w:i/>
      <w:u w:val="none"/>
    </w:rPr>
  </w:style>
  <w:style w:type="paragraph" w:styleId="BalloonText">
    <w:name w:val="Balloon Text"/>
    <w:basedOn w:val="Normal"/>
    <w:link w:val="BalloonTextChar"/>
    <w:rsid w:val="00CD2181"/>
    <w:rPr>
      <w:rFonts w:ascii="Tahoma" w:hAnsi="Tahoma" w:cs="Tahoma"/>
      <w:sz w:val="16"/>
      <w:szCs w:val="16"/>
    </w:rPr>
  </w:style>
  <w:style w:type="character" w:customStyle="1" w:styleId="BalloonTextChar">
    <w:name w:val="Balloon Text Char"/>
    <w:basedOn w:val="DefaultParagraphFont"/>
    <w:link w:val="BalloonText"/>
    <w:rsid w:val="00CD2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2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181"/>
    <w:rPr>
      <w:b/>
      <w:color w:val="660033"/>
      <w:spacing w:val="0"/>
    </w:rPr>
  </w:style>
  <w:style w:type="paragraph" w:customStyle="1" w:styleId="Nameditemlist">
    <w:name w:val="Named item list"/>
    <w:basedOn w:val="BodyText"/>
    <w:qFormat/>
    <w:rsid w:val="00CD21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2747</Words>
  <Characters>16576</Characters>
  <Application>Microsoft Office Word</Application>
  <DocSecurity>0</DocSecurity>
  <Lines>519</Lines>
  <Paragraphs>258</Paragraphs>
  <ScaleCrop>false</ScaleCrop>
  <Company>Author-it Software Corporation Ltd.</Company>
  <LinksUpToDate>false</LinksUpToDate>
  <CharactersWithSpaces>19199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UEENEEE125A Provide engineering solutions for problems in complex multiple path circuits</dc:title>
  <dc:subject>Approved</dc:subject>
  <dc:creator>E-OZ Training Standards</dc:creator>
  <cp:keywords>Release: 3</cp:keywords>
  <dc:description>Review Date: 12 April 2008</dc:description>
  <cp:lastModifiedBy>TPCMS</cp:lastModifiedBy>
  <cp:revision>3</cp:revision>
  <dcterms:created xsi:type="dcterms:W3CDTF">2013-08-14T06:44:00Z</dcterms:created>
  <dcterms:modified xsi:type="dcterms:W3CDTF">2013-08-14T06:44:00Z</dcterms:modified>
</cp:coreProperties>
</file>