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06C" w:rsidP="0026106C">
      <w:pPr>
        <w:pStyle w:val="Title"/>
      </w:pPr>
      <w:r>
        <w:fldChar w:fldCharType="begin"/>
      </w:r>
      <w:r>
        <w:instrText xml:space="preserve"> TITLE   \* MERGEFORMAT </w:instrText>
      </w:r>
      <w:r>
        <w:fldChar w:fldCharType="separate"/>
      </w:r>
      <w:r>
        <w:t>UEENEEE107A Use drawings, diagrams, schedules, standards, codes and specifications</w:t>
      </w:r>
      <w:r>
        <w:fldChar w:fldCharType="end"/>
      </w:r>
    </w:p>
    <w:p w:rsidR="0026106C" w:rsidP="0026106C">
      <w:pPr>
        <w:pStyle w:val="Version"/>
        <w:sectPr w:rsidSect="002C59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C595F" w:rsidP="002C595F">
      <w:pPr>
        <w:pStyle w:val="SuperHeading"/>
      </w:pPr>
      <w:r w:rsidRPr="002C595F">
        <w:t>UEENEEE107A Use drawings, diagrams, schedules, standards, codes and specifications</w:t>
      </w:r>
    </w:p>
    <w:p w:rsidR="00000000" w:rsidRPr="002C595F" w:rsidP="002C595F">
      <w:pPr>
        <w:pStyle w:val="Heading1"/>
      </w:pPr>
      <w:bookmarkStart w:id="1" w:name="O_584390"/>
      <w:bookmarkEnd w:id="1"/>
      <w:r w:rsidRPr="002C595F">
        <w:t>Modification History</w:t>
      </w:r>
    </w:p>
    <w:p w:rsidR="00000000" w:rsidRPr="002C595F" w:rsidP="002C595F">
      <w:pPr>
        <w:pStyle w:val="BodyText"/>
      </w:pPr>
      <w:r w:rsidRPr="002C595F">
        <w:t>Not Applicable</w:t>
      </w:r>
    </w:p>
    <w:p w:rsidR="00000000" w:rsidRPr="002C595F" w:rsidP="002C595F">
      <w:pPr>
        <w:pStyle w:val="AllowPageBreak"/>
      </w:pPr>
    </w:p>
    <w:p w:rsidR="00000000" w:rsidRPr="002C595F" w:rsidP="002C595F">
      <w:pPr>
        <w:pStyle w:val="Heading1"/>
      </w:pPr>
      <w:bookmarkStart w:id="2" w:name="O_584389"/>
      <w:bookmarkEnd w:id="2"/>
      <w:r w:rsidRPr="002C595F">
        <w:t>Unit Descriptor</w:t>
      </w:r>
    </w:p>
    <w:tbl>
      <w:tblPr>
        <w:tblW w:w="0" w:type="auto"/>
        <w:tblLayout w:type="fixed"/>
        <w:tblCellMar>
          <w:left w:w="62" w:type="dxa"/>
          <w:right w:w="62" w:type="dxa"/>
        </w:tblCellMar>
        <w:tblLook w:val="0000"/>
      </w:tblPr>
      <w:tblGrid>
        <w:gridCol w:w="2700"/>
        <w:gridCol w:w="5760"/>
      </w:tblGrid>
      <w:tr w:rsidTr="002610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1</w:t>
            </w:r>
            <w:r w:rsidRPr="002C595F">
              <w:t>)</w:t>
            </w:r>
          </w:p>
          <w:p w:rsidR="00000000" w:rsidP="002C595F">
            <w:pPr>
              <w:pStyle w:val="BodyText"/>
              <w:rPr>
                <w:lang w:val="en-NZ"/>
              </w:rPr>
            </w:pPr>
            <w:r w:rsidRPr="002C595F">
              <w:rPr>
                <w:rStyle w:val="SpecialBold"/>
              </w:rPr>
              <w:t>1</w:t>
            </w:r>
            <w:r w:rsidRPr="002C595F">
              <w:t>.</w:t>
            </w:r>
            <w:r w:rsidRPr="002C595F">
              <w:rPr>
                <w:rStyle w:val="SpecialBold"/>
              </w:rPr>
              <w:t>1</w:t>
            </w:r>
            <w:r w:rsidRPr="002C595F">
              <w:t xml:space="preserve">) </w:t>
            </w:r>
            <w:r w:rsidRPr="002C595F">
              <w:rPr>
                <w:rStyle w:val="SpecialBold"/>
              </w:rPr>
              <w:t>Descriptor</w:t>
            </w:r>
          </w:p>
        </w:tc>
      </w:tr>
      <w:tr w:rsidTr="002610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t>This unit covers the use of drawings, diagrams, cable schedules, standards, codes and specifications as they apply to the various electrotechnology work functions. It encompasses the rudiments for communicating with schematic, wiring and mechanical diagram</w:t>
            </w:r>
            <w:r w:rsidRPr="002C595F">
              <w:t>s and equipment and cable/connection schedules, manuals, site and architectural drawings and plans showing the location of services, apparatus, plant and machinery and understanding the use and format of compliance standards and job specifications.</w:t>
            </w:r>
          </w:p>
        </w:tc>
      </w:tr>
    </w:tbl>
    <w:p w:rsidR="0026106C" w:rsidP="002C595F">
      <w:pPr>
        <w:pStyle w:val="BodyText"/>
      </w:pPr>
    </w:p>
    <w:p w:rsidR="0026106C" w:rsidP="002C595F">
      <w:pPr>
        <w:pStyle w:val="BodyText"/>
      </w:pPr>
    </w:p>
    <w:p w:rsidR="00000000" w:rsidRPr="002C595F" w:rsidP="002C595F">
      <w:pPr>
        <w:pStyle w:val="Heading1"/>
      </w:pPr>
      <w:bookmarkStart w:id="3" w:name="O_584388"/>
      <w:bookmarkEnd w:id="3"/>
      <w:r w:rsidRPr="002C595F">
        <w:t>Application of the Unit</w:t>
      </w:r>
    </w:p>
    <w:p w:rsidR="00000000" w:rsidRPr="002C595F" w:rsidP="002C595F">
      <w:pPr>
        <w:pStyle w:val="BodyText"/>
      </w:pPr>
      <w:r w:rsidRPr="002C595F">
        <w:t>Not Applicable</w:t>
      </w:r>
    </w:p>
    <w:p w:rsidR="00000000" w:rsidRPr="002C595F" w:rsidP="002C595F">
      <w:pPr>
        <w:pStyle w:val="AllowPageBreak"/>
      </w:pPr>
    </w:p>
    <w:p w:rsidR="00000000" w:rsidRPr="002C595F" w:rsidP="002C595F">
      <w:pPr>
        <w:pStyle w:val="Heading1"/>
      </w:pPr>
      <w:bookmarkStart w:id="4" w:name="O_584387"/>
      <w:bookmarkEnd w:id="4"/>
      <w:r w:rsidRPr="002C595F">
        <w:t>Licensing/Regulatory Information</w:t>
      </w:r>
    </w:p>
    <w:tbl>
      <w:tblPr>
        <w:tblW w:w="0" w:type="auto"/>
        <w:tblLayout w:type="fixed"/>
        <w:tblCellMar>
          <w:left w:w="62" w:type="dxa"/>
          <w:right w:w="62" w:type="dxa"/>
        </w:tblCellMar>
        <w:tblLook w:val="0000"/>
      </w:tblPr>
      <w:tblGrid>
        <w:gridCol w:w="8460"/>
      </w:tblGrid>
      <w:tr w:rsidTr="0026106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rPr>
                <w:rStyle w:val="SpecialBold"/>
              </w:rPr>
              <w:t>1</w:t>
            </w:r>
            <w:r w:rsidRPr="002C595F">
              <w:t>.</w:t>
            </w:r>
            <w:r w:rsidRPr="002C595F">
              <w:rPr>
                <w:rStyle w:val="SpecialBold"/>
              </w:rPr>
              <w:t>2</w:t>
            </w:r>
            <w:r w:rsidRPr="002C595F">
              <w:t xml:space="preserve">) </w:t>
            </w:r>
            <w:r w:rsidRPr="002C595F">
              <w:rPr>
                <w:rStyle w:val="SpecialBold"/>
              </w:rPr>
              <w:t>License to practice</w:t>
            </w:r>
          </w:p>
        </w:tc>
      </w:tr>
      <w:tr w:rsidTr="002610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During Training</w:t>
            </w:r>
            <w:r w:rsidRPr="002C595F">
              <w:t xml:space="preserve">: Competency development activities are subject to regulations directly related to licencing, </w:t>
            </w:r>
            <w:r w:rsidRPr="002C595F">
              <w:t xml:space="preserve">occupational health and safety and where applicable contracts of training such as apprenticeships. </w:t>
            </w:r>
          </w:p>
          <w:p w:rsidR="00000000" w:rsidRPr="002C595F" w:rsidP="002C595F">
            <w:pPr>
              <w:pStyle w:val="BodyText"/>
            </w:pPr>
            <w:r w:rsidRPr="002C595F">
              <w:rPr>
                <w:rStyle w:val="SpecialBold"/>
              </w:rPr>
              <w:t>In the workplace</w:t>
            </w:r>
            <w:r w:rsidRPr="002C595F">
              <w:t>: The application of the skills and knowledge described in this unit require a license to practice in the workplace where work is carried ou</w:t>
            </w:r>
            <w:r w:rsidRPr="002C595F">
              <w:t xml:space="preserve">t on electrical equipment or installations which are designed to operate at voltages greater than 50 V a.c. or 120 V d.c. </w:t>
            </w:r>
          </w:p>
          <w:p w:rsidR="00000000" w:rsidRPr="002C595F" w:rsidP="002C595F">
            <w:pPr>
              <w:pStyle w:val="BodyText"/>
            </w:pPr>
            <w:r w:rsidRPr="002C595F">
              <w:t>Other conditions may apply under State and Territory legislative and regulatory requirements.</w:t>
            </w:r>
          </w:p>
        </w:tc>
      </w:tr>
    </w:tbl>
    <w:p w:rsidR="0026106C" w:rsidP="002C595F">
      <w:pPr>
        <w:pStyle w:val="BodyText"/>
      </w:pPr>
    </w:p>
    <w:p w:rsidR="0026106C" w:rsidP="002C595F">
      <w:pPr>
        <w:pStyle w:val="BodyText"/>
      </w:pPr>
    </w:p>
    <w:p w:rsidR="00000000" w:rsidRPr="002C595F" w:rsidP="002C595F">
      <w:pPr>
        <w:pStyle w:val="Heading1"/>
      </w:pPr>
      <w:bookmarkStart w:id="5" w:name="O_584386"/>
      <w:bookmarkEnd w:id="5"/>
      <w:r w:rsidRPr="002C595F">
        <w:t>Pre-Requisites</w:t>
      </w:r>
    </w:p>
    <w:tbl>
      <w:tblPr>
        <w:tblW w:w="0" w:type="auto"/>
        <w:tblLayout w:type="fixed"/>
        <w:tblCellMar>
          <w:left w:w="62" w:type="dxa"/>
          <w:right w:w="62" w:type="dxa"/>
        </w:tblCellMar>
        <w:tblLook w:val="0000"/>
      </w:tblPr>
      <w:tblGrid>
        <w:gridCol w:w="2700"/>
        <w:gridCol w:w="1620"/>
        <w:gridCol w:w="4140"/>
      </w:tblGrid>
      <w:tr w:rsidTr="002610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Prer</w:t>
            </w:r>
            <w:r w:rsidRPr="002C595F">
              <w:rPr>
                <w:rStyle w:val="SpecialBold"/>
              </w:rPr>
              <w:t>equisite Unit</w:t>
            </w:r>
            <w:r w:rsidRPr="002C595F">
              <w:t>(</w:t>
            </w:r>
            <w:r w:rsidRPr="002C595F">
              <w:rPr>
                <w:rStyle w:val="SpecialBold"/>
              </w:rPr>
              <w:t>s</w:t>
            </w:r>
            <w:r w:rsidRPr="002C595F">
              <w:t>)</w:t>
            </w:r>
          </w:p>
        </w:tc>
        <w:tc>
          <w:tcPr>
            <w:tcW w:w="5760" w:type="dxa"/>
            <w:gridSpan w:val="2"/>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rPr>
                <w:rStyle w:val="SpecialBold"/>
              </w:rPr>
              <w:t>2</w:t>
            </w:r>
            <w:r w:rsidRPr="002C595F">
              <w:t>)</w:t>
            </w:r>
          </w:p>
        </w:tc>
      </w:tr>
      <w:tr w:rsidTr="002610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C595F">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rPr>
                <w:rStyle w:val="SpecialBold"/>
              </w:rPr>
              <w:t>2</w:t>
            </w:r>
            <w:r w:rsidRPr="002C595F">
              <w:t>.</w:t>
            </w:r>
            <w:r w:rsidRPr="002C595F">
              <w:rPr>
                <w:rStyle w:val="SpecialBold"/>
              </w:rPr>
              <w:t>1</w:t>
            </w:r>
            <w:r w:rsidRPr="002C595F">
              <w:t xml:space="preserve">) </w:t>
            </w:r>
            <w:r w:rsidRPr="002C595F">
              <w:rPr>
                <w:rStyle w:val="SpecialBold"/>
              </w:rPr>
              <w:t>Competencies</w:t>
            </w:r>
          </w:p>
        </w:tc>
      </w:tr>
      <w:tr w:rsidTr="002610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Granting competency in this unit shall be made only after competency in the following unit(s) has/have been confirmed.</w:t>
            </w:r>
          </w:p>
        </w:tc>
      </w:tr>
      <w:tr w:rsidTr="002610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 xml:space="preserve">UEENEEE101A </w:t>
            </w:r>
          </w:p>
        </w:tc>
        <w:tc>
          <w:tcPr>
            <w:tcW w:w="4140"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t>Apply Occupational Health and Safety regulations, codes and practices in the workplace</w:t>
            </w:r>
          </w:p>
        </w:tc>
      </w:tr>
    </w:tbl>
    <w:p w:rsidR="0026106C" w:rsidP="002C595F">
      <w:pPr>
        <w:pStyle w:val="BodyText"/>
      </w:pPr>
    </w:p>
    <w:p w:rsidR="0026106C" w:rsidP="002C595F">
      <w:pPr>
        <w:pStyle w:val="BodyText"/>
      </w:pPr>
    </w:p>
    <w:p w:rsidR="00000000" w:rsidRPr="002C595F" w:rsidP="002C595F">
      <w:pPr>
        <w:pStyle w:val="Heading1"/>
      </w:pPr>
      <w:bookmarkStart w:id="6" w:name="O_584385"/>
      <w:bookmarkEnd w:id="6"/>
      <w:r w:rsidRPr="002C595F">
        <w:t>Employability Skills Information</w:t>
      </w:r>
    </w:p>
    <w:tbl>
      <w:tblPr>
        <w:tblW w:w="0" w:type="auto"/>
        <w:tblLayout w:type="fixed"/>
        <w:tblCellMar>
          <w:left w:w="62" w:type="dxa"/>
          <w:right w:w="62" w:type="dxa"/>
        </w:tblCellMar>
        <w:tblLook w:val="0000"/>
      </w:tblPr>
      <w:tblGrid>
        <w:gridCol w:w="2700"/>
        <w:gridCol w:w="5760"/>
      </w:tblGrid>
      <w:tr w:rsidTr="002610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3</w:t>
            </w:r>
            <w:r w:rsidRPr="002C595F">
              <w:t>)</w:t>
            </w:r>
          </w:p>
          <w:p w:rsidR="00000000" w:rsidRPr="002C595F" w:rsidP="002C595F">
            <w:pPr>
              <w:pStyle w:val="BodyText"/>
            </w:pPr>
            <w:r w:rsidRPr="002C595F">
              <w:t>This unit contains Employability Skills</w:t>
            </w:r>
          </w:p>
          <w:p w:rsidR="00000000" w:rsidP="002C595F">
            <w:pPr>
              <w:pStyle w:val="BodyText"/>
              <w:rPr>
                <w:lang w:val="en-NZ"/>
              </w:rPr>
            </w:pPr>
            <w:r w:rsidRPr="002C595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C595F">
              <w:t>requirements.</w:t>
            </w:r>
          </w:p>
        </w:tc>
      </w:tr>
      <w:tr w:rsidTr="002610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rPr>
                <w:rStyle w:val="SpecialBold"/>
              </w:rPr>
              <w:t>4</w:t>
            </w:r>
            <w:r w:rsidRPr="002C595F">
              <w:t>)</w:t>
            </w:r>
          </w:p>
        </w:tc>
      </w:tr>
      <w:tr w:rsidTr="002610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C595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4</w:t>
            </w:r>
            <w:r w:rsidRPr="002C595F">
              <w:t>.</w:t>
            </w:r>
            <w:r w:rsidRPr="002C595F">
              <w:rPr>
                <w:rStyle w:val="SpecialBold"/>
              </w:rPr>
              <w:t>1</w:t>
            </w:r>
            <w:r w:rsidRPr="002C595F">
              <w:t xml:space="preserve">) </w:t>
            </w:r>
            <w:r w:rsidRPr="002C595F">
              <w:rPr>
                <w:rStyle w:val="SpecialBold"/>
              </w:rPr>
              <w:t>General Application</w:t>
            </w:r>
            <w:r w:rsidRPr="002C595F">
              <w:t xml:space="preserve"> </w:t>
            </w:r>
          </w:p>
          <w:p w:rsidR="00000000" w:rsidRPr="002C595F" w:rsidP="002C595F">
            <w:pPr>
              <w:pStyle w:val="BodyText"/>
            </w:pPr>
            <w:r w:rsidRPr="002C595F">
              <w:t xml:space="preserve">This unit applies to competency development entry-level employment based programs incorporated in approved contracts of training. </w:t>
            </w:r>
          </w:p>
          <w:p w:rsidR="00000000" w:rsidRPr="002C595F" w:rsidP="002C595F">
            <w:pPr>
              <w:pStyle w:val="BodyText"/>
            </w:pPr>
            <w:r w:rsidRPr="002C595F">
              <w:rPr>
                <w:rStyle w:val="SpecialBold"/>
              </w:rPr>
              <w:t>4</w:t>
            </w:r>
            <w:r w:rsidRPr="002C595F">
              <w:t>.</w:t>
            </w:r>
            <w:r w:rsidRPr="002C595F">
              <w:rPr>
                <w:rStyle w:val="SpecialBold"/>
              </w:rPr>
              <w:t>2</w:t>
            </w:r>
            <w:r w:rsidRPr="002C595F">
              <w:t xml:space="preserve">) </w:t>
            </w:r>
            <w:r w:rsidRPr="002C595F">
              <w:rPr>
                <w:rStyle w:val="SpecialBold"/>
              </w:rPr>
              <w:t>Importation</w:t>
            </w:r>
            <w:r w:rsidRPr="002C595F">
              <w:t xml:space="preserve"> </w:t>
            </w:r>
          </w:p>
          <w:p w:rsidR="00000000" w:rsidRPr="002C595F" w:rsidP="002C595F">
            <w:pPr>
              <w:pStyle w:val="BodyText"/>
            </w:pPr>
            <w:r w:rsidRPr="002C595F">
              <w:t>RTOs wishing to import this unit into any qualification under the flexibility provisions of NQC Training Package Policy</w:t>
            </w:r>
          </w:p>
        </w:tc>
      </w:tr>
    </w:tbl>
    <w:p w:rsidR="0026106C" w:rsidP="002C595F">
      <w:pPr>
        <w:pStyle w:val="BodyText"/>
      </w:pPr>
    </w:p>
    <w:p w:rsidR="0026106C" w:rsidP="002C595F">
      <w:pPr>
        <w:pStyle w:val="BodyText"/>
      </w:pPr>
    </w:p>
    <w:p w:rsidR="00000000" w:rsidRPr="002C595F" w:rsidP="002C595F">
      <w:pPr>
        <w:pStyle w:val="Heading1"/>
      </w:pPr>
      <w:bookmarkStart w:id="7" w:name="O_584384"/>
      <w:bookmarkEnd w:id="7"/>
      <w:r w:rsidRPr="002C595F">
        <w:t>Elements and Performance Criteria Pre-Content</w:t>
      </w:r>
    </w:p>
    <w:tbl>
      <w:tblPr>
        <w:tblW w:w="0" w:type="auto"/>
        <w:tblLayout w:type="fixed"/>
        <w:tblCellMar>
          <w:left w:w="62" w:type="dxa"/>
          <w:right w:w="62" w:type="dxa"/>
        </w:tblCellMar>
        <w:tblLook w:val="0000"/>
      </w:tblPr>
      <w:tblGrid>
        <w:gridCol w:w="2700"/>
        <w:gridCol w:w="6186"/>
      </w:tblGrid>
      <w:tr w:rsidTr="002610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rPr>
                <w:rStyle w:val="SpecialBold"/>
              </w:rPr>
              <w:t>6</w:t>
            </w:r>
            <w:r w:rsidRPr="002C595F">
              <w:t>) Elements describe the essential outcomes of a unit of competency</w:t>
            </w:r>
          </w:p>
        </w:tc>
        <w:tc>
          <w:tcPr>
            <w:tcW w:w="6186"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t>Pe</w:t>
            </w:r>
            <w:r w:rsidRPr="002C595F">
              <w:t>rformance criteria describe the required performance needed to demonstrate achievement of the Element. Assessment of performance is to be consistent with the evidence guide.</w:t>
            </w:r>
          </w:p>
        </w:tc>
      </w:tr>
    </w:tbl>
    <w:p w:rsidR="00000000" w:rsidRPr="002C595F" w:rsidP="002C595F">
      <w:pPr>
        <w:pStyle w:val="BodyText"/>
      </w:pPr>
    </w:p>
    <w:p w:rsidR="00000000" w:rsidRPr="002C595F" w:rsidP="002C595F">
      <w:pPr>
        <w:pStyle w:val="AllowPageBreak"/>
      </w:pPr>
    </w:p>
    <w:p w:rsidR="00000000" w:rsidRPr="002C595F" w:rsidP="002C595F">
      <w:pPr>
        <w:pStyle w:val="Heading1"/>
      </w:pPr>
      <w:bookmarkStart w:id="8" w:name="O_584383"/>
      <w:bookmarkEnd w:id="8"/>
      <w:r w:rsidRPr="002C595F">
        <w:t>Elements and Performance Criteria</w:t>
      </w:r>
    </w:p>
    <w:tbl>
      <w:tblPr>
        <w:tblW w:w="0" w:type="auto"/>
        <w:tblLayout w:type="fixed"/>
        <w:tblCellMar>
          <w:left w:w="62" w:type="dxa"/>
          <w:right w:w="62" w:type="dxa"/>
        </w:tblCellMar>
        <w:tblLook w:val="0000"/>
      </w:tblPr>
      <w:tblGrid>
        <w:gridCol w:w="404"/>
        <w:gridCol w:w="2296"/>
        <w:gridCol w:w="1326"/>
        <w:gridCol w:w="4860"/>
      </w:tblGrid>
      <w:tr w:rsidTr="0026106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ELEMENT</w:t>
            </w:r>
          </w:p>
        </w:tc>
        <w:tc>
          <w:tcPr>
            <w:tcW w:w="6186" w:type="dxa"/>
            <w:gridSpan w:val="2"/>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rPr>
                <w:rStyle w:val="SpecialBold"/>
              </w:rPr>
              <w:t>PERFORMANCE CRITERIA</w:t>
            </w:r>
          </w:p>
        </w:tc>
      </w:tr>
      <w:tr w:rsidTr="002610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1</w:t>
            </w:r>
          </w:p>
        </w:tc>
        <w:tc>
          <w:tcPr>
            <w:tcW w:w="2296" w:type="dxa"/>
            <w:vMerge w:val="restart"/>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Prepare to use drawings, diagrams, schedules and manuals.</w:t>
            </w:r>
          </w:p>
        </w:tc>
        <w:tc>
          <w:tcPr>
            <w:tcW w:w="1326"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1.1</w:t>
            </w:r>
          </w:p>
        </w:tc>
        <w:tc>
          <w:tcPr>
            <w:tcW w:w="48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Established OHS risk control measures and procedures are followed.</w:t>
            </w:r>
          </w:p>
        </w:tc>
      </w:tr>
      <w:tr w:rsidTr="002610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6"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1.2</w:t>
            </w:r>
          </w:p>
        </w:tc>
        <w:tc>
          <w:tcPr>
            <w:tcW w:w="48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The need for drawings, diagrams, schedules or manuals is determined from the nature of the work to be undertaken.</w:t>
            </w:r>
          </w:p>
        </w:tc>
      </w:tr>
      <w:tr w:rsidTr="002610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6"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1.3</w:t>
            </w:r>
          </w:p>
        </w:tc>
        <w:tc>
          <w:tcPr>
            <w:tcW w:w="48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Established routines and procedures are followed to obtain drawings, diagrams, schedules or manuals required for the work to be undertaken.</w:t>
            </w:r>
          </w:p>
        </w:tc>
      </w:tr>
      <w:tr w:rsidTr="002610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2</w:t>
            </w:r>
          </w:p>
        </w:tc>
        <w:tc>
          <w:tcPr>
            <w:tcW w:w="2296" w:type="dxa"/>
            <w:vMerge w:val="restart"/>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Use drawings, diagrams, schedules and manuals to obtain job information.</w:t>
            </w:r>
          </w:p>
        </w:tc>
        <w:tc>
          <w:tcPr>
            <w:tcW w:w="1326"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2.1</w:t>
            </w:r>
          </w:p>
        </w:tc>
        <w:tc>
          <w:tcPr>
            <w:tcW w:w="48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 xml:space="preserve">Drawings, diagrams, schedules </w:t>
            </w:r>
            <w:r w:rsidRPr="002C595F">
              <w:t>and/or manuals are selected, appropriate to the work being undertaken.</w:t>
            </w:r>
          </w:p>
        </w:tc>
      </w:tr>
      <w:tr w:rsidTr="002610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6"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2.2</w:t>
            </w:r>
          </w:p>
        </w:tc>
        <w:tc>
          <w:tcPr>
            <w:tcW w:w="48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Drawings, diagrams and schedules are interpreted using knowledge of drawing layouts, conventions and symbols.</w:t>
            </w:r>
          </w:p>
        </w:tc>
      </w:tr>
      <w:tr w:rsidTr="002610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6"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2.3</w:t>
            </w:r>
          </w:p>
        </w:tc>
        <w:tc>
          <w:tcPr>
            <w:tcW w:w="48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Dimensions are extracted from drawin</w:t>
            </w:r>
            <w:r w:rsidRPr="002C595F">
              <w:t>gs and diagrams for application to work undertaken.</w:t>
            </w:r>
          </w:p>
        </w:tc>
      </w:tr>
      <w:tr w:rsidTr="002610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6"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2.4</w:t>
            </w:r>
          </w:p>
        </w:tc>
        <w:tc>
          <w:tcPr>
            <w:tcW w:w="48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Location of equipment is determined from equipment schedules and location diagrams.</w:t>
            </w:r>
          </w:p>
        </w:tc>
      </w:tr>
      <w:tr w:rsidTr="002610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6"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2.5</w:t>
            </w:r>
          </w:p>
        </w:tc>
        <w:tc>
          <w:tcPr>
            <w:tcW w:w="48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Manuals are reviewed to ascertain their format and where information relevant to the work to be undertaken is located.</w:t>
            </w:r>
          </w:p>
        </w:tc>
      </w:tr>
      <w:tr w:rsidTr="002610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6"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2.6</w:t>
            </w:r>
          </w:p>
        </w:tc>
        <w:tc>
          <w:tcPr>
            <w:tcW w:w="48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Information given in manuals is interpreted in relation to the work to be undertaken.</w:t>
            </w:r>
          </w:p>
        </w:tc>
      </w:tr>
      <w:tr w:rsidTr="002610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3</w:t>
            </w:r>
          </w:p>
        </w:tc>
        <w:tc>
          <w:tcPr>
            <w:tcW w:w="2296" w:type="dxa"/>
            <w:vMerge w:val="restart"/>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Use drawings, diagrams, schedules and man</w:t>
            </w:r>
            <w:r w:rsidRPr="002C595F">
              <w:t>uals to convey information and ideas.</w:t>
            </w:r>
          </w:p>
        </w:tc>
        <w:tc>
          <w:tcPr>
            <w:tcW w:w="1326"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3.1</w:t>
            </w:r>
          </w:p>
        </w:tc>
        <w:tc>
          <w:tcPr>
            <w:tcW w:w="48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Drawing conventions are used in neat freehand drawings to convey information and ideas to others involved in the work to be undertaken.</w:t>
            </w:r>
          </w:p>
        </w:tc>
      </w:tr>
      <w:tr w:rsidTr="002610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6"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3.2</w:t>
            </w:r>
          </w:p>
        </w:tc>
        <w:tc>
          <w:tcPr>
            <w:tcW w:w="48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 xml:space="preserve">Drawing conventions are used to neatly correct freehand original job drawing to show final 'as-installed' arrangement. </w:t>
            </w:r>
          </w:p>
        </w:tc>
      </w:tr>
      <w:tr w:rsidTr="002610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6"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3.3</w:t>
            </w:r>
          </w:p>
        </w:tc>
        <w:tc>
          <w:tcPr>
            <w:tcW w:w="48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Corrected drawings are forwarded to appropriate person(s) in accordance with established procedures.</w:t>
            </w:r>
          </w:p>
        </w:tc>
      </w:tr>
      <w:tr w:rsidTr="002610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4</w:t>
            </w:r>
          </w:p>
        </w:tc>
        <w:tc>
          <w:tcPr>
            <w:tcW w:w="2296" w:type="dxa"/>
            <w:vMerge w:val="restart"/>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Prepare to use compliance</w:t>
            </w:r>
            <w:r w:rsidRPr="002C595F">
              <w:t xml:space="preserve"> standards, codes and specifications. </w:t>
            </w:r>
          </w:p>
        </w:tc>
        <w:tc>
          <w:tcPr>
            <w:tcW w:w="1326"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4.1</w:t>
            </w:r>
          </w:p>
        </w:tc>
        <w:tc>
          <w:tcPr>
            <w:tcW w:w="48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Compliance Standards and Codes that apply to particular disciplines are sought and obtained.</w:t>
            </w:r>
          </w:p>
        </w:tc>
      </w:tr>
      <w:tr w:rsidTr="002610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6"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4.2</w:t>
            </w:r>
          </w:p>
        </w:tc>
        <w:tc>
          <w:tcPr>
            <w:tcW w:w="48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The format of compliance Standards and Codes that apply to particular disciplines are reviewed and understood.</w:t>
            </w:r>
          </w:p>
        </w:tc>
      </w:tr>
      <w:tr w:rsidTr="002610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6"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4.3</w:t>
            </w:r>
          </w:p>
        </w:tc>
        <w:tc>
          <w:tcPr>
            <w:tcW w:w="4860"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t>The purpose and format and typical content of job specifications are reviewed and understood.</w:t>
            </w:r>
          </w:p>
        </w:tc>
      </w:tr>
    </w:tbl>
    <w:p w:rsidR="0026106C" w:rsidP="002C595F">
      <w:pPr>
        <w:pStyle w:val="BodyText"/>
      </w:pPr>
    </w:p>
    <w:p w:rsidR="0026106C" w:rsidP="002C595F">
      <w:pPr>
        <w:pStyle w:val="BodyText"/>
      </w:pPr>
    </w:p>
    <w:p w:rsidR="00000000" w:rsidRPr="002C595F" w:rsidP="002C595F">
      <w:pPr>
        <w:pStyle w:val="Heading1"/>
      </w:pPr>
      <w:bookmarkStart w:id="9" w:name="O_584382"/>
      <w:bookmarkEnd w:id="9"/>
      <w:r w:rsidRPr="002C595F">
        <w:t>Required Skills and Knowledge</w:t>
      </w:r>
    </w:p>
    <w:tbl>
      <w:tblPr>
        <w:tblW w:w="0" w:type="auto"/>
        <w:tblLayout w:type="fixed"/>
        <w:tblCellMar>
          <w:left w:w="62" w:type="dxa"/>
          <w:right w:w="62" w:type="dxa"/>
        </w:tblCellMar>
        <w:tblLook w:val="0000"/>
      </w:tblPr>
      <w:tblGrid>
        <w:gridCol w:w="8886"/>
      </w:tblGrid>
      <w:tr w:rsidTr="0026106C">
        <w:tblPrEx>
          <w:tblW w:w="0" w:type="auto"/>
          <w:tblLayout w:type="fixed"/>
          <w:tblCellMar>
            <w:left w:w="62" w:type="dxa"/>
            <w:right w:w="62" w:type="dxa"/>
          </w:tblCellMar>
          <w:tblLook w:val="0000"/>
        </w:tblPrEx>
        <w:trPr>
          <w:tblHeader/>
        </w:trPr>
        <w:tc>
          <w:tcPr>
            <w:tcW w:w="8886"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rPr>
                <w:rStyle w:val="SpecialBold"/>
              </w:rPr>
              <w:t>REQUIRED SKILLS AND KNOWLEDGE</w:t>
            </w:r>
          </w:p>
        </w:tc>
      </w:tr>
      <w:tr w:rsidTr="0026106C">
        <w:tblPrEx>
          <w:tblW w:w="0" w:type="auto"/>
          <w:tblLayout w:type="fixed"/>
          <w:tblCellMar>
            <w:left w:w="62" w:type="dxa"/>
            <w:right w:w="62" w:type="dxa"/>
          </w:tblCellMar>
          <w:tblLook w:val="0000"/>
        </w:tblPrEx>
        <w:tc>
          <w:tcPr>
            <w:tcW w:w="8886"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rPr>
                <w:rStyle w:val="SpecialBold"/>
              </w:rPr>
              <w:t>7)</w:t>
            </w:r>
            <w:r w:rsidRPr="002C595F">
              <w:t xml:space="preserve"> This describes the essential skills and knowledge and their level, required for this unit.</w:t>
            </w:r>
          </w:p>
        </w:tc>
      </w:tr>
      <w:tr w:rsidTr="0026106C">
        <w:tblPrEx>
          <w:tblW w:w="0" w:type="auto"/>
          <w:tblLayout w:type="fixed"/>
          <w:tblCellMar>
            <w:left w:w="62" w:type="dxa"/>
            <w:right w:w="62" w:type="dxa"/>
          </w:tblCellMar>
          <w:tblLook w:val="0000"/>
        </w:tblPrEx>
        <w:tc>
          <w:tcPr>
            <w:tcW w:w="8886"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t>Evidence shall show that knowledge has been acquired of safe working practices and using drawings, diagrams, cable schedules, standards, codes and specifications.</w:t>
            </w:r>
          </w:p>
          <w:p w:rsidR="00000000" w:rsidRPr="002C595F" w:rsidP="002C595F">
            <w:pPr>
              <w:pStyle w:val="BodyText"/>
            </w:pPr>
            <w:r w:rsidRPr="002C595F">
              <w:t xml:space="preserve">The knowledge and skills shall be contextualised to current industry standards, technologies and practices. </w:t>
            </w:r>
          </w:p>
          <w:p w:rsidR="00000000" w:rsidRPr="002C595F" w:rsidP="002C595F">
            <w:pPr>
              <w:pStyle w:val="BodyText"/>
            </w:pPr>
            <w:r w:rsidRPr="002C595F">
              <w:rPr>
                <w:rStyle w:val="SpecialBold"/>
              </w:rPr>
              <w:t>KS01-EE107A</w:t>
            </w:r>
            <w:r w:rsidRPr="002C595F">
              <w:rPr>
                <w:rStyle w:val="SpecialBold"/>
              </w:rPr>
              <w:tab/>
              <w:t xml:space="preserve">              Drawings, diagrams and schedules</w:t>
            </w:r>
          </w:p>
          <w:p w:rsidR="00000000" w:rsidRPr="002C595F" w:rsidP="002C595F">
            <w:pPr>
              <w:pStyle w:val="BodyText"/>
            </w:pPr>
            <w:r w:rsidRPr="002C595F">
              <w:t>Evidence shall show an understanding of drawings, diagrams and schedules used in electro</w:t>
            </w:r>
            <w:r w:rsidRPr="002C595F">
              <w:t>technology work to an extent indicated by the following aspects:</w:t>
            </w:r>
          </w:p>
          <w:p w:rsidR="00000000" w:rsidRPr="002C595F" w:rsidP="002C595F">
            <w:pPr>
              <w:pStyle w:val="BodyText"/>
            </w:pPr>
            <w:r w:rsidRPr="002C595F">
              <w:t>T1</w:t>
            </w:r>
            <w:r w:rsidRPr="002C595F">
              <w:tab/>
              <w:t>Architectural drawings encompassing:</w:t>
            </w:r>
          </w:p>
          <w:p w:rsidR="00000000" w:rsidRPr="002C595F" w:rsidP="002C595F">
            <w:pPr>
              <w:pStyle w:val="ListBullet"/>
            </w:pPr>
            <w:r w:rsidRPr="002C595F">
              <w:t>site plans, floor plans detailed drawings and standard drawings</w:t>
            </w:r>
          </w:p>
          <w:p w:rsidR="00000000" w:rsidRPr="002C595F" w:rsidP="002C595F">
            <w:pPr>
              <w:pStyle w:val="ListBullet"/>
            </w:pPr>
            <w:r w:rsidRPr="002C595F">
              <w:t>architectural floor plan to determine the power and lighting or communications / audio/ video layouts required in a domestic installation</w:t>
            </w:r>
          </w:p>
          <w:p w:rsidR="00000000" w:rsidRPr="002C595F" w:rsidP="002C595F">
            <w:pPr>
              <w:pStyle w:val="ListBullet"/>
            </w:pPr>
            <w:r w:rsidRPr="002C595F">
              <w:t xml:space="preserve">site plan to locate the service point, consumers mains, communication services, main switchboard, distribution boards </w:t>
            </w:r>
            <w:r w:rsidRPr="002C595F">
              <w:t>and/or builders supplies.</w:t>
            </w:r>
          </w:p>
          <w:p w:rsidR="00000000" w:rsidRPr="002C595F" w:rsidP="002C595F">
            <w:pPr>
              <w:pStyle w:val="ListBullet"/>
            </w:pPr>
            <w:r w:rsidRPr="002C595F">
              <w:t>standard drawing scales to determine the actual lengths represented by dimensions on an architectural drawing.</w:t>
            </w:r>
          </w:p>
          <w:p w:rsidR="00000000" w:rsidRPr="002C595F" w:rsidP="002C595F">
            <w:pPr>
              <w:pStyle w:val="ListBullet"/>
            </w:pPr>
            <w:r w:rsidRPr="002C595F">
              <w:t xml:space="preserve">reading and interpretation of floor plans to determine the location of the electrical/ communication/audio accessories </w:t>
            </w:r>
            <w:r w:rsidRPr="002C595F">
              <w:t>and appliances.</w:t>
            </w:r>
          </w:p>
          <w:p w:rsidR="00000000" w:rsidRPr="002C595F" w:rsidP="002C595F">
            <w:pPr>
              <w:pStyle w:val="ListBullet"/>
            </w:pPr>
            <w:r w:rsidRPr="002C595F">
              <w:t>Australian standard symbols used on floor plans to show the location of the accessories and appliances as detailed in an electrical schedule.</w:t>
            </w:r>
          </w:p>
          <w:p w:rsidR="00000000" w:rsidRPr="002C595F" w:rsidP="002C595F">
            <w:pPr>
              <w:pStyle w:val="BodyText"/>
            </w:pPr>
            <w:r w:rsidRPr="002C595F">
              <w:t>T2</w:t>
            </w:r>
            <w:r w:rsidRPr="002C595F">
              <w:tab/>
              <w:t>Electrical drawings encompassing:</w:t>
            </w:r>
          </w:p>
          <w:p w:rsidR="00000000" w:rsidRPr="002C595F" w:rsidP="002C595F">
            <w:pPr>
              <w:pStyle w:val="ListBullet"/>
            </w:pPr>
            <w:r w:rsidRPr="002C595F">
              <w:t>types of electrical drawings: block, circuit, wiring and lad</w:t>
            </w:r>
            <w:r w:rsidRPr="002C595F">
              <w:t>der diagrams</w:t>
            </w:r>
          </w:p>
          <w:p w:rsidR="00000000" w:rsidRPr="002C595F" w:rsidP="002C595F">
            <w:pPr>
              <w:pStyle w:val="ListBullet"/>
            </w:pPr>
            <w:r w:rsidRPr="002C595F">
              <w:t>purpose and application of block, circuit, wiring diagrams and ladder diagrams</w:t>
            </w:r>
          </w:p>
          <w:p w:rsidR="00000000" w:rsidRPr="002C595F" w:rsidP="002C595F">
            <w:pPr>
              <w:pStyle w:val="ListBullet"/>
            </w:pPr>
            <w:r w:rsidRPr="002C595F">
              <w:t>Australian standard symbols used to represent components on electrical diagrams.</w:t>
            </w:r>
          </w:p>
          <w:p w:rsidR="00000000" w:rsidRPr="002C595F" w:rsidP="002C595F">
            <w:pPr>
              <w:pStyle w:val="ListBullet"/>
            </w:pPr>
            <w:r w:rsidRPr="002C595F">
              <w:t>conventions used in and the features of circuit diagrams</w:t>
            </w:r>
          </w:p>
          <w:p w:rsidR="00000000" w:rsidRPr="002C595F" w:rsidP="002C595F">
            <w:pPr>
              <w:pStyle w:val="ListBullet"/>
            </w:pPr>
            <w:r w:rsidRPr="002C595F">
              <w:t>converting a circuit diagr</w:t>
            </w:r>
            <w:r w:rsidRPr="002C595F">
              <w:t>am to a wiring diagram</w:t>
            </w:r>
          </w:p>
          <w:p w:rsidR="00000000" w:rsidRPr="002C595F" w:rsidP="002C595F">
            <w:pPr>
              <w:pStyle w:val="ListBullet"/>
            </w:pPr>
            <w:r w:rsidRPr="002C595F">
              <w:t>identification of cable type, origin and route from a cable schedule.</w:t>
            </w:r>
          </w:p>
          <w:p w:rsidR="00000000" w:rsidRPr="002C595F" w:rsidP="002C595F">
            <w:pPr>
              <w:pStyle w:val="ListBullet"/>
            </w:pPr>
            <w:r w:rsidRPr="002C595F">
              <w:t>developing a cable schedule for a given installation.</w:t>
            </w:r>
          </w:p>
          <w:p w:rsidR="00000000" w:rsidRPr="002C595F" w:rsidP="002C595F">
            <w:pPr>
              <w:pStyle w:val="BodyText"/>
            </w:pPr>
            <w:r w:rsidRPr="002C595F">
              <w:t>T3</w:t>
            </w:r>
            <w:r w:rsidRPr="002C595F">
              <w:tab/>
              <w:t>Circuit diagrams encompassing:</w:t>
            </w:r>
          </w:p>
          <w:p w:rsidR="00000000" w:rsidRPr="002C595F" w:rsidP="002C595F">
            <w:pPr>
              <w:pStyle w:val="ListBullet"/>
            </w:pPr>
            <w:r w:rsidRPr="002C595F">
              <w:t xml:space="preserve">purpose of circuit diagrams in the electrotechnology industry </w:t>
            </w:r>
          </w:p>
          <w:p w:rsidR="00000000" w:rsidRPr="002C595F" w:rsidP="002C595F">
            <w:pPr>
              <w:pStyle w:val="ListBullet"/>
            </w:pPr>
            <w:r w:rsidRPr="002C595F">
              <w:t>conventions</w:t>
            </w:r>
            <w:r w:rsidRPr="002C595F">
              <w:t xml:space="preserve"> used in and the features of circuit diagrams</w:t>
            </w:r>
          </w:p>
          <w:p w:rsidR="00000000" w:rsidRPr="002C595F" w:rsidP="002C595F">
            <w:pPr>
              <w:pStyle w:val="ListBullet"/>
            </w:pPr>
            <w:r w:rsidRPr="002C595F">
              <w:t>sketching basic circuit diagrams</w:t>
            </w:r>
          </w:p>
          <w:p w:rsidR="00000000" w:rsidRPr="002C595F" w:rsidP="002C595F">
            <w:pPr>
              <w:pStyle w:val="ListBullet"/>
            </w:pPr>
            <w:r w:rsidRPr="002C595F">
              <w:t>common symbols used in circuit diagram (Australian Drawing Standard AS/NZS 1102)</w:t>
            </w:r>
          </w:p>
          <w:p w:rsidR="00000000" w:rsidRPr="002C595F" w:rsidP="002C595F">
            <w:pPr>
              <w:pStyle w:val="ListBullet"/>
            </w:pPr>
            <w:r w:rsidRPr="002C595F">
              <w:t>developing switching charts to identify the terminals of various types of switches</w:t>
            </w:r>
          </w:p>
          <w:p w:rsidR="00000000" w:rsidRPr="002C595F" w:rsidP="002C595F">
            <w:pPr>
              <w:pStyle w:val="ListBullet"/>
            </w:pPr>
            <w:r w:rsidRPr="002C595F">
              <w:t>connecting eq</w:t>
            </w:r>
            <w:r w:rsidRPr="002C595F">
              <w:t>uipment using circuit diagrams.</w:t>
            </w:r>
          </w:p>
          <w:p w:rsidR="00000000" w:rsidRPr="002C595F" w:rsidP="002C595F">
            <w:pPr>
              <w:pStyle w:val="BodyText"/>
            </w:pPr>
            <w:r w:rsidRPr="002C595F">
              <w:t>T4</w:t>
            </w:r>
            <w:r w:rsidRPr="002C595F">
              <w:tab/>
              <w:t>Wiring diagrams encompassing:</w:t>
            </w:r>
          </w:p>
          <w:p w:rsidR="00000000" w:rsidRPr="002C595F" w:rsidP="002C595F">
            <w:pPr>
              <w:pStyle w:val="ListBullet"/>
            </w:pPr>
            <w:r w:rsidRPr="002C595F">
              <w:t xml:space="preserve">purpose of wiring diagrams in the electrotechnology industry </w:t>
            </w:r>
          </w:p>
          <w:p w:rsidR="00000000" w:rsidRPr="002C595F" w:rsidP="002C595F">
            <w:pPr>
              <w:pStyle w:val="ListBullet"/>
            </w:pPr>
            <w:r w:rsidRPr="002C595F">
              <w:t>conventions used in and the features of wiring diagrams</w:t>
            </w:r>
          </w:p>
          <w:p w:rsidR="00000000" w:rsidRPr="002C595F" w:rsidP="002C595F">
            <w:pPr>
              <w:pStyle w:val="ListBullet"/>
            </w:pPr>
            <w:r w:rsidRPr="002C595F">
              <w:t>sketching basic wiring diagrams</w:t>
            </w:r>
          </w:p>
          <w:p w:rsidR="00000000" w:rsidRPr="002C595F" w:rsidP="002C595F">
            <w:pPr>
              <w:pStyle w:val="ListBullet"/>
            </w:pPr>
            <w:r w:rsidRPr="002C595F">
              <w:t>common symbols used in wiring diagram (Australian Drawing Standard AS/NZS 1102)</w:t>
            </w:r>
          </w:p>
          <w:p w:rsidR="00000000" w:rsidRPr="002C595F" w:rsidP="002C595F">
            <w:pPr>
              <w:pStyle w:val="ListBullet"/>
            </w:pPr>
            <w:r w:rsidRPr="002C595F">
              <w:t>connecting equipment using wiring diagrams.</w:t>
            </w:r>
          </w:p>
          <w:p w:rsidR="00000000" w:rsidRPr="002C595F" w:rsidP="002C595F">
            <w:pPr>
              <w:pStyle w:val="BodyText"/>
            </w:pPr>
            <w:r w:rsidRPr="002C595F">
              <w:t>T5</w:t>
            </w:r>
            <w:r w:rsidRPr="002C595F">
              <w:tab/>
              <w:t xml:space="preserve">Building construction drawings and diagrams encompassing: </w:t>
            </w:r>
          </w:p>
          <w:p w:rsidR="00000000" w:rsidRPr="002C595F" w:rsidP="002C595F">
            <w:pPr>
              <w:pStyle w:val="ListBullet"/>
            </w:pPr>
            <w:r w:rsidRPr="002C595F">
              <w:t>building types: timber frame, brick veneer, double brick and metal fr</w:t>
            </w:r>
            <w:r w:rsidRPr="002C595F">
              <w:t>ame.</w:t>
            </w:r>
          </w:p>
          <w:p w:rsidR="00000000" w:rsidRPr="002C595F" w:rsidP="002C595F">
            <w:pPr>
              <w:pStyle w:val="ListBullet"/>
            </w:pPr>
            <w:r w:rsidRPr="002C595F">
              <w:t>identification of different types of: footings, floors, external walls, roofs, interior walls</w:t>
            </w:r>
          </w:p>
          <w:p w:rsidR="00000000" w:rsidRPr="002C595F" w:rsidP="002C595F">
            <w:pPr>
              <w:pStyle w:val="ListBullet"/>
            </w:pPr>
            <w:r w:rsidRPr="002C595F">
              <w:t>typical cable routes through buildings, structures and premises</w:t>
            </w:r>
          </w:p>
          <w:p w:rsidR="00000000" w:rsidRPr="002C595F" w:rsidP="002C595F">
            <w:pPr>
              <w:pStyle w:val="ListBullet"/>
            </w:pPr>
            <w:r w:rsidRPr="002C595F">
              <w:t>sequence of each constructional stage for brick, brick veneer and timber cottages</w:t>
            </w:r>
          </w:p>
          <w:p w:rsidR="00000000" w:rsidRPr="002C595F" w:rsidP="002C595F">
            <w:pPr>
              <w:pStyle w:val="ListBullet"/>
            </w:pPr>
            <w:r w:rsidRPr="002C595F">
              <w:t>identificat</w:t>
            </w:r>
            <w:r w:rsidRPr="002C595F">
              <w:t>ion of the stages at which the electrical/communications - first and second fixing occurs in the constructional sequence</w:t>
            </w:r>
          </w:p>
          <w:p w:rsidR="00000000" w:rsidRPr="002C595F" w:rsidP="002C595F">
            <w:pPr>
              <w:pStyle w:val="ListBullet"/>
            </w:pPr>
            <w:r w:rsidRPr="002C595F">
              <w:t>areas of cooperation between electrical/communications and other building trades</w:t>
            </w:r>
          </w:p>
          <w:p w:rsidR="00000000" w:rsidRPr="002C595F" w:rsidP="002C595F">
            <w:pPr>
              <w:pStyle w:val="BodyText"/>
            </w:pPr>
            <w:r w:rsidRPr="002C595F">
              <w:rPr>
                <w:rStyle w:val="SpecialBold"/>
              </w:rPr>
              <w:t>KS02-EE107A</w:t>
            </w:r>
            <w:r w:rsidRPr="002C595F">
              <w:rPr>
                <w:rStyle w:val="SpecialBold"/>
              </w:rPr>
              <w:tab/>
              <w:t xml:space="preserve">               Introduction to regulations</w:t>
            </w:r>
            <w:r w:rsidRPr="002C595F">
              <w:rPr>
                <w:rStyle w:val="SpecialBold"/>
              </w:rPr>
              <w:t>, compliance standards and codes</w:t>
            </w:r>
          </w:p>
          <w:p w:rsidR="00000000" w:rsidRPr="002C595F" w:rsidP="002C595F">
            <w:pPr>
              <w:pStyle w:val="BodyText"/>
            </w:pPr>
            <w:r w:rsidRPr="002C595F">
              <w:t>Evidence shall show an understanding of regulations, compliance standards and codes that apply to electrical work to an extent indicated by the following aspects:</w:t>
            </w:r>
          </w:p>
          <w:p w:rsidR="00000000" w:rsidRPr="002C595F" w:rsidP="002C595F">
            <w:pPr>
              <w:pStyle w:val="BodyText"/>
            </w:pPr>
            <w:r w:rsidRPr="002C595F">
              <w:t>T1</w:t>
            </w:r>
            <w:r w:rsidRPr="002C595F">
              <w:tab/>
              <w:t>Regulation for undertaking electrical work encompassing:</w:t>
            </w:r>
          </w:p>
          <w:p w:rsidR="00000000" w:rsidRPr="002C595F" w:rsidP="002C595F">
            <w:pPr>
              <w:pStyle w:val="ListBullet"/>
            </w:pPr>
            <w:r w:rsidRPr="002C595F">
              <w:t>scope of work covered by licensing in the electrotechnology industry (Electrical licensing)</w:t>
            </w:r>
          </w:p>
          <w:p w:rsidR="00000000" w:rsidRPr="002C595F" w:rsidP="002C595F">
            <w:pPr>
              <w:pStyle w:val="ListBullet"/>
            </w:pPr>
            <w:r w:rsidRPr="002C595F">
              <w:t>legislative requirements for ensuring electrical or electronic equipment is safe i.e. compliance requirements of electrical installations</w:t>
            </w:r>
          </w:p>
          <w:p w:rsidR="00000000" w:rsidRPr="002C595F" w:rsidP="002C595F">
            <w:pPr>
              <w:pStyle w:val="BodyText"/>
            </w:pPr>
            <w:r w:rsidRPr="002C595F">
              <w:t>T2</w:t>
            </w:r>
            <w:r w:rsidRPr="002C595F">
              <w:tab/>
              <w:t>Standards philosophy a</w:t>
            </w:r>
            <w:r w:rsidRPr="002C595F">
              <w:t>nd format encompassing:</w:t>
            </w:r>
          </w:p>
          <w:p w:rsidR="00000000" w:rsidRPr="002C595F" w:rsidP="002C595F">
            <w:pPr>
              <w:pStyle w:val="ListBullet"/>
            </w:pPr>
            <w:r w:rsidRPr="002C595F">
              <w:t>performance verses prescriptive requirements</w:t>
            </w:r>
          </w:p>
          <w:p w:rsidR="00000000" w:rsidRPr="002C595F" w:rsidP="002C595F">
            <w:pPr>
              <w:pStyle w:val="ListBullet"/>
            </w:pPr>
            <w:r w:rsidRPr="002C595F">
              <w:t>purpose of technical standards and their development</w:t>
            </w:r>
          </w:p>
          <w:p w:rsidR="00000000" w:rsidRPr="002C595F" w:rsidP="002C595F">
            <w:pPr>
              <w:pStyle w:val="ListBullet"/>
            </w:pPr>
            <w:r w:rsidRPr="002C595F">
              <w:t>role of standards Australia/New Zealand, International Organisation for Standardisation (ISO) and the International Electrotechnical Commission (IEC)</w:t>
            </w:r>
          </w:p>
          <w:p w:rsidR="00000000" w:rsidRPr="002C595F" w:rsidP="002C595F">
            <w:pPr>
              <w:pStyle w:val="ListBullet"/>
            </w:pPr>
            <w:r w:rsidRPr="002C595F">
              <w:t>how standards are used in compulsory and accreditation compliance schemes.</w:t>
            </w:r>
          </w:p>
          <w:p w:rsidR="00000000" w:rsidRPr="002C595F" w:rsidP="002C595F">
            <w:pPr>
              <w:pStyle w:val="ListBullet"/>
            </w:pPr>
            <w:r w:rsidRPr="002C595F">
              <w:t>arrangement and use of technica</w:t>
            </w:r>
            <w:r w:rsidRPr="002C595F">
              <w:t>l standards in relation to electrical and electronic work</w:t>
            </w:r>
          </w:p>
          <w:p w:rsidR="00000000" w:rsidRPr="002C595F" w:rsidP="002C595F">
            <w:pPr>
              <w:pStyle w:val="ListBullet"/>
            </w:pPr>
            <w:r w:rsidRPr="002C595F">
              <w:t>how to read and apply a standard.</w:t>
            </w:r>
          </w:p>
          <w:p w:rsidR="00000000" w:rsidRPr="002C595F" w:rsidP="002C595F">
            <w:pPr>
              <w:pStyle w:val="ListBullet"/>
            </w:pPr>
            <w:r w:rsidRPr="002C595F">
              <w:t>Standards and codes that apply to all types of electrical installations</w:t>
            </w:r>
          </w:p>
          <w:p w:rsidR="00000000" w:rsidRPr="002C595F" w:rsidP="002C595F">
            <w:pPr>
              <w:pStyle w:val="ListBullet"/>
            </w:pPr>
            <w:r w:rsidRPr="002C595F">
              <w:t>Standards include Standards mandated under regulation (e.g. Wiring Rules) or by an authority</w:t>
            </w:r>
            <w:r w:rsidRPr="002C595F">
              <w:t>, deemed-to-comply standard and local service requirements (e.g. Service rules).</w:t>
            </w:r>
          </w:p>
          <w:p w:rsidR="00000000" w:rsidRPr="002C595F" w:rsidP="002C595F">
            <w:pPr>
              <w:pStyle w:val="ListBullet"/>
            </w:pPr>
            <w:r w:rsidRPr="002C595F">
              <w:t>Codes include those applicable to electrical safe working practices and some aspects of the Building Code of Australia.</w:t>
            </w:r>
          </w:p>
          <w:p w:rsidR="00000000" w:rsidRPr="002C595F" w:rsidP="002C595F">
            <w:pPr>
              <w:pStyle w:val="BodyText"/>
            </w:pPr>
            <w:r w:rsidRPr="002C595F">
              <w:t>T3</w:t>
            </w:r>
            <w:r w:rsidRPr="002C595F">
              <w:tab/>
              <w:t>Purpose, format and content of typical job specifica</w:t>
            </w:r>
            <w:r w:rsidRPr="002C595F">
              <w:t>tions encompassing:</w:t>
            </w:r>
          </w:p>
          <w:p w:rsidR="00000000" w:rsidRPr="002C595F" w:rsidP="002C595F">
            <w:pPr>
              <w:pStyle w:val="ListBullet"/>
            </w:pPr>
            <w:r w:rsidRPr="002C595F">
              <w:t>NATSPEC specification system - provide the most common templates on which job specification are written.</w:t>
            </w:r>
          </w:p>
        </w:tc>
      </w:tr>
    </w:tbl>
    <w:p w:rsidR="0026106C" w:rsidP="002C595F">
      <w:pPr>
        <w:pStyle w:val="BodyText"/>
      </w:pPr>
    </w:p>
    <w:p w:rsidR="0026106C" w:rsidP="002C595F">
      <w:pPr>
        <w:pStyle w:val="BodyText"/>
      </w:pPr>
    </w:p>
    <w:p w:rsidR="00000000" w:rsidRPr="002C595F" w:rsidP="002C595F">
      <w:pPr>
        <w:pStyle w:val="Heading1"/>
      </w:pPr>
      <w:bookmarkStart w:id="10" w:name="O_584381"/>
      <w:bookmarkEnd w:id="10"/>
      <w:r w:rsidRPr="002C595F">
        <w:t>Evidence Guide</w:t>
      </w:r>
    </w:p>
    <w:tbl>
      <w:tblPr>
        <w:tblW w:w="0" w:type="auto"/>
        <w:tblLayout w:type="fixed"/>
        <w:tblCellMar>
          <w:left w:w="62" w:type="dxa"/>
          <w:right w:w="62" w:type="dxa"/>
        </w:tblCellMar>
        <w:tblLook w:val="0000"/>
      </w:tblPr>
      <w:tblGrid>
        <w:gridCol w:w="2160"/>
        <w:gridCol w:w="720"/>
        <w:gridCol w:w="948"/>
        <w:gridCol w:w="5040"/>
        <w:gridCol w:w="18"/>
      </w:tblGrid>
      <w:tr w:rsidTr="0026106C">
        <w:tblPrEx>
          <w:tblW w:w="0" w:type="auto"/>
          <w:tblLayout w:type="fixed"/>
          <w:tblCellMar>
            <w:left w:w="62" w:type="dxa"/>
            <w:right w:w="62" w:type="dxa"/>
          </w:tblCellMar>
          <w:tblLook w:val="0000"/>
        </w:tblPrEx>
        <w:trPr>
          <w:tblHeader/>
        </w:trPr>
        <w:tc>
          <w:tcPr>
            <w:tcW w:w="8886" w:type="dxa"/>
            <w:gridSpan w:val="5"/>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rPr>
                <w:rStyle w:val="SpecialBold"/>
              </w:rPr>
              <w:t>EVIDENCE GUIDE</w:t>
            </w:r>
          </w:p>
        </w:tc>
      </w:tr>
      <w:tr w:rsidTr="0026106C">
        <w:tblPrEx>
          <w:tblW w:w="0" w:type="auto"/>
          <w:tblLayout w:type="fixed"/>
          <w:tblCellMar>
            <w:left w:w="62" w:type="dxa"/>
            <w:right w:w="62" w:type="dxa"/>
          </w:tblCellMar>
          <w:tblLook w:val="0000"/>
        </w:tblPrEx>
        <w:tc>
          <w:tcPr>
            <w:tcW w:w="8886" w:type="dxa"/>
            <w:gridSpan w:val="5"/>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9</w:t>
            </w:r>
            <w:r w:rsidRPr="002C595F">
              <w:t xml:space="preserve">) The evidence guide provides advice on assessment and must be read in conjunction with the Performance Criteria, Required Skills and Knowledge, the Range Statement and the Assessment Guidelines for this Training Package. </w:t>
            </w:r>
          </w:p>
          <w:p w:rsidR="00000000" w:rsidP="002C595F">
            <w:pPr>
              <w:pStyle w:val="BodyText"/>
              <w:rPr>
                <w:lang w:val="en-NZ"/>
              </w:rPr>
            </w:pPr>
            <w:r w:rsidRPr="002C595F">
              <w:t>The Evidence Guide forms an integ</w:t>
            </w:r>
            <w:r w:rsidRPr="002C595F">
              <w:t>ral part of this unit. It must be used in conjunction with all parts of the unit and performed in accordance with the Assessment Guidelines of this Training Package.</w:t>
            </w:r>
          </w:p>
        </w:tc>
      </w:tr>
      <w:tr w:rsidTr="002610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Overview of Assessment</w:t>
            </w:r>
          </w:p>
        </w:tc>
        <w:tc>
          <w:tcPr>
            <w:tcW w:w="6726" w:type="dxa"/>
            <w:gridSpan w:val="4"/>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9</w:t>
            </w:r>
            <w:r w:rsidRPr="002C595F">
              <w:t>.</w:t>
            </w:r>
            <w:r w:rsidRPr="002C595F">
              <w:rPr>
                <w:rStyle w:val="SpecialBold"/>
              </w:rPr>
              <w:t>1</w:t>
            </w:r>
            <w:r w:rsidRPr="002C595F">
              <w:t xml:space="preserve">) </w:t>
            </w:r>
          </w:p>
          <w:p w:rsidR="00000000" w:rsidRPr="002C595F" w:rsidP="002C595F">
            <w:pPr>
              <w:pStyle w:val="BodyText"/>
            </w:pPr>
            <w:r w:rsidRPr="002C595F">
              <w:t>Longitudinal competency development approaches to assessm</w:t>
            </w:r>
            <w:r w:rsidRPr="002C595F">
              <w:t>ent, such as Profiling, require data to be reliably gathered in a form that can be consistently interpreted over time. This approach is best utilised in Apprenticeship programs and reduces assessment intervention. It is the industry-preferred model for app</w:t>
            </w:r>
            <w:r w:rsidRPr="002C595F">
              <w:t xml:space="preserve">renticeships. However, where summative (or final) assessment is used it is to include the application of the competency in the normal work environment or, at a minimum, the application of the competency in a realistically simulated work environment. It is </w:t>
            </w:r>
            <w:r w:rsidRPr="002C595F">
              <w:t>recognised that, in some circumstances, assessment in part or full can occur outside the workplace. However, it must be in accordance with industry and regulatory policy.</w:t>
            </w:r>
          </w:p>
          <w:p w:rsidR="00000000" w:rsidRPr="002C595F" w:rsidP="002C595F">
            <w:pPr>
              <w:pStyle w:val="BodyText"/>
            </w:pPr>
            <w:r w:rsidRPr="002C595F">
              <w:t>Methods chosen for a particular assessment will be influenced by various factors. The</w:t>
            </w:r>
            <w:r w:rsidRPr="002C595F">
              <w:t>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2C595F" w:rsidP="002C595F">
            <w:pPr>
              <w:pStyle w:val="BodyText"/>
            </w:pPr>
            <w:r w:rsidRPr="002C595F">
              <w:t>The critical safety nature of working with electricity, electrical equipment, gas or any other hazardous substance/material carries risk in deeming a person competent. Sources of evidence need to be 'rich' in nature to minimise error in judgment.</w:t>
            </w:r>
          </w:p>
          <w:p w:rsidR="00000000" w:rsidP="002C595F">
            <w:pPr>
              <w:pStyle w:val="BodyText"/>
              <w:rPr>
                <w:lang w:val="en-NZ"/>
              </w:rPr>
            </w:pPr>
            <w:r w:rsidRPr="002C595F">
              <w:t>Activitie</w:t>
            </w:r>
            <w:r w:rsidRPr="002C595F">
              <w:t>s associated with normal everyday work have a bearing on the decision as to how much and how detailed the data gathered will contribute to its 'richness'. Some skills are more critical to safety and operational requirements while the same skills may be mor</w:t>
            </w:r>
            <w:r w:rsidRPr="002C595F">
              <w:t>e or less frequently practised. These points are raised for the assessors to consider when choosing an assessment method and developing assessment instruments. Sample assessment instruments are included for Assessors in the Assessment Guidelines of this Tr</w:t>
            </w:r>
            <w:r w:rsidRPr="002C595F">
              <w:t>aining Package.</w:t>
            </w:r>
          </w:p>
        </w:tc>
      </w:tr>
      <w:tr w:rsidTr="0026106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 xml:space="preserve">Critical aspects of evidence required to demonstrate </w:t>
            </w:r>
            <w:r w:rsidRPr="002C595F">
              <w:rPr>
                <w:rStyle w:val="SpecialBold"/>
              </w:rPr>
              <w:t>competency in this unit</w:t>
            </w:r>
          </w:p>
        </w:tc>
        <w:tc>
          <w:tcPr>
            <w:tcW w:w="6726" w:type="dxa"/>
            <w:gridSpan w:val="4"/>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9</w:t>
            </w:r>
            <w:r w:rsidRPr="002C595F">
              <w:t>.</w:t>
            </w:r>
            <w:r w:rsidRPr="002C595F">
              <w:rPr>
                <w:rStyle w:val="SpecialBold"/>
              </w:rPr>
              <w:t>2</w:t>
            </w:r>
            <w:r w:rsidRPr="002C595F">
              <w:t xml:space="preserve">) </w:t>
            </w:r>
          </w:p>
          <w:p w:rsidR="00000000" w:rsidP="002C595F">
            <w:pPr>
              <w:pStyle w:val="BodyText"/>
              <w:rPr>
                <w:lang w:val="en-NZ"/>
              </w:rPr>
            </w:pPr>
            <w:r w:rsidRPr="002C595F">
              <w:t>Before the critical aspects of evidence are considered all prerequisites must be met.</w:t>
            </w:r>
          </w:p>
        </w:tc>
      </w:tr>
      <w:tr w:rsidTr="0026106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26" w:type="dxa"/>
            <w:gridSpan w:val="4"/>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t>Evidence for competence in this unit shall be considered holisti</w:t>
            </w:r>
            <w:r w:rsidRPr="002C595F">
              <w:t>cally.  Each element and associated performance criteria shall be demonstrated on at least two occasions in accordance with the 'Assessment Guidelines - UEE07'.  Evidence shall also comprise:</w:t>
            </w:r>
          </w:p>
          <w:p w:rsidR="00000000" w:rsidP="002C595F">
            <w:pPr>
              <w:pStyle w:val="ListBullet"/>
              <w:rPr>
                <w:lang w:val="en-NZ"/>
              </w:rPr>
            </w:pPr>
            <w:r w:rsidRPr="002C595F">
              <w:t>A representative body of work performance demonstrated within t</w:t>
            </w:r>
            <w:r w:rsidRPr="002C595F">
              <w:t>he timeframes typically expected of the discipline, work function and industrial environment. In particular this shall incorporate evidence that shows a candidate is able to:</w:t>
            </w:r>
          </w:p>
        </w:tc>
      </w:tr>
      <w:tr w:rsidTr="002610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p>
        </w:tc>
        <w:tc>
          <w:tcPr>
            <w:tcW w:w="6726" w:type="dxa"/>
            <w:gridSpan w:val="4"/>
            <w:tcBorders>
              <w:top w:val="nil"/>
              <w:left w:val="nil"/>
              <w:bottom w:val="nil"/>
              <w:right w:val="nil"/>
            </w:tcBorders>
            <w:tcMar>
              <w:top w:w="0" w:type="dxa"/>
              <w:left w:w="62" w:type="dxa"/>
              <w:bottom w:w="0" w:type="dxa"/>
              <w:right w:w="62" w:type="dxa"/>
            </w:tcMar>
          </w:tcPr>
          <w:p w:rsidR="00000000" w:rsidRPr="002C595F" w:rsidP="002C595F">
            <w:pPr>
              <w:pStyle w:val="ListBullet2"/>
            </w:pPr>
            <w:r w:rsidRPr="002C595F">
              <w:t>Implement Occupational Health and Safety workplace procedures and practices, including the use of risk control measures as specified in the performance criteria and range statement</w:t>
            </w:r>
          </w:p>
          <w:p w:rsidR="00000000" w:rsidRPr="002C595F" w:rsidP="002C595F">
            <w:pPr>
              <w:pStyle w:val="ListBullet2"/>
            </w:pPr>
            <w:r w:rsidRPr="002C595F">
              <w:t>Apply sustainable energy principles and practices as specified in the performance criteria and range statement</w:t>
            </w:r>
          </w:p>
          <w:p w:rsidR="00000000" w:rsidRPr="002C595F" w:rsidP="002C595F">
            <w:pPr>
              <w:pStyle w:val="ListBullet2"/>
            </w:pPr>
            <w:r w:rsidRPr="002C595F">
              <w:t>Demonstrate an understanding of the essential knowledge and associated skills as described in this unit.  It may be required by some jurisdiction</w:t>
            </w:r>
            <w:r w:rsidRPr="002C595F">
              <w:t xml:space="preserve">s that RTOs provide a percentile graded result for the purpose of regulatory or licensing requirements.   </w:t>
            </w:r>
          </w:p>
          <w:p w:rsidR="00000000" w:rsidRPr="002C595F" w:rsidP="002C595F">
            <w:pPr>
              <w:pStyle w:val="ListBullet2"/>
            </w:pPr>
            <w:r w:rsidRPr="002C595F">
              <w:t>Demonstrate an appropriate level of skills enabling employment</w:t>
            </w:r>
          </w:p>
          <w:p w:rsidR="00000000" w:rsidP="002C595F">
            <w:pPr>
              <w:pStyle w:val="ListBullet2"/>
              <w:rPr>
                <w:lang w:val="en-NZ"/>
              </w:rPr>
            </w:pPr>
            <w:r w:rsidRPr="002C595F">
              <w:t>Conduct work observing the relevant Anti Discrimination legislation, regulations, poli</w:t>
            </w:r>
            <w:r w:rsidRPr="002C595F">
              <w:t>ces and workplace procedures</w:t>
            </w:r>
          </w:p>
        </w:tc>
      </w:tr>
      <w:tr w:rsidTr="002610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p>
        </w:tc>
        <w:tc>
          <w:tcPr>
            <w:tcW w:w="6726" w:type="dxa"/>
            <w:gridSpan w:val="4"/>
            <w:tcBorders>
              <w:top w:val="nil"/>
              <w:left w:val="nil"/>
              <w:bottom w:val="nil"/>
              <w:right w:val="nil"/>
            </w:tcBorders>
            <w:tcMar>
              <w:top w:w="0" w:type="dxa"/>
              <w:left w:w="62" w:type="dxa"/>
              <w:bottom w:w="0" w:type="dxa"/>
              <w:right w:w="62" w:type="dxa"/>
            </w:tcMar>
          </w:tcPr>
          <w:p w:rsidR="00000000" w:rsidP="002C595F">
            <w:pPr>
              <w:pStyle w:val="ListBullet"/>
              <w:rPr>
                <w:lang w:val="en-NZ"/>
              </w:rPr>
            </w:pPr>
            <w:r w:rsidRPr="002C595F">
              <w:t>Demonstrated consistent performance across a representative range of contexts from the prescribed items below:</w:t>
            </w:r>
          </w:p>
        </w:tc>
      </w:tr>
      <w:tr w:rsidTr="002610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p>
        </w:tc>
        <w:tc>
          <w:tcPr>
            <w:tcW w:w="6726" w:type="dxa"/>
            <w:gridSpan w:val="4"/>
            <w:tcBorders>
              <w:top w:val="nil"/>
              <w:left w:val="nil"/>
              <w:bottom w:val="nil"/>
              <w:right w:val="nil"/>
            </w:tcBorders>
            <w:tcMar>
              <w:top w:w="0" w:type="dxa"/>
              <w:left w:w="62" w:type="dxa"/>
              <w:bottom w:w="0" w:type="dxa"/>
              <w:right w:w="62" w:type="dxa"/>
            </w:tcMar>
          </w:tcPr>
          <w:p w:rsidR="00000000" w:rsidP="002C595F">
            <w:pPr>
              <w:pStyle w:val="ListBullet2"/>
              <w:rPr>
                <w:lang w:val="en-NZ"/>
              </w:rPr>
            </w:pPr>
            <w:r w:rsidRPr="002C595F">
              <w:t xml:space="preserve">Use drawings, diagrams, schedules, standards, codes and specifications as described in </w:t>
            </w:r>
            <w:r w:rsidRPr="002C595F">
              <w:t>8) Range and including:</w:t>
            </w:r>
          </w:p>
        </w:tc>
      </w:tr>
      <w:tr w:rsidTr="0026106C">
        <w:tblPrEx>
          <w:tblW w:w="0" w:type="auto"/>
          <w:tblLayout w:type="fixed"/>
          <w:tblCellMar>
            <w:left w:w="62" w:type="dxa"/>
            <w:right w:w="62" w:type="dxa"/>
          </w:tblCellMar>
          <w:tblLook w:val="0000"/>
        </w:tblPrEx>
        <w:trPr>
          <w:gridAfter w:val="1"/>
          <w:wAfter w:w="1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A</w:t>
            </w:r>
          </w:p>
        </w:tc>
        <w:tc>
          <w:tcPr>
            <w:tcW w:w="504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Identifying drawings, diagrams, schedules and manuals relevant to the work to be undertaken.</w:t>
            </w:r>
          </w:p>
        </w:tc>
      </w:tr>
      <w:tr w:rsidTr="0026106C">
        <w:tblPrEx>
          <w:tblW w:w="0" w:type="auto"/>
          <w:tblLayout w:type="fixed"/>
          <w:tblCellMar>
            <w:left w:w="62" w:type="dxa"/>
            <w:right w:w="62" w:type="dxa"/>
          </w:tblCellMar>
          <w:tblLook w:val="0000"/>
        </w:tblPrEx>
        <w:trPr>
          <w:gridAfter w:val="1"/>
          <w:wAfter w:w="1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B</w:t>
            </w:r>
          </w:p>
        </w:tc>
        <w:tc>
          <w:tcPr>
            <w:tcW w:w="504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Interpreting drawings, diagrams, schedules and manuals correctly.</w:t>
            </w:r>
          </w:p>
        </w:tc>
      </w:tr>
      <w:tr w:rsidTr="0026106C">
        <w:tblPrEx>
          <w:tblW w:w="0" w:type="auto"/>
          <w:tblLayout w:type="fixed"/>
          <w:tblCellMar>
            <w:left w:w="62" w:type="dxa"/>
            <w:right w:w="62" w:type="dxa"/>
          </w:tblCellMar>
          <w:tblLook w:val="0000"/>
        </w:tblPrEx>
        <w:trPr>
          <w:gridAfter w:val="1"/>
          <w:wAfter w:w="1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C</w:t>
            </w:r>
          </w:p>
        </w:tc>
        <w:tc>
          <w:tcPr>
            <w:tcW w:w="504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Using correct conventions in freehand drawings.</w:t>
            </w:r>
          </w:p>
        </w:tc>
      </w:tr>
      <w:tr w:rsidTr="0026106C">
        <w:tblPrEx>
          <w:tblW w:w="0" w:type="auto"/>
          <w:tblLayout w:type="fixed"/>
          <w:tblCellMar>
            <w:left w:w="62" w:type="dxa"/>
            <w:right w:w="62" w:type="dxa"/>
          </w:tblCellMar>
          <w:tblLook w:val="0000"/>
        </w:tblPrEx>
        <w:trPr>
          <w:gridAfter w:val="1"/>
          <w:wAfter w:w="1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D</w:t>
            </w:r>
          </w:p>
        </w:tc>
        <w:tc>
          <w:tcPr>
            <w:tcW w:w="504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Giving correct information in freehand drawings.</w:t>
            </w:r>
          </w:p>
        </w:tc>
      </w:tr>
      <w:tr w:rsidTr="0026106C">
        <w:tblPrEx>
          <w:tblW w:w="0" w:type="auto"/>
          <w:tblLayout w:type="fixed"/>
          <w:tblCellMar>
            <w:left w:w="62" w:type="dxa"/>
            <w:right w:w="62" w:type="dxa"/>
          </w:tblCellMar>
          <w:tblLook w:val="0000"/>
        </w:tblPrEx>
        <w:trPr>
          <w:gridAfter w:val="1"/>
          <w:wAfter w:w="1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E</w:t>
            </w:r>
          </w:p>
        </w:tc>
        <w:tc>
          <w:tcPr>
            <w:tcW w:w="504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Obtaining compliance Standards and Codes applicable to particular disciplines</w:t>
            </w:r>
          </w:p>
        </w:tc>
      </w:tr>
      <w:tr w:rsidTr="0026106C">
        <w:tblPrEx>
          <w:tblW w:w="0" w:type="auto"/>
          <w:tblLayout w:type="fixed"/>
          <w:tblCellMar>
            <w:left w:w="62" w:type="dxa"/>
            <w:right w:w="62" w:type="dxa"/>
          </w:tblCellMar>
          <w:tblLook w:val="0000"/>
        </w:tblPrEx>
        <w:trPr>
          <w:gridAfter w:val="1"/>
          <w:wAfter w:w="1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F</w:t>
            </w:r>
          </w:p>
        </w:tc>
        <w:tc>
          <w:tcPr>
            <w:tcW w:w="504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Reviewing and understanding the format of compliance Standards and Codes that apply to particular disciplines</w:t>
            </w:r>
          </w:p>
        </w:tc>
      </w:tr>
      <w:tr w:rsidTr="0026106C">
        <w:tblPrEx>
          <w:tblW w:w="0" w:type="auto"/>
          <w:tblLayout w:type="fixed"/>
          <w:tblCellMar>
            <w:left w:w="62" w:type="dxa"/>
            <w:right w:w="62" w:type="dxa"/>
          </w:tblCellMar>
          <w:tblLook w:val="0000"/>
        </w:tblPrEx>
        <w:trPr>
          <w:gridAfter w:val="1"/>
          <w:wAfter w:w="1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G</w:t>
            </w:r>
          </w:p>
        </w:tc>
        <w:tc>
          <w:tcPr>
            <w:tcW w:w="504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Reviewing the format and content of typical job specifications.</w:t>
            </w:r>
          </w:p>
        </w:tc>
      </w:tr>
      <w:tr w:rsidTr="0026106C">
        <w:tblPrEx>
          <w:tblW w:w="0" w:type="auto"/>
          <w:tblLayout w:type="fixed"/>
          <w:tblCellMar>
            <w:left w:w="62" w:type="dxa"/>
            <w:right w:w="62" w:type="dxa"/>
          </w:tblCellMar>
          <w:tblLook w:val="0000"/>
        </w:tblPrEx>
        <w:trPr>
          <w:gridAfter w:val="1"/>
          <w:wAfter w:w="1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H</w:t>
            </w:r>
          </w:p>
        </w:tc>
        <w:tc>
          <w:tcPr>
            <w:tcW w:w="504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 xml:space="preserve">Dealing with unplanned events </w:t>
            </w:r>
          </w:p>
        </w:tc>
      </w:tr>
      <w:tr w:rsidTr="002610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Context of and specific resources for assessment</w:t>
            </w:r>
          </w:p>
        </w:tc>
        <w:tc>
          <w:tcPr>
            <w:tcW w:w="6726" w:type="dxa"/>
            <w:gridSpan w:val="4"/>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9</w:t>
            </w:r>
            <w:r w:rsidRPr="002C595F">
              <w:t>.</w:t>
            </w:r>
            <w:r w:rsidRPr="002C595F">
              <w:rPr>
                <w:rStyle w:val="SpecialBold"/>
              </w:rPr>
              <w:t>3</w:t>
            </w:r>
            <w:r w:rsidRPr="002C595F">
              <w:t xml:space="preserve">) </w:t>
            </w:r>
          </w:p>
          <w:p w:rsidR="00000000" w:rsidRPr="002C595F" w:rsidP="002C595F">
            <w:pPr>
              <w:pStyle w:val="BodyText"/>
            </w:pPr>
            <w:r w:rsidRPr="002C595F">
              <w:t>This unit should be assessed as it relates to normal work practice using procedures, information and</w:t>
            </w:r>
            <w:r w:rsidRPr="002C595F">
              <w:t xml:space="preserve"> resources typical of a workplace. This should include:</w:t>
            </w:r>
          </w:p>
          <w:p w:rsidR="00000000" w:rsidRPr="002C595F" w:rsidP="002C595F">
            <w:pPr>
              <w:pStyle w:val="ListBullet"/>
            </w:pPr>
            <w:r w:rsidRPr="002C595F">
              <w:t>OHS policy and work procedures and instructions.</w:t>
            </w:r>
          </w:p>
          <w:p w:rsidR="00000000" w:rsidRPr="002C595F" w:rsidP="002C595F">
            <w:pPr>
              <w:pStyle w:val="ListBullet"/>
            </w:pPr>
            <w:r w:rsidRPr="002C595F">
              <w:t>Suitable work environment, facilities, equipment and materials to undertake actual work as prescribed in this unit.</w:t>
            </w:r>
          </w:p>
          <w:p w:rsidR="00000000" w:rsidRPr="002C595F" w:rsidP="002C595F">
            <w:pPr>
              <w:pStyle w:val="BodyText"/>
            </w:pPr>
            <w:r w:rsidRPr="002C595F">
              <w:t>These should be used in the formal learning/assessment environment.</w:t>
            </w:r>
          </w:p>
          <w:p w:rsidR="00000000" w:rsidRPr="002C595F" w:rsidP="002C595F">
            <w:pPr>
              <w:pStyle w:val="BodyText"/>
            </w:pPr>
            <w:r w:rsidRPr="002C595F">
              <w:t>Note:</w:t>
            </w:r>
          </w:p>
          <w:p w:rsidR="00000000" w:rsidP="002C595F">
            <w:pPr>
              <w:pStyle w:val="BodyText"/>
              <w:rPr>
                <w:lang w:val="en-NZ"/>
              </w:rPr>
            </w:pPr>
            <w:r w:rsidRPr="002C595F">
              <w:t>Where simulation is considered a suitable strategy for assessment, conditions for assessment must be authentic and as far as possible reproduce and replicate the workplace and be con</w:t>
            </w:r>
            <w:r w:rsidRPr="002C595F">
              <w:t>sistent with the approved industry simulation policy.</w:t>
            </w:r>
          </w:p>
        </w:tc>
      </w:tr>
      <w:tr w:rsidTr="002610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26" w:type="dxa"/>
            <w:gridSpan w:val="4"/>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The resources used for assessment should reflect current industry practices in relation to using drawings, diagrams, schedules and manuals.</w:t>
            </w:r>
          </w:p>
        </w:tc>
      </w:tr>
      <w:tr w:rsidTr="002610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Method of assessment</w:t>
            </w:r>
          </w:p>
        </w:tc>
        <w:tc>
          <w:tcPr>
            <w:tcW w:w="6726" w:type="dxa"/>
            <w:gridSpan w:val="4"/>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9</w:t>
            </w:r>
            <w:r w:rsidRPr="002C595F">
              <w:t>.</w:t>
            </w:r>
            <w:r w:rsidRPr="002C595F">
              <w:rPr>
                <w:rStyle w:val="SpecialBold"/>
              </w:rPr>
              <w:t>4</w:t>
            </w:r>
            <w:r w:rsidRPr="002C595F">
              <w:t xml:space="preserve">) </w:t>
            </w:r>
          </w:p>
          <w:p w:rsidR="00000000" w:rsidRPr="002C595F" w:rsidP="002C595F">
            <w:pPr>
              <w:pStyle w:val="BodyText"/>
            </w:pPr>
            <w:r w:rsidRPr="002C595F">
              <w:t>This unit shall be assessed by methods given in Volume 1, Part 3 'Assessment Guidelines'.</w:t>
            </w:r>
          </w:p>
          <w:p w:rsidR="00000000" w:rsidP="002C595F">
            <w:pPr>
              <w:pStyle w:val="BodyText"/>
              <w:rPr>
                <w:lang w:val="en-NZ"/>
              </w:rPr>
            </w:pPr>
            <w:r w:rsidRPr="002C595F">
              <w:t xml:space="preserve">Note: </w:t>
            </w:r>
            <w:r w:rsidRPr="002C595F">
              <w:br/>
              <w:t>Competent performance with inherent safe working practices is expected in the Industry to which this unit applies. This requires that the specified essential k</w:t>
            </w:r>
            <w:r w:rsidRPr="002C595F">
              <w:t>nowledge and associated skills are assessed in a structured environment which is primarily intended for learning/assessment and incorporates all necessary equipment and facilities for learners to develop and demonstrate the essential knowledge and skills d</w:t>
            </w:r>
            <w:r w:rsidRPr="002C595F">
              <w:t>escribed in this unit.</w:t>
            </w:r>
          </w:p>
        </w:tc>
      </w:tr>
      <w:tr w:rsidTr="0026106C">
        <w:tblPrEx>
          <w:tblW w:w="0" w:type="auto"/>
          <w:tblLayout w:type="fixed"/>
          <w:tblCellMar>
            <w:left w:w="62" w:type="dxa"/>
            <w:right w:w="62" w:type="dxa"/>
          </w:tblCellMar>
          <w:tblLook w:val="0000"/>
        </w:tblPrEx>
        <w:tc>
          <w:tcPr>
            <w:tcW w:w="2160" w:type="dxa"/>
            <w:vMerge w:val="restart"/>
            <w:tcBorders>
              <w:top w:val="nil"/>
              <w:left w:val="nil"/>
              <w:bottom w:val="single" w:sz="6" w:space="0" w:color="auto"/>
              <w:right w:val="nil"/>
            </w:tcBorders>
            <w:tcMar>
              <w:top w:w="0" w:type="dxa"/>
              <w:left w:w="62" w:type="dxa"/>
              <w:bottom w:w="0" w:type="dxa"/>
              <w:right w:w="62" w:type="dxa"/>
            </w:tcMar>
          </w:tcPr>
          <w:p w:rsidR="00000000" w:rsidRPr="002C595F" w:rsidP="002C595F">
            <w:pPr>
              <w:pStyle w:val="BodyText"/>
            </w:pPr>
            <w:r w:rsidRPr="002C595F">
              <w:rPr>
                <w:rStyle w:val="SpecialBold"/>
              </w:rPr>
              <w:t>Concurrent assessment and relationship with other units</w:t>
            </w:r>
          </w:p>
        </w:tc>
        <w:tc>
          <w:tcPr>
            <w:tcW w:w="6726" w:type="dxa"/>
            <w:gridSpan w:val="4"/>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rPr>
                <w:rStyle w:val="SpecialBold"/>
              </w:rPr>
              <w:t>9</w:t>
            </w:r>
            <w:r w:rsidRPr="002C595F">
              <w:t>.</w:t>
            </w:r>
            <w:r w:rsidRPr="002C595F">
              <w:rPr>
                <w:rStyle w:val="SpecialBold"/>
              </w:rPr>
              <w:t>5</w:t>
            </w:r>
            <w:r w:rsidRPr="002C595F">
              <w:t>)</w:t>
            </w:r>
          </w:p>
        </w:tc>
      </w:tr>
      <w:tr w:rsidTr="0026106C">
        <w:tblPrEx>
          <w:tblW w:w="0" w:type="auto"/>
          <w:tblLayout w:type="fixed"/>
          <w:tblCellMar>
            <w:left w:w="62" w:type="dxa"/>
            <w:right w:w="62" w:type="dxa"/>
          </w:tblCellMar>
          <w:tblLook w:val="0000"/>
        </w:tblPrEx>
        <w:tc>
          <w:tcPr>
            <w:tcW w:w="21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26" w:type="dxa"/>
            <w:gridSpan w:val="4"/>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t>For optimisation of training and assessment effort, competency development in this unit may be arranged concurrently with units covering the use of drawings, diagram</w:t>
            </w:r>
            <w:r w:rsidRPr="002C595F">
              <w:t>s, schedules, standards, codes or specifications is required.</w:t>
            </w:r>
          </w:p>
        </w:tc>
      </w:tr>
    </w:tbl>
    <w:p w:rsidR="0026106C" w:rsidP="002C595F">
      <w:pPr>
        <w:pStyle w:val="BodyText"/>
      </w:pPr>
    </w:p>
    <w:p w:rsidR="0026106C" w:rsidP="002C595F">
      <w:pPr>
        <w:pStyle w:val="BodyText"/>
      </w:pPr>
    </w:p>
    <w:p w:rsidR="00000000" w:rsidRPr="002C595F" w:rsidP="002C595F">
      <w:pPr>
        <w:pStyle w:val="Heading1"/>
      </w:pPr>
      <w:bookmarkStart w:id="11" w:name="O_584380"/>
      <w:bookmarkEnd w:id="11"/>
      <w:r w:rsidRPr="002C595F">
        <w:t>Range Statement</w:t>
      </w:r>
    </w:p>
    <w:tbl>
      <w:tblPr>
        <w:tblW w:w="0" w:type="auto"/>
        <w:tblLayout w:type="fixed"/>
        <w:tblCellMar>
          <w:left w:w="62" w:type="dxa"/>
          <w:right w:w="62" w:type="dxa"/>
        </w:tblCellMar>
        <w:tblLook w:val="0000"/>
      </w:tblPr>
      <w:tblGrid>
        <w:gridCol w:w="2160"/>
        <w:gridCol w:w="6726"/>
      </w:tblGrid>
      <w:tr w:rsidTr="0026106C">
        <w:tblPrEx>
          <w:tblW w:w="0" w:type="auto"/>
          <w:tblLayout w:type="fixed"/>
          <w:tblCellMar>
            <w:left w:w="62" w:type="dxa"/>
            <w:right w:w="62" w:type="dxa"/>
          </w:tblCellMar>
          <w:tblLook w:val="0000"/>
        </w:tblPrEx>
        <w:trPr>
          <w:tblHeader/>
        </w:trPr>
        <w:tc>
          <w:tcPr>
            <w:tcW w:w="8886" w:type="dxa"/>
            <w:gridSpan w:val="2"/>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rPr>
                <w:rStyle w:val="SpecialBold"/>
              </w:rPr>
              <w:t>RANGE STATEMENT</w:t>
            </w:r>
          </w:p>
        </w:tc>
      </w:tr>
      <w:tr w:rsidTr="0026106C">
        <w:tblPrEx>
          <w:tblW w:w="0" w:type="auto"/>
          <w:tblLayout w:type="fixed"/>
          <w:tblCellMar>
            <w:left w:w="62" w:type="dxa"/>
            <w:right w:w="62" w:type="dxa"/>
          </w:tblCellMar>
          <w:tblLook w:val="0000"/>
        </w:tblPrEx>
        <w:tc>
          <w:tcPr>
            <w:tcW w:w="8886" w:type="dxa"/>
            <w:gridSpan w:val="2"/>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rPr>
                <w:rStyle w:val="SpecialBold"/>
              </w:rPr>
              <w:t>8</w:t>
            </w:r>
            <w:r w:rsidRPr="002C595F">
              <w:t xml:space="preserve">) This relates to the unit as a whole providing the range of contexts and conditions to which the performance </w:t>
            </w:r>
            <w:r w:rsidRPr="002C595F">
              <w:t>criteria apply. It allows for different work environments and situations that will affect performance.</w:t>
            </w:r>
          </w:p>
        </w:tc>
      </w:tr>
      <w:tr w:rsidTr="0026106C">
        <w:tblPrEx>
          <w:tblW w:w="0" w:type="auto"/>
          <w:tblLayout w:type="fixed"/>
          <w:tblCellMar>
            <w:left w:w="62" w:type="dxa"/>
            <w:right w:w="62" w:type="dxa"/>
          </w:tblCellMar>
          <w:tblLook w:val="0000"/>
        </w:tblPrEx>
        <w:tc>
          <w:tcPr>
            <w:tcW w:w="8886" w:type="dxa"/>
            <w:gridSpan w:val="2"/>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This unit shall be demonstrated in relation to assembly, installation, fault finding, maintenance or development work functions in any of the following</w:t>
            </w:r>
            <w:r w:rsidRPr="002C595F">
              <w:t xml:space="preserve"> disciplines:</w:t>
            </w:r>
          </w:p>
        </w:tc>
      </w:tr>
      <w:tr w:rsidTr="002610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p>
        </w:tc>
        <w:tc>
          <w:tcPr>
            <w:tcW w:w="6726" w:type="dxa"/>
            <w:tcBorders>
              <w:top w:val="nil"/>
              <w:left w:val="nil"/>
              <w:bottom w:val="nil"/>
              <w:right w:val="nil"/>
            </w:tcBorders>
            <w:tcMar>
              <w:top w:w="0" w:type="dxa"/>
              <w:left w:w="62" w:type="dxa"/>
              <w:bottom w:w="0" w:type="dxa"/>
              <w:right w:w="62" w:type="dxa"/>
            </w:tcMar>
          </w:tcPr>
          <w:p w:rsidR="00000000" w:rsidRPr="002C595F" w:rsidP="002C595F">
            <w:pPr>
              <w:pStyle w:val="ListBullet"/>
            </w:pPr>
            <w:r w:rsidRPr="002C595F">
              <w:t>Appliances</w:t>
            </w:r>
          </w:p>
          <w:p w:rsidR="00000000" w:rsidRPr="002C595F" w:rsidP="002C595F">
            <w:pPr>
              <w:pStyle w:val="ListBullet"/>
            </w:pPr>
            <w:r w:rsidRPr="002C595F">
              <w:t>Business equipment</w:t>
            </w:r>
          </w:p>
          <w:p w:rsidR="00000000" w:rsidRPr="002C595F" w:rsidP="002C595F">
            <w:pPr>
              <w:pStyle w:val="ListBullet"/>
            </w:pPr>
            <w:r w:rsidRPr="002C595F">
              <w:t xml:space="preserve">Computers </w:t>
            </w:r>
          </w:p>
          <w:p w:rsidR="00000000" w:rsidRPr="002C595F" w:rsidP="002C595F">
            <w:pPr>
              <w:pStyle w:val="ListBullet"/>
            </w:pPr>
            <w:r w:rsidRPr="002C595F">
              <w:t>Data Communications</w:t>
            </w:r>
          </w:p>
          <w:p w:rsidR="00000000" w:rsidRPr="002C595F" w:rsidP="002C595F">
            <w:pPr>
              <w:pStyle w:val="ListBullet"/>
            </w:pPr>
            <w:r w:rsidRPr="002C595F">
              <w:t>Electrical</w:t>
            </w:r>
          </w:p>
          <w:p w:rsidR="00000000" w:rsidRPr="002C595F" w:rsidP="002C595F">
            <w:pPr>
              <w:pStyle w:val="ListBullet"/>
            </w:pPr>
            <w:r w:rsidRPr="002C595F">
              <w:t>Electrical Machines</w:t>
            </w:r>
          </w:p>
          <w:p w:rsidR="00000000" w:rsidRPr="002C595F" w:rsidP="002C595F">
            <w:pPr>
              <w:pStyle w:val="ListBullet"/>
            </w:pPr>
            <w:r w:rsidRPr="002C595F">
              <w:t>Electronics</w:t>
            </w:r>
          </w:p>
          <w:p w:rsidR="00000000" w:rsidRPr="002C595F" w:rsidP="002C595F">
            <w:pPr>
              <w:pStyle w:val="ListBullet"/>
            </w:pPr>
            <w:r w:rsidRPr="002C595F">
              <w:t>Fire protection</w:t>
            </w:r>
          </w:p>
          <w:p w:rsidR="00000000" w:rsidRPr="002C595F" w:rsidP="002C595F">
            <w:pPr>
              <w:pStyle w:val="ListBullet"/>
            </w:pPr>
            <w:r w:rsidRPr="002C595F">
              <w:t>Instrumentation</w:t>
            </w:r>
          </w:p>
          <w:p w:rsidR="00000000" w:rsidRPr="002C595F" w:rsidP="002C595F">
            <w:pPr>
              <w:pStyle w:val="ListBullet"/>
            </w:pPr>
            <w:r w:rsidRPr="002C595F">
              <w:t>Refrigeration and Air Conditioning</w:t>
            </w:r>
          </w:p>
          <w:p w:rsidR="00000000" w:rsidRPr="002C595F" w:rsidP="002C595F">
            <w:pPr>
              <w:pStyle w:val="ListBullet"/>
            </w:pPr>
            <w:r w:rsidRPr="002C595F">
              <w:t>Renewable / sustainable energy, and</w:t>
            </w:r>
          </w:p>
          <w:p w:rsidR="00000000" w:rsidP="002C595F">
            <w:pPr>
              <w:pStyle w:val="ListBullet"/>
              <w:rPr>
                <w:lang w:val="en-NZ"/>
              </w:rPr>
            </w:pPr>
            <w:r w:rsidRPr="002C595F">
              <w:t xml:space="preserve">Security technology </w:t>
            </w:r>
          </w:p>
        </w:tc>
      </w:tr>
      <w:tr w:rsidTr="0026106C">
        <w:tblPrEx>
          <w:tblW w:w="0" w:type="auto"/>
          <w:tblLayout w:type="fixed"/>
          <w:tblCellMar>
            <w:left w:w="62" w:type="dxa"/>
            <w:right w:w="62" w:type="dxa"/>
          </w:tblCellMar>
          <w:tblLook w:val="0000"/>
        </w:tblPrEx>
        <w:tc>
          <w:tcPr>
            <w:tcW w:w="8886" w:type="dxa"/>
            <w:gridSpan w:val="2"/>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t>Generic terms used throughout this Vocational Standard shall be regarded as part of the Range Statement in which competency is demonstrated. The definition of these and other terms that apply are given in Volume 2, Part 2.1.</w:t>
            </w:r>
          </w:p>
        </w:tc>
      </w:tr>
    </w:tbl>
    <w:p w:rsidR="0026106C" w:rsidP="002C595F">
      <w:pPr>
        <w:pStyle w:val="BodyText"/>
      </w:pPr>
    </w:p>
    <w:p w:rsidR="0026106C" w:rsidP="002C595F">
      <w:pPr>
        <w:pStyle w:val="BodyText"/>
      </w:pPr>
    </w:p>
    <w:p w:rsidR="00000000" w:rsidRPr="002C595F" w:rsidP="002C595F">
      <w:pPr>
        <w:pStyle w:val="Heading1"/>
      </w:pPr>
      <w:bookmarkStart w:id="12" w:name="O_584379"/>
      <w:bookmarkEnd w:id="12"/>
      <w:r w:rsidRPr="002C595F">
        <w:t>Unit Sector(s)</w:t>
      </w:r>
    </w:p>
    <w:p w:rsidR="00000000" w:rsidRPr="002C595F" w:rsidP="002C595F">
      <w:pPr>
        <w:pStyle w:val="BodyText"/>
      </w:pPr>
      <w:r w:rsidRPr="002C595F">
        <w:t>Not Applicable</w:t>
      </w:r>
    </w:p>
    <w:p w:rsidR="00000000" w:rsidRPr="002C595F" w:rsidP="002C595F">
      <w:pPr>
        <w:pStyle w:val="AllowPageBreak"/>
      </w:pPr>
    </w:p>
    <w:p w:rsidR="00000000" w:rsidRPr="002C595F" w:rsidP="002C595F">
      <w:pPr>
        <w:pStyle w:val="Heading1"/>
      </w:pPr>
      <w:bookmarkStart w:id="13" w:name="O_584378"/>
      <w:bookmarkEnd w:id="13"/>
      <w:r w:rsidRPr="002C595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6106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2</w:t>
            </w:r>
            <w:r w:rsidRPr="002C595F">
              <w:t>.</w:t>
            </w:r>
            <w:r w:rsidRPr="002C595F">
              <w:rPr>
                <w:rStyle w:val="SpecialBold"/>
              </w:rPr>
              <w:t>2</w:t>
            </w:r>
            <w:r w:rsidRPr="002C595F">
              <w:t xml:space="preserve">) </w:t>
            </w:r>
            <w:r w:rsidRPr="002C595F">
              <w:rPr>
                <w:rStyle w:val="SpecialBold"/>
              </w:rPr>
              <w:t>Literacy and numeracy skills</w:t>
            </w:r>
          </w:p>
          <w:p w:rsidR="00000000" w:rsidP="002C595F">
            <w:pPr>
              <w:pStyle w:val="BodyText"/>
              <w:rPr>
                <w:lang w:val="en-NZ"/>
              </w:rPr>
            </w:pPr>
            <w:r w:rsidRPr="002C595F">
              <w:t>Participants are best equipped to achieve competency in this unit if they have reading, writing and numeracy skills indicated by the following scales. Description of each scale is given in Volume 2, Part 3 'Literacy and Numeracy'</w:t>
            </w:r>
          </w:p>
        </w:tc>
      </w:tr>
      <w:tr w:rsidTr="0026106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Reading</w:t>
            </w:r>
          </w:p>
        </w:tc>
        <w:tc>
          <w:tcPr>
            <w:tcW w:w="1182"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3</w:t>
            </w:r>
          </w:p>
        </w:tc>
        <w:tc>
          <w:tcPr>
            <w:tcW w:w="1739"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Writing</w:t>
            </w:r>
          </w:p>
        </w:tc>
        <w:tc>
          <w:tcPr>
            <w:tcW w:w="1182"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3</w:t>
            </w:r>
          </w:p>
        </w:tc>
        <w:tc>
          <w:tcPr>
            <w:tcW w:w="1721"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t>Numeracy</w:t>
            </w:r>
          </w:p>
        </w:tc>
        <w:tc>
          <w:tcPr>
            <w:tcW w:w="1182"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t>3</w:t>
            </w:r>
          </w:p>
        </w:tc>
      </w:tr>
    </w:tbl>
    <w:p w:rsidR="0026106C" w:rsidP="002C595F">
      <w:pPr>
        <w:pStyle w:val="BodyText"/>
      </w:pPr>
    </w:p>
    <w:p w:rsidR="0026106C" w:rsidP="002C595F">
      <w:pPr>
        <w:pStyle w:val="BodyText"/>
      </w:pPr>
    </w:p>
    <w:p w:rsidR="00000000" w:rsidRPr="002C595F" w:rsidP="002C595F">
      <w:pPr>
        <w:pStyle w:val="Heading1"/>
      </w:pPr>
      <w:bookmarkStart w:id="14" w:name="O_584377"/>
      <w:bookmarkEnd w:id="14"/>
      <w:r w:rsidRPr="002C595F">
        <w:t>Custom Content Section</w:t>
      </w:r>
    </w:p>
    <w:tbl>
      <w:tblPr>
        <w:tblW w:w="0" w:type="auto"/>
        <w:tblLayout w:type="fixed"/>
        <w:tblCellMar>
          <w:left w:w="62" w:type="dxa"/>
          <w:right w:w="62" w:type="dxa"/>
        </w:tblCellMar>
        <w:tblLook w:val="0000"/>
      </w:tblPr>
      <w:tblGrid>
        <w:gridCol w:w="2700"/>
        <w:gridCol w:w="5760"/>
      </w:tblGrid>
      <w:tr w:rsidTr="002610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C595F">
            <w:pPr>
              <w:pStyle w:val="BodyText"/>
              <w:rPr>
                <w:lang w:val="en-NZ"/>
              </w:rPr>
            </w:pPr>
            <w:r w:rsidRPr="002C595F">
              <w:rPr>
                <w:rStyle w:val="SpecialBold"/>
              </w:rPr>
              <w:t>5</w:t>
            </w:r>
            <w:r w:rsidRPr="002C595F">
              <w:t>)</w:t>
            </w:r>
          </w:p>
        </w:tc>
      </w:tr>
      <w:tr w:rsidTr="002610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595F" w:rsidP="002C595F">
            <w:pPr>
              <w:pStyle w:val="BodyText"/>
            </w:pPr>
            <w:r w:rsidRPr="002C595F">
              <w:t>Electrotechnology</w:t>
            </w:r>
          </w:p>
        </w:tc>
      </w:tr>
    </w:tbl>
    <w:p w:rsidR="0026106C" w:rsidP="002C595F">
      <w:pPr>
        <w:pStyle w:val="BodyText"/>
      </w:pPr>
    </w:p>
    <w:p w:rsidR="0026106C" w:rsidP="002C595F">
      <w:pPr>
        <w:pStyle w:val="BodyText"/>
      </w:pPr>
    </w:p>
    <w:p w:rsidR="00000000" w:rsidRPr="002C595F" w:rsidP="002C595F"/>
    <w:sectPr w:rsidSect="002C59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5F" w:rsidRPr="0026106C" w:rsidP="002610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6C" w:rsidP="002C59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6106C" w:rsidP="002C595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6106C" w:rsidP="002C59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5F" w:rsidRPr="0026106C" w:rsidP="002610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6C" w:rsidRPr="002D2AF8" w:rsidP="002C595F">
    <w:pPr>
      <w:pStyle w:val="Header"/>
      <w:framePr w:wrap="around"/>
    </w:pPr>
    <w:r>
      <w:fldChar w:fldCharType="begin"/>
    </w:r>
    <w:r>
      <w:instrText xml:space="preserve"> TITLE   \* MERGEFORMAT </w:instrText>
    </w:r>
    <w:r>
      <w:fldChar w:fldCharType="separate"/>
    </w:r>
    <w:r>
      <w:t>UEENEEE107A Use drawings, diagrams, schedules, standards, codes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26106C" w:rsidP="002C59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14EC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9025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560A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9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95F"/>
    <w:pPr>
      <w:spacing w:before="360" w:after="60"/>
      <w:outlineLvl w:val="0"/>
    </w:pPr>
    <w:rPr>
      <w:sz w:val="32"/>
    </w:rPr>
  </w:style>
  <w:style w:type="paragraph" w:styleId="Heading2">
    <w:name w:val="heading 2"/>
    <w:basedOn w:val="HeadingBase"/>
    <w:next w:val="BodyText"/>
    <w:link w:val="Heading2Char"/>
    <w:qFormat/>
    <w:rsid w:val="002C595F"/>
    <w:pPr>
      <w:keepLines/>
      <w:spacing w:before="240" w:after="120"/>
      <w:outlineLvl w:val="1"/>
    </w:pPr>
    <w:rPr>
      <w:sz w:val="28"/>
      <w:szCs w:val="40"/>
    </w:rPr>
  </w:style>
  <w:style w:type="paragraph" w:styleId="Heading3">
    <w:name w:val="heading 3"/>
    <w:basedOn w:val="HeadingBase"/>
    <w:next w:val="BodyText"/>
    <w:link w:val="Heading3Char"/>
    <w:qFormat/>
    <w:rsid w:val="002C595F"/>
    <w:pPr>
      <w:spacing w:before="180" w:after="120"/>
      <w:outlineLvl w:val="2"/>
    </w:pPr>
    <w:rPr>
      <w:spacing w:val="-10"/>
      <w:kern w:val="32"/>
    </w:rPr>
  </w:style>
  <w:style w:type="paragraph" w:styleId="Heading4">
    <w:name w:val="heading 4"/>
    <w:basedOn w:val="HeadingBase"/>
    <w:next w:val="BodyText"/>
    <w:link w:val="Heading4Char"/>
    <w:qFormat/>
    <w:rsid w:val="002C595F"/>
    <w:pPr>
      <w:spacing w:before="160" w:after="120"/>
      <w:outlineLvl w:val="3"/>
    </w:pPr>
    <w:rPr>
      <w:sz w:val="22"/>
    </w:rPr>
  </w:style>
  <w:style w:type="paragraph" w:styleId="Heading5">
    <w:name w:val="heading 5"/>
    <w:basedOn w:val="HeadingBase"/>
    <w:next w:val="Normal"/>
    <w:link w:val="Heading5Char"/>
    <w:qFormat/>
    <w:rsid w:val="002C595F"/>
    <w:pPr>
      <w:spacing w:before="80"/>
      <w:outlineLvl w:val="4"/>
    </w:pPr>
    <w:rPr>
      <w:color w:val="918585"/>
      <w:sz w:val="20"/>
    </w:rPr>
  </w:style>
  <w:style w:type="paragraph" w:styleId="Heading6">
    <w:name w:val="heading 6"/>
    <w:basedOn w:val="HeadingBase"/>
    <w:next w:val="Normal"/>
    <w:link w:val="Heading6Char"/>
    <w:qFormat/>
    <w:rsid w:val="002C595F"/>
    <w:pPr>
      <w:spacing w:before="60"/>
      <w:outlineLvl w:val="5"/>
    </w:pPr>
    <w:rPr>
      <w:color w:val="918585"/>
      <w:sz w:val="20"/>
    </w:rPr>
  </w:style>
  <w:style w:type="paragraph" w:styleId="Heading7">
    <w:name w:val="heading 7"/>
    <w:basedOn w:val="Normal"/>
    <w:next w:val="Normal"/>
    <w:link w:val="Heading7Char"/>
    <w:qFormat/>
    <w:rsid w:val="002C595F"/>
    <w:pPr>
      <w:ind w:left="720"/>
      <w:outlineLvl w:val="6"/>
    </w:pPr>
    <w:rPr>
      <w:i/>
    </w:rPr>
  </w:style>
  <w:style w:type="paragraph" w:styleId="Heading8">
    <w:name w:val="heading 8"/>
    <w:basedOn w:val="Normal"/>
    <w:next w:val="Normal"/>
    <w:link w:val="Heading8Char"/>
    <w:qFormat/>
    <w:rsid w:val="002C595F"/>
    <w:pPr>
      <w:ind w:left="720"/>
      <w:outlineLvl w:val="7"/>
    </w:pPr>
    <w:rPr>
      <w:i/>
    </w:rPr>
  </w:style>
  <w:style w:type="paragraph" w:styleId="Heading9">
    <w:name w:val="heading 9"/>
    <w:basedOn w:val="Normal"/>
    <w:next w:val="Normal"/>
    <w:link w:val="Heading9Char"/>
    <w:qFormat/>
    <w:rsid w:val="002C595F"/>
    <w:pPr>
      <w:ind w:left="720"/>
      <w:outlineLvl w:val="8"/>
    </w:pPr>
    <w:rPr>
      <w:i/>
    </w:rPr>
  </w:style>
  <w:style w:type="character" w:default="1" w:styleId="DefaultParagraphFont">
    <w:name w:val="Default Paragraph Font"/>
    <w:uiPriority w:val="1"/>
    <w:unhideWhenUsed/>
    <w:rsid w:val="002C59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95F"/>
  </w:style>
  <w:style w:type="character" w:customStyle="1" w:styleId="Heading1Char">
    <w:name w:val="Heading 1 Char"/>
    <w:basedOn w:val="DefaultParagraphFont"/>
    <w:link w:val="Heading1"/>
    <w:rsid w:val="002C595F"/>
    <w:rPr>
      <w:rFonts w:ascii="Times New Roman" w:eastAsia="Times New Roman" w:hAnsi="Times New Roman" w:cs="Times New Roman"/>
      <w:b/>
      <w:sz w:val="32"/>
      <w:szCs w:val="20"/>
      <w:lang w:eastAsia="en-US"/>
    </w:rPr>
  </w:style>
  <w:style w:type="paragraph" w:styleId="BodyText">
    <w:name w:val="Body Text"/>
    <w:basedOn w:val="Normal"/>
    <w:link w:val="BodyTextChar"/>
    <w:rsid w:val="002C59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595F"/>
    <w:rPr>
      <w:rFonts w:ascii="Times New Roman" w:eastAsia="Times New Roman" w:hAnsi="Times New Roman" w:cs="Times New Roman"/>
      <w:sz w:val="24"/>
      <w:lang w:eastAsia="en-US"/>
    </w:rPr>
  </w:style>
  <w:style w:type="paragraph" w:styleId="ListBullet">
    <w:name w:val="List Bullet"/>
    <w:basedOn w:val="List"/>
    <w:rsid w:val="002C595F"/>
    <w:pPr>
      <w:numPr>
        <w:numId w:val="13"/>
      </w:numPr>
      <w:tabs>
        <w:tab w:val="clear" w:pos="340"/>
      </w:tabs>
      <w:spacing w:before="40" w:after="40"/>
    </w:pPr>
  </w:style>
  <w:style w:type="character" w:customStyle="1" w:styleId="SpecialBold">
    <w:name w:val="Special Bold"/>
    <w:basedOn w:val="DefaultParagraphFont"/>
    <w:rsid w:val="002C595F"/>
    <w:rPr>
      <w:b/>
      <w:spacing w:val="0"/>
    </w:rPr>
  </w:style>
  <w:style w:type="paragraph" w:styleId="ListBullet2">
    <w:name w:val="List Bullet 2"/>
    <w:basedOn w:val="List2"/>
    <w:rsid w:val="002C595F"/>
    <w:pPr>
      <w:numPr>
        <w:numId w:val="14"/>
      </w:numPr>
      <w:tabs>
        <w:tab w:val="clear" w:pos="680"/>
      </w:tabs>
    </w:pPr>
  </w:style>
  <w:style w:type="paragraph" w:customStyle="1" w:styleId="SuperHeading">
    <w:name w:val="SuperHeading"/>
    <w:basedOn w:val="Normal"/>
    <w:rsid w:val="002C595F"/>
    <w:pPr>
      <w:spacing w:before="240" w:after="120"/>
      <w:outlineLvl w:val="0"/>
    </w:pPr>
    <w:rPr>
      <w:rFonts w:ascii="Times New Roman" w:hAnsi="Times New Roman"/>
      <w:b/>
      <w:sz w:val="32"/>
    </w:rPr>
  </w:style>
  <w:style w:type="paragraph" w:customStyle="1" w:styleId="AllowPageBreak">
    <w:name w:val="AllowPageBreak"/>
    <w:rsid w:val="002C59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59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9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9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9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9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9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9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95F"/>
    <w:rPr>
      <w:rFonts w:ascii="Courier New" w:eastAsia="Times New Roman" w:hAnsi="Courier New" w:cs="Times New Roman"/>
      <w:i/>
      <w:szCs w:val="20"/>
      <w:lang w:eastAsia="en-US"/>
    </w:rPr>
  </w:style>
  <w:style w:type="paragraph" w:customStyle="1" w:styleId="HeadingBase">
    <w:name w:val="Heading Base"/>
    <w:rsid w:val="002C59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95F"/>
    <w:pPr>
      <w:tabs>
        <w:tab w:val="right" w:leader="dot" w:pos="9072"/>
      </w:tabs>
      <w:ind w:left="567"/>
    </w:pPr>
    <w:rPr>
      <w:szCs w:val="22"/>
    </w:rPr>
  </w:style>
  <w:style w:type="paragraph" w:customStyle="1" w:styleId="TOCBase">
    <w:name w:val="TOC Base"/>
    <w:rsid w:val="002C59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95F"/>
    <w:pPr>
      <w:tabs>
        <w:tab w:val="right" w:leader="dot" w:pos="9072"/>
      </w:tabs>
      <w:spacing w:before="40" w:after="40"/>
      <w:ind w:left="284"/>
    </w:pPr>
    <w:rPr>
      <w:rFonts w:ascii="Times New Roman" w:hAnsi="Times New Roman"/>
    </w:rPr>
  </w:style>
  <w:style w:type="paragraph" w:styleId="TOC1">
    <w:name w:val="toc 1"/>
    <w:basedOn w:val="TOCBase"/>
    <w:next w:val="Normal"/>
    <w:rsid w:val="002C59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9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95F"/>
    <w:rPr>
      <w:rFonts w:ascii="Times New Roman" w:eastAsia="Times New Roman" w:hAnsi="Times New Roman" w:cs="Times New Roman"/>
      <w:sz w:val="16"/>
      <w:lang w:eastAsia="en-US"/>
    </w:rPr>
  </w:style>
  <w:style w:type="paragraph" w:styleId="Title">
    <w:name w:val="Title"/>
    <w:basedOn w:val="HeadingBase"/>
    <w:link w:val="TitleChar"/>
    <w:qFormat/>
    <w:rsid w:val="002C595F"/>
    <w:pPr>
      <w:spacing w:before="5040"/>
      <w:jc w:val="center"/>
    </w:pPr>
    <w:rPr>
      <w:sz w:val="48"/>
      <w:szCs w:val="72"/>
      <w:lang w:val="en-US"/>
    </w:rPr>
  </w:style>
  <w:style w:type="character" w:customStyle="1" w:styleId="TitleChar">
    <w:name w:val="Title Char"/>
    <w:basedOn w:val="DefaultParagraphFont"/>
    <w:link w:val="Title"/>
    <w:rsid w:val="002C59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95F"/>
    <w:pPr>
      <w:tabs>
        <w:tab w:val="left" w:pos="3600"/>
        <w:tab w:val="left" w:pos="3958"/>
      </w:tabs>
    </w:pPr>
  </w:style>
  <w:style w:type="paragraph" w:styleId="List">
    <w:name w:val="List"/>
    <w:basedOn w:val="BodyText"/>
    <w:next w:val="BodyText"/>
    <w:rsid w:val="002C595F"/>
    <w:pPr>
      <w:tabs>
        <w:tab w:val="left" w:pos="340"/>
      </w:tabs>
      <w:spacing w:before="60" w:after="60"/>
      <w:ind w:left="340" w:hanging="340"/>
    </w:pPr>
  </w:style>
  <w:style w:type="paragraph" w:customStyle="1" w:styleId="Note">
    <w:name w:val="Note"/>
    <w:basedOn w:val="BodyText"/>
    <w:rsid w:val="002C59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95F"/>
    <w:pPr>
      <w:framePr w:wrap="auto" w:hAnchor="text" w:y="6049"/>
    </w:pPr>
    <w:rPr>
      <w:color w:val="000000"/>
      <w:sz w:val="40"/>
    </w:rPr>
  </w:style>
  <w:style w:type="paragraph" w:customStyle="1" w:styleId="TOCTitle">
    <w:name w:val="TOCTitle"/>
    <w:basedOn w:val="Heading1"/>
    <w:rsid w:val="002C595F"/>
    <w:pPr>
      <w:spacing w:after="240"/>
      <w:jc w:val="center"/>
      <w:outlineLvl w:val="9"/>
    </w:pPr>
    <w:rPr>
      <w:caps/>
    </w:rPr>
  </w:style>
  <w:style w:type="paragraph" w:customStyle="1" w:styleId="Version">
    <w:name w:val="Version"/>
    <w:rsid w:val="002C59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595F"/>
    <w:pPr>
      <w:keepNext w:val="0"/>
      <w:tabs>
        <w:tab w:val="right" w:pos="4176"/>
      </w:tabs>
      <w:ind w:left="198" w:hanging="198"/>
    </w:pPr>
    <w:rPr>
      <w:rFonts w:ascii="Garamond" w:hAnsi="Garamond"/>
    </w:rPr>
  </w:style>
  <w:style w:type="paragraph" w:styleId="IndexHeading">
    <w:name w:val="index heading"/>
    <w:basedOn w:val="Normal"/>
    <w:next w:val="Index1"/>
    <w:semiHidden/>
    <w:rsid w:val="002C595F"/>
    <w:pPr>
      <w:spacing w:before="120" w:after="120"/>
    </w:pPr>
    <w:rPr>
      <w:rFonts w:ascii="Arial" w:hAnsi="Arial"/>
      <w:b/>
      <w:color w:val="918585"/>
      <w:sz w:val="24"/>
    </w:rPr>
  </w:style>
  <w:style w:type="paragraph" w:styleId="Header">
    <w:name w:val="header"/>
    <w:basedOn w:val="Normal"/>
    <w:link w:val="HeaderChar"/>
    <w:rsid w:val="002C59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95F"/>
    <w:rPr>
      <w:rFonts w:ascii="Times New Roman" w:eastAsia="Times New Roman" w:hAnsi="Times New Roman" w:cs="Times New Roman"/>
      <w:sz w:val="16"/>
      <w:szCs w:val="20"/>
      <w:lang w:val="en-GB" w:eastAsia="en-US"/>
    </w:rPr>
  </w:style>
  <w:style w:type="paragraph" w:customStyle="1" w:styleId="Chapter">
    <w:name w:val="Chapter"/>
    <w:basedOn w:val="Normal"/>
    <w:rsid w:val="002C595F"/>
    <w:pPr>
      <w:spacing w:before="240"/>
    </w:pPr>
    <w:rPr>
      <w:rFonts w:ascii="Times New Roman" w:hAnsi="Times New Roman"/>
      <w:smallCaps/>
      <w:spacing w:val="80"/>
      <w:sz w:val="28"/>
    </w:rPr>
  </w:style>
  <w:style w:type="paragraph" w:customStyle="1" w:styleId="InChapter">
    <w:name w:val="InChapter"/>
    <w:basedOn w:val="Heading3"/>
    <w:rsid w:val="002C595F"/>
    <w:pPr>
      <w:spacing w:after="240"/>
      <w:outlineLvl w:val="9"/>
    </w:pPr>
    <w:rPr>
      <w:noProof/>
    </w:rPr>
  </w:style>
  <w:style w:type="paragraph" w:styleId="Index2">
    <w:name w:val="index 2"/>
    <w:basedOn w:val="Normal"/>
    <w:next w:val="Normal"/>
    <w:semiHidden/>
    <w:rsid w:val="002C595F"/>
    <w:pPr>
      <w:tabs>
        <w:tab w:val="right" w:pos="4176"/>
      </w:tabs>
      <w:ind w:left="568" w:hanging="284"/>
    </w:pPr>
    <w:rPr>
      <w:rFonts w:ascii="Garamond" w:hAnsi="Garamond"/>
    </w:rPr>
  </w:style>
  <w:style w:type="paragraph" w:customStyle="1" w:styleId="Byline">
    <w:name w:val="Byline"/>
    <w:rsid w:val="002C59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95F"/>
    <w:pPr>
      <w:tabs>
        <w:tab w:val="clear" w:pos="3600"/>
        <w:tab w:val="clear" w:pos="3958"/>
      </w:tabs>
      <w:jc w:val="right"/>
    </w:pPr>
  </w:style>
  <w:style w:type="character" w:styleId="Emphasis">
    <w:name w:val="Emphasis"/>
    <w:basedOn w:val="DefaultParagraphFont"/>
    <w:qFormat/>
    <w:rsid w:val="002C595F"/>
    <w:rPr>
      <w:i/>
    </w:rPr>
  </w:style>
  <w:style w:type="paragraph" w:styleId="Caption">
    <w:name w:val="caption"/>
    <w:basedOn w:val="BodyText"/>
    <w:next w:val="Normal"/>
    <w:qFormat/>
    <w:rsid w:val="002C595F"/>
    <w:pPr>
      <w:framePr w:w="2268" w:hSpace="181" w:vSpace="181" w:wrap="around" w:vAnchor="text" w:hAnchor="page" w:x="1135" w:y="285" w:anchorLock="1"/>
    </w:pPr>
    <w:rPr>
      <w:i/>
    </w:rPr>
  </w:style>
  <w:style w:type="paragraph" w:customStyle="1" w:styleId="MiniTOCTitle">
    <w:name w:val="MiniTOCTitle"/>
    <w:basedOn w:val="Heading4"/>
    <w:rsid w:val="002C595F"/>
    <w:pPr>
      <w:spacing w:before="240"/>
      <w:outlineLvl w:val="9"/>
    </w:pPr>
    <w:rPr>
      <w:noProof/>
      <w:sz w:val="24"/>
    </w:rPr>
  </w:style>
  <w:style w:type="paragraph" w:customStyle="1" w:styleId="MiniTOCItem">
    <w:name w:val="MiniTOCItem"/>
    <w:basedOn w:val="ListBullet"/>
    <w:rsid w:val="002C595F"/>
    <w:pPr>
      <w:numPr>
        <w:numId w:val="0"/>
      </w:numPr>
      <w:tabs>
        <w:tab w:val="right" w:leader="dot" w:pos="6521"/>
      </w:tabs>
      <w:spacing w:before="0" w:after="0"/>
    </w:pPr>
  </w:style>
  <w:style w:type="paragraph" w:customStyle="1" w:styleId="TOFTitle">
    <w:name w:val="TOFTitle"/>
    <w:basedOn w:val="TOCTitle"/>
    <w:rsid w:val="002C595F"/>
  </w:style>
  <w:style w:type="paragraph" w:styleId="TableofFigures">
    <w:name w:val="table of figures"/>
    <w:basedOn w:val="Normal"/>
    <w:next w:val="Normal"/>
    <w:semiHidden/>
    <w:rsid w:val="002C595F"/>
    <w:pPr>
      <w:tabs>
        <w:tab w:val="right" w:leader="dot" w:pos="9072"/>
      </w:tabs>
      <w:ind w:left="970" w:hanging="403"/>
    </w:pPr>
    <w:rPr>
      <w:rFonts w:ascii="Times New Roman" w:hAnsi="Times New Roman"/>
      <w:b/>
    </w:rPr>
  </w:style>
  <w:style w:type="paragraph" w:styleId="ListNumber">
    <w:name w:val="List Number"/>
    <w:basedOn w:val="List"/>
    <w:rsid w:val="002C595F"/>
    <w:pPr>
      <w:numPr>
        <w:numId w:val="11"/>
      </w:numPr>
    </w:pPr>
  </w:style>
  <w:style w:type="character" w:customStyle="1" w:styleId="WingdingSymbols">
    <w:name w:val="Wingding Symbols"/>
    <w:rsid w:val="002C595F"/>
    <w:rPr>
      <w:rFonts w:ascii="Wingdings" w:hAnsi="Wingdings"/>
    </w:rPr>
  </w:style>
  <w:style w:type="paragraph" w:customStyle="1" w:styleId="TableHeading">
    <w:name w:val="Table Heading"/>
    <w:basedOn w:val="HeadingBase"/>
    <w:rsid w:val="002C595F"/>
    <w:pPr>
      <w:keepLines/>
      <w:pBdr>
        <w:bottom w:val="single" w:sz="6" w:space="1" w:color="918585"/>
      </w:pBdr>
      <w:spacing w:before="240"/>
    </w:pPr>
  </w:style>
  <w:style w:type="character" w:customStyle="1" w:styleId="HotSpot">
    <w:name w:val="HotSpot"/>
    <w:rsid w:val="002C595F"/>
    <w:rPr>
      <w:color w:val="0033CC"/>
      <w:u w:val="none"/>
    </w:rPr>
  </w:style>
  <w:style w:type="paragraph" w:customStyle="1" w:styleId="BodyTextRight">
    <w:name w:val="Body Text Right"/>
    <w:basedOn w:val="BodyText"/>
    <w:rsid w:val="002C595F"/>
    <w:pPr>
      <w:spacing w:before="0" w:after="0"/>
      <w:jc w:val="right"/>
    </w:pPr>
  </w:style>
  <w:style w:type="paragraph" w:styleId="Index3">
    <w:name w:val="index 3"/>
    <w:basedOn w:val="ListNumber2"/>
    <w:next w:val="Normal"/>
    <w:semiHidden/>
    <w:rsid w:val="002C595F"/>
    <w:pPr>
      <w:numPr>
        <w:numId w:val="0"/>
      </w:numPr>
      <w:tabs>
        <w:tab w:val="right" w:leader="dot" w:pos="4176"/>
      </w:tabs>
    </w:pPr>
  </w:style>
  <w:style w:type="paragraph" w:styleId="ListNumber2">
    <w:name w:val="List Number 2"/>
    <w:basedOn w:val="List2"/>
    <w:rsid w:val="002C595F"/>
    <w:pPr>
      <w:numPr>
        <w:numId w:val="10"/>
      </w:numPr>
      <w:tabs>
        <w:tab w:val="clear" w:pos="1060"/>
      </w:tabs>
    </w:pPr>
  </w:style>
  <w:style w:type="paragraph" w:customStyle="1" w:styleId="MarginNote">
    <w:name w:val="Margin Note"/>
    <w:basedOn w:val="BodyText"/>
    <w:rsid w:val="002C59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9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9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95F"/>
    <w:rPr>
      <w:sz w:val="32"/>
    </w:rPr>
  </w:style>
  <w:style w:type="paragraph" w:customStyle="1" w:styleId="HeadingProcedure">
    <w:name w:val="Heading Procedure"/>
    <w:basedOn w:val="HeadingBase"/>
    <w:next w:val="Normal"/>
    <w:rsid w:val="002C595F"/>
    <w:pPr>
      <w:tabs>
        <w:tab w:val="left" w:pos="0"/>
      </w:tabs>
      <w:spacing w:before="120" w:after="60"/>
    </w:pPr>
    <w:rPr>
      <w:i/>
      <w:color w:val="918585"/>
      <w:sz w:val="22"/>
    </w:rPr>
  </w:style>
  <w:style w:type="paragraph" w:customStyle="1" w:styleId="TableBodyText">
    <w:name w:val="Table Body Text"/>
    <w:basedOn w:val="BodyText"/>
    <w:rsid w:val="002C595F"/>
    <w:pPr>
      <w:spacing w:before="60" w:after="60"/>
    </w:pPr>
  </w:style>
  <w:style w:type="paragraph" w:styleId="ListContinue">
    <w:name w:val="List Continue"/>
    <w:basedOn w:val="List"/>
    <w:rsid w:val="002C595F"/>
    <w:pPr>
      <w:ind w:firstLine="0"/>
    </w:pPr>
  </w:style>
  <w:style w:type="paragraph" w:customStyle="1" w:styleId="ListNote">
    <w:name w:val="List Note"/>
    <w:basedOn w:val="List"/>
    <w:rsid w:val="002C595F"/>
    <w:pPr>
      <w:pBdr>
        <w:top w:val="single" w:sz="6" w:space="2" w:color="918585"/>
        <w:bottom w:val="single" w:sz="6" w:space="2" w:color="918585"/>
      </w:pBdr>
      <w:tabs>
        <w:tab w:val="left" w:pos="1021"/>
      </w:tabs>
      <w:ind w:firstLine="0"/>
    </w:pPr>
  </w:style>
  <w:style w:type="paragraph" w:customStyle="1" w:styleId="Warning">
    <w:name w:val="Warning"/>
    <w:basedOn w:val="BodyText"/>
    <w:rsid w:val="002C595F"/>
    <w:pPr>
      <w:shd w:val="clear" w:color="auto" w:fill="D9D9D9"/>
      <w:tabs>
        <w:tab w:val="left" w:pos="992"/>
      </w:tabs>
      <w:ind w:left="119" w:right="119"/>
    </w:pPr>
    <w:rPr>
      <w:sz w:val="20"/>
    </w:rPr>
  </w:style>
  <w:style w:type="paragraph" w:customStyle="1" w:styleId="MarginIcons">
    <w:name w:val="Margin Icons"/>
    <w:basedOn w:val="BodyText"/>
    <w:rsid w:val="002C59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95F"/>
    <w:rPr>
      <w:rFonts w:ascii="Courier New" w:hAnsi="Courier New"/>
    </w:rPr>
  </w:style>
  <w:style w:type="paragraph" w:customStyle="1" w:styleId="NoteBullet">
    <w:name w:val="Note Bullet"/>
    <w:basedOn w:val="Note"/>
    <w:rsid w:val="002C595F"/>
    <w:pPr>
      <w:tabs>
        <w:tab w:val="clear" w:pos="680"/>
      </w:tabs>
      <w:spacing w:before="60" w:after="60"/>
    </w:pPr>
  </w:style>
  <w:style w:type="paragraph" w:customStyle="1" w:styleId="SubHeading2">
    <w:name w:val="SubHeading2"/>
    <w:basedOn w:val="HeadingBase"/>
    <w:rsid w:val="002C595F"/>
    <w:pPr>
      <w:spacing w:before="240" w:after="60"/>
    </w:pPr>
    <w:rPr>
      <w:sz w:val="20"/>
    </w:rPr>
  </w:style>
  <w:style w:type="paragraph" w:customStyle="1" w:styleId="SubHeading1">
    <w:name w:val="SubHeading1"/>
    <w:basedOn w:val="HeadingBase"/>
    <w:rsid w:val="002C595F"/>
    <w:pPr>
      <w:spacing w:before="240" w:after="60"/>
    </w:pPr>
    <w:rPr>
      <w:color w:val="918585"/>
      <w:sz w:val="22"/>
    </w:rPr>
  </w:style>
  <w:style w:type="paragraph" w:customStyle="1" w:styleId="SideHeading">
    <w:name w:val="Side Heading"/>
    <w:basedOn w:val="HeadingBase"/>
    <w:rsid w:val="002C59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95F"/>
    <w:pPr>
      <w:numPr>
        <w:numId w:val="12"/>
      </w:numPr>
    </w:pPr>
  </w:style>
  <w:style w:type="paragraph" w:styleId="PlainText">
    <w:name w:val="Plain Text"/>
    <w:basedOn w:val="Normal"/>
    <w:link w:val="PlainTextChar"/>
    <w:rsid w:val="002C595F"/>
    <w:rPr>
      <w:sz w:val="20"/>
    </w:rPr>
  </w:style>
  <w:style w:type="character" w:customStyle="1" w:styleId="PlainTextChar">
    <w:name w:val="Plain Text Char"/>
    <w:basedOn w:val="DefaultParagraphFont"/>
    <w:link w:val="PlainText"/>
    <w:rsid w:val="002C595F"/>
    <w:rPr>
      <w:rFonts w:ascii="Courier New" w:eastAsia="Times New Roman" w:hAnsi="Courier New" w:cs="Times New Roman"/>
      <w:sz w:val="20"/>
      <w:szCs w:val="20"/>
      <w:lang w:eastAsia="en-US"/>
    </w:rPr>
  </w:style>
  <w:style w:type="character" w:customStyle="1" w:styleId="MenuOption">
    <w:name w:val="Menu Option"/>
    <w:basedOn w:val="DefaultParagraphFont"/>
    <w:rsid w:val="002C595F"/>
    <w:rPr>
      <w:b/>
      <w:smallCaps/>
    </w:rPr>
  </w:style>
  <w:style w:type="paragraph" w:customStyle="1" w:styleId="TableListNumber">
    <w:name w:val="Table List Number"/>
    <w:basedOn w:val="ListNumber"/>
    <w:rsid w:val="002C595F"/>
    <w:pPr>
      <w:numPr>
        <w:numId w:val="0"/>
      </w:numPr>
    </w:pPr>
  </w:style>
  <w:style w:type="paragraph" w:styleId="TOC4">
    <w:name w:val="toc 4"/>
    <w:basedOn w:val="TOCBase"/>
    <w:next w:val="Normal"/>
    <w:semiHidden/>
    <w:rsid w:val="002C595F"/>
    <w:pPr>
      <w:tabs>
        <w:tab w:val="right" w:leader="dot" w:pos="9071"/>
      </w:tabs>
      <w:ind w:left="1701"/>
    </w:pPr>
  </w:style>
  <w:style w:type="paragraph" w:customStyle="1" w:styleId="ListAlpha">
    <w:name w:val="List Alpha"/>
    <w:basedOn w:val="List"/>
    <w:rsid w:val="002C595F"/>
    <w:pPr>
      <w:numPr>
        <w:numId w:val="9"/>
      </w:numPr>
    </w:pPr>
  </w:style>
  <w:style w:type="paragraph" w:customStyle="1" w:styleId="ListAlpha2">
    <w:name w:val="List Alpha 2"/>
    <w:basedOn w:val="List2"/>
    <w:rsid w:val="002C595F"/>
    <w:pPr>
      <w:numPr>
        <w:numId w:val="8"/>
      </w:numPr>
    </w:pPr>
  </w:style>
  <w:style w:type="paragraph" w:styleId="List2">
    <w:name w:val="List 2"/>
    <w:basedOn w:val="BodyText"/>
    <w:rsid w:val="002C595F"/>
    <w:pPr>
      <w:tabs>
        <w:tab w:val="left" w:pos="680"/>
      </w:tabs>
      <w:spacing w:before="60" w:after="60"/>
      <w:ind w:left="680" w:hanging="340"/>
    </w:pPr>
  </w:style>
  <w:style w:type="paragraph" w:styleId="List3">
    <w:name w:val="List 3"/>
    <w:basedOn w:val="BodyText"/>
    <w:rsid w:val="002C595F"/>
    <w:pPr>
      <w:tabs>
        <w:tab w:val="left" w:pos="1021"/>
      </w:tabs>
      <w:spacing w:before="60" w:after="60"/>
      <w:ind w:left="1020" w:hanging="340"/>
    </w:pPr>
  </w:style>
  <w:style w:type="paragraph" w:styleId="List4">
    <w:name w:val="List 4"/>
    <w:basedOn w:val="BodyText"/>
    <w:rsid w:val="002C595F"/>
    <w:pPr>
      <w:tabs>
        <w:tab w:val="left" w:pos="1361"/>
      </w:tabs>
      <w:spacing w:before="60" w:after="60"/>
      <w:ind w:left="1361" w:hanging="340"/>
    </w:pPr>
  </w:style>
  <w:style w:type="paragraph" w:styleId="List5">
    <w:name w:val="List 5"/>
    <w:basedOn w:val="BodyText"/>
    <w:rsid w:val="002C595F"/>
    <w:pPr>
      <w:tabs>
        <w:tab w:val="left" w:pos="1701"/>
      </w:tabs>
      <w:spacing w:before="60" w:after="60"/>
      <w:ind w:left="1701" w:hanging="340"/>
    </w:pPr>
  </w:style>
  <w:style w:type="paragraph" w:styleId="ListBullet3">
    <w:name w:val="List Bullet 3"/>
    <w:basedOn w:val="List3"/>
    <w:rsid w:val="002C595F"/>
    <w:pPr>
      <w:numPr>
        <w:numId w:val="15"/>
      </w:numPr>
      <w:tabs>
        <w:tab w:val="clear" w:pos="1021"/>
      </w:tabs>
      <w:ind w:left="1037" w:hanging="357"/>
    </w:pPr>
  </w:style>
  <w:style w:type="paragraph" w:styleId="ListBullet4">
    <w:name w:val="List Bullet 4"/>
    <w:basedOn w:val="List4"/>
    <w:rsid w:val="002C595F"/>
    <w:pPr>
      <w:numPr>
        <w:numId w:val="3"/>
      </w:numPr>
    </w:pPr>
  </w:style>
  <w:style w:type="paragraph" w:styleId="ListBullet5">
    <w:name w:val="List Bullet 5"/>
    <w:basedOn w:val="List5"/>
    <w:rsid w:val="002C595F"/>
    <w:pPr>
      <w:numPr>
        <w:numId w:val="4"/>
      </w:numPr>
    </w:pPr>
  </w:style>
  <w:style w:type="paragraph" w:styleId="ListContinue2">
    <w:name w:val="List Continue 2"/>
    <w:basedOn w:val="List2"/>
    <w:rsid w:val="002C595F"/>
    <w:pPr>
      <w:ind w:firstLine="0"/>
    </w:pPr>
  </w:style>
  <w:style w:type="paragraph" w:styleId="ListContinue3">
    <w:name w:val="List Continue 3"/>
    <w:basedOn w:val="List3"/>
    <w:rsid w:val="002C595F"/>
    <w:pPr>
      <w:ind w:left="1021" w:firstLine="0"/>
    </w:pPr>
  </w:style>
  <w:style w:type="paragraph" w:styleId="ListContinue4">
    <w:name w:val="List Continue 4"/>
    <w:basedOn w:val="List4"/>
    <w:rsid w:val="002C595F"/>
    <w:pPr>
      <w:ind w:firstLine="0"/>
    </w:pPr>
  </w:style>
  <w:style w:type="paragraph" w:styleId="ListContinue5">
    <w:name w:val="List Continue 5"/>
    <w:basedOn w:val="List5"/>
    <w:rsid w:val="002C595F"/>
    <w:pPr>
      <w:ind w:firstLine="0"/>
    </w:pPr>
  </w:style>
  <w:style w:type="paragraph" w:styleId="ListNumber3">
    <w:name w:val="List Number 3"/>
    <w:basedOn w:val="List3"/>
    <w:rsid w:val="002C595F"/>
    <w:pPr>
      <w:numPr>
        <w:numId w:val="5"/>
      </w:numPr>
    </w:pPr>
  </w:style>
  <w:style w:type="paragraph" w:styleId="ListNumber4">
    <w:name w:val="List Number 4"/>
    <w:basedOn w:val="List4"/>
    <w:rsid w:val="002C595F"/>
    <w:pPr>
      <w:numPr>
        <w:numId w:val="6"/>
      </w:numPr>
    </w:pPr>
  </w:style>
  <w:style w:type="paragraph" w:styleId="ListNumber5">
    <w:name w:val="List Number 5"/>
    <w:basedOn w:val="List5"/>
    <w:rsid w:val="002C595F"/>
    <w:pPr>
      <w:numPr>
        <w:numId w:val="7"/>
      </w:numPr>
    </w:pPr>
  </w:style>
  <w:style w:type="paragraph" w:styleId="BlockText">
    <w:name w:val="Block Text"/>
    <w:basedOn w:val="Normal"/>
    <w:rsid w:val="002C595F"/>
    <w:pPr>
      <w:spacing w:after="120"/>
      <w:ind w:left="1440" w:right="1440"/>
    </w:pPr>
  </w:style>
  <w:style w:type="character" w:customStyle="1" w:styleId="Subscript">
    <w:name w:val="Subscript"/>
    <w:basedOn w:val="DefaultParagraphFont"/>
    <w:rsid w:val="002C595F"/>
    <w:rPr>
      <w:sz w:val="16"/>
      <w:vertAlign w:val="subscript"/>
    </w:rPr>
  </w:style>
  <w:style w:type="character" w:customStyle="1" w:styleId="Superscript">
    <w:name w:val="Superscript"/>
    <w:basedOn w:val="DefaultParagraphFont"/>
    <w:rsid w:val="002C595F"/>
    <w:rPr>
      <w:sz w:val="16"/>
      <w:vertAlign w:val="superscript"/>
    </w:rPr>
  </w:style>
  <w:style w:type="character" w:customStyle="1" w:styleId="Symbols">
    <w:name w:val="Symbols"/>
    <w:basedOn w:val="DefaultParagraphFont"/>
    <w:rsid w:val="002C595F"/>
    <w:rPr>
      <w:rFonts w:ascii="Symbol" w:hAnsi="Symbol"/>
    </w:rPr>
  </w:style>
  <w:style w:type="character" w:customStyle="1" w:styleId="MenuOptions">
    <w:name w:val="Menu Options"/>
    <w:basedOn w:val="DefaultParagraphFont"/>
    <w:rsid w:val="002C595F"/>
    <w:rPr>
      <w:rFonts w:ascii="Arial Narrow" w:hAnsi="Arial Narrow"/>
      <w:smallCaps/>
    </w:rPr>
  </w:style>
  <w:style w:type="character" w:customStyle="1" w:styleId="Buttons">
    <w:name w:val="Buttons"/>
    <w:basedOn w:val="DefaultParagraphFont"/>
    <w:rsid w:val="002C595F"/>
    <w:rPr>
      <w:b/>
    </w:rPr>
  </w:style>
  <w:style w:type="character" w:customStyle="1" w:styleId="Underlined">
    <w:name w:val="Underlined"/>
    <w:basedOn w:val="DefaultParagraphFont"/>
    <w:rsid w:val="002C595F"/>
    <w:rPr>
      <w:u w:val="single"/>
    </w:rPr>
  </w:style>
  <w:style w:type="paragraph" w:customStyle="1" w:styleId="TableBodyTextRight">
    <w:name w:val="Table Body Text Right"/>
    <w:basedOn w:val="TableBodyText"/>
    <w:rsid w:val="002C595F"/>
    <w:pPr>
      <w:widowControl w:val="0"/>
      <w:autoSpaceDE w:val="0"/>
      <w:autoSpaceDN w:val="0"/>
      <w:adjustRightInd w:val="0"/>
      <w:jc w:val="right"/>
    </w:pPr>
    <w:rPr>
      <w:rFonts w:cs="Arial"/>
      <w:szCs w:val="18"/>
    </w:rPr>
  </w:style>
  <w:style w:type="paragraph" w:customStyle="1" w:styleId="CopyrightText">
    <w:name w:val="Copyright Text"/>
    <w:basedOn w:val="BodyText"/>
    <w:rsid w:val="002C595F"/>
    <w:rPr>
      <w:sz w:val="18"/>
    </w:rPr>
  </w:style>
  <w:style w:type="paragraph" w:customStyle="1" w:styleId="BodySmallRight">
    <w:name w:val="Body Small Right"/>
    <w:basedOn w:val="BodyTextRight"/>
    <w:rsid w:val="002C595F"/>
    <w:rPr>
      <w:sz w:val="18"/>
      <w:szCs w:val="18"/>
    </w:rPr>
  </w:style>
  <w:style w:type="paragraph" w:customStyle="1" w:styleId="MarginEdition">
    <w:name w:val="Margin Edition"/>
    <w:basedOn w:val="MarginNote"/>
    <w:rsid w:val="002C595F"/>
    <w:pPr>
      <w:spacing w:before="0" w:after="0"/>
    </w:pPr>
    <w:rPr>
      <w:rFonts w:ascii="Times New Roman" w:hAnsi="Times New Roman"/>
      <w:color w:val="999999"/>
    </w:rPr>
  </w:style>
  <w:style w:type="paragraph" w:customStyle="1" w:styleId="Spacer">
    <w:name w:val="Spacer"/>
    <w:basedOn w:val="Normal"/>
    <w:rsid w:val="002C595F"/>
    <w:rPr>
      <w:sz w:val="2"/>
      <w:szCs w:val="2"/>
    </w:rPr>
  </w:style>
  <w:style w:type="character" w:customStyle="1" w:styleId="Small">
    <w:name w:val="Small"/>
    <w:basedOn w:val="DefaultParagraphFont"/>
    <w:rsid w:val="002C595F"/>
    <w:rPr>
      <w:sz w:val="16"/>
    </w:rPr>
  </w:style>
  <w:style w:type="paragraph" w:customStyle="1" w:styleId="WideTable">
    <w:name w:val="Wide Table"/>
    <w:basedOn w:val="Normal"/>
    <w:rsid w:val="002C595F"/>
    <w:pPr>
      <w:ind w:left="-1418"/>
    </w:pPr>
    <w:rPr>
      <w:sz w:val="2"/>
      <w:szCs w:val="2"/>
    </w:rPr>
  </w:style>
  <w:style w:type="character" w:styleId="PageNumber">
    <w:name w:val="page number"/>
    <w:basedOn w:val="DefaultParagraphFont"/>
    <w:rsid w:val="002C595F"/>
  </w:style>
  <w:style w:type="paragraph" w:styleId="Quote">
    <w:name w:val="Quote"/>
    <w:basedOn w:val="Heading1"/>
    <w:link w:val="QuoteChar"/>
    <w:qFormat/>
    <w:rsid w:val="002C595F"/>
    <w:rPr>
      <w:b w:val="0"/>
      <w:sz w:val="72"/>
      <w:szCs w:val="72"/>
      <w:lang w:val="en-NZ"/>
    </w:rPr>
  </w:style>
  <w:style w:type="character" w:customStyle="1" w:styleId="QuoteChar">
    <w:name w:val="Quote Char"/>
    <w:basedOn w:val="DefaultParagraphFont"/>
    <w:link w:val="Quote"/>
    <w:rsid w:val="002C59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95F"/>
    <w:pPr>
      <w:pageBreakBefore/>
    </w:pPr>
  </w:style>
  <w:style w:type="paragraph" w:customStyle="1" w:styleId="Border">
    <w:name w:val="Border"/>
    <w:basedOn w:val="Normal"/>
    <w:qFormat/>
    <w:rsid w:val="002C59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95F"/>
    <w:rPr>
      <w:b/>
      <w:bCs/>
      <w:i/>
      <w:iCs/>
      <w:color w:val="auto"/>
    </w:rPr>
  </w:style>
  <w:style w:type="paragraph" w:styleId="IntenseQuote">
    <w:name w:val="Intense Quote"/>
    <w:basedOn w:val="Normal"/>
    <w:next w:val="Normal"/>
    <w:link w:val="IntenseQuoteChar"/>
    <w:uiPriority w:val="30"/>
    <w:qFormat/>
    <w:rsid w:val="002C59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9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95F"/>
    <w:rPr>
      <w:smallCaps/>
      <w:color w:val="auto"/>
      <w:u w:val="single"/>
    </w:rPr>
  </w:style>
  <w:style w:type="character" w:styleId="IntenseReference">
    <w:name w:val="Intense Reference"/>
    <w:basedOn w:val="DefaultParagraphFont"/>
    <w:uiPriority w:val="32"/>
    <w:qFormat/>
    <w:rsid w:val="002C595F"/>
    <w:rPr>
      <w:b/>
      <w:bCs/>
      <w:smallCaps/>
      <w:color w:val="auto"/>
      <w:spacing w:val="5"/>
      <w:u w:val="single"/>
    </w:rPr>
  </w:style>
  <w:style w:type="paragraph" w:customStyle="1" w:styleId="2ColumnHeading">
    <w:name w:val="2Column Heading"/>
    <w:basedOn w:val="BodyText"/>
    <w:qFormat/>
    <w:rsid w:val="002C595F"/>
    <w:pPr>
      <w:spacing w:after="60"/>
      <w:ind w:left="-2268"/>
    </w:pPr>
    <w:rPr>
      <w:b/>
    </w:rPr>
  </w:style>
  <w:style w:type="paragraph" w:customStyle="1" w:styleId="Heading1TOC">
    <w:name w:val="Heading1 TOC"/>
    <w:basedOn w:val="Normal"/>
    <w:qFormat/>
    <w:rsid w:val="002C595F"/>
    <w:pPr>
      <w:spacing w:before="240" w:after="120"/>
    </w:pPr>
    <w:rPr>
      <w:rFonts w:ascii="Times New Roman" w:hAnsi="Times New Roman"/>
      <w:b/>
      <w:sz w:val="32"/>
    </w:rPr>
  </w:style>
  <w:style w:type="paragraph" w:customStyle="1" w:styleId="Heading2TOC">
    <w:name w:val="Heading2 TOC"/>
    <w:basedOn w:val="Normal"/>
    <w:qFormat/>
    <w:rsid w:val="002C595F"/>
    <w:pPr>
      <w:spacing w:before="240" w:after="60"/>
    </w:pPr>
    <w:rPr>
      <w:rFonts w:ascii="Times New Roman" w:hAnsi="Times New Roman"/>
      <w:b/>
      <w:sz w:val="28"/>
    </w:rPr>
  </w:style>
  <w:style w:type="character" w:customStyle="1" w:styleId="Underline">
    <w:name w:val="Underline"/>
    <w:basedOn w:val="DefaultParagraphFont"/>
    <w:qFormat/>
    <w:rsid w:val="002C595F"/>
    <w:rPr>
      <w:u w:val="single"/>
    </w:rPr>
  </w:style>
  <w:style w:type="character" w:customStyle="1" w:styleId="BoldandItalics">
    <w:name w:val="Bold and Italics"/>
    <w:qFormat/>
    <w:rsid w:val="002C595F"/>
    <w:rPr>
      <w:b/>
      <w:i/>
      <w:u w:val="none"/>
    </w:rPr>
  </w:style>
  <w:style w:type="paragraph" w:styleId="BalloonText">
    <w:name w:val="Balloon Text"/>
    <w:basedOn w:val="Normal"/>
    <w:link w:val="BalloonTextChar"/>
    <w:rsid w:val="002C595F"/>
    <w:rPr>
      <w:rFonts w:ascii="Tahoma" w:hAnsi="Tahoma" w:cs="Tahoma"/>
      <w:sz w:val="16"/>
      <w:szCs w:val="16"/>
    </w:rPr>
  </w:style>
  <w:style w:type="character" w:customStyle="1" w:styleId="BalloonTextChar">
    <w:name w:val="Balloon Text Char"/>
    <w:basedOn w:val="DefaultParagraphFont"/>
    <w:link w:val="BalloonText"/>
    <w:rsid w:val="002C59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9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59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95F"/>
    <w:rPr>
      <w:b/>
      <w:color w:val="660033"/>
      <w:spacing w:val="0"/>
    </w:rPr>
  </w:style>
  <w:style w:type="paragraph" w:customStyle="1" w:styleId="Nameditemlist">
    <w:name w:val="Named item list"/>
    <w:basedOn w:val="BodyText"/>
    <w:qFormat/>
    <w:rsid w:val="002C59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2363</Words>
  <Characters>14550</Characters>
  <Application>Microsoft Office Word</Application>
  <DocSecurity>0</DocSecurity>
  <Lines>486</Lines>
  <Paragraphs>224</Paragraphs>
  <ScaleCrop>false</ScaleCrop>
  <Company>Author-it Software Corporation Ltd.</Company>
  <LinksUpToDate>false</LinksUpToDate>
  <CharactersWithSpaces>16808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UEENEEE107A Use drawings, diagrams, schedules, standards, codes and specifications</dc:title>
  <dc:subject>Approved</dc:subject>
  <dc:creator>E-OZ Training Standards</dc:creator>
  <cp:keywords>Release: 3</cp:keywords>
  <dc:description>Review Date: 12 April 2008</dc:description>
  <cp:lastModifiedBy>TPCMS</cp:lastModifiedBy>
  <cp:revision>3</cp:revision>
  <dcterms:created xsi:type="dcterms:W3CDTF">2013-08-14T07:31:00Z</dcterms:created>
  <dcterms:modified xsi:type="dcterms:W3CDTF">2013-08-14T07:31:00Z</dcterms:modified>
</cp:coreProperties>
</file>