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2A5" w:rsidP="006662A5">
      <w:pPr>
        <w:pStyle w:val="Title"/>
      </w:pPr>
      <w:r>
        <w:fldChar w:fldCharType="begin"/>
      </w:r>
      <w:r>
        <w:instrText xml:space="preserve"> TITLE   \* MERGEFORMAT </w:instrText>
      </w:r>
      <w:r>
        <w:fldChar w:fldCharType="separate"/>
      </w:r>
      <w:r>
        <w:t>UEENEEE105A Fix and secure electrotechnology equipment</w:t>
      </w:r>
      <w:r>
        <w:fldChar w:fldCharType="end"/>
      </w:r>
    </w:p>
    <w:p w:rsidR="006662A5" w:rsidP="006662A5">
      <w:pPr>
        <w:pStyle w:val="Version"/>
        <w:sectPr w:rsidSect="00EB36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B3607" w:rsidP="00EB3607">
      <w:pPr>
        <w:pStyle w:val="SuperHeading"/>
      </w:pPr>
      <w:r w:rsidRPr="00EB3607">
        <w:t>UEENEEE105A Fix and secure electrotechnology equipment</w:t>
      </w:r>
    </w:p>
    <w:p w:rsidR="00000000" w:rsidRPr="00EB3607" w:rsidP="00EB3607">
      <w:pPr>
        <w:pStyle w:val="Heading1"/>
      </w:pPr>
      <w:bookmarkStart w:id="1" w:name="O_584375"/>
      <w:bookmarkEnd w:id="1"/>
      <w:r w:rsidRPr="00EB3607">
        <w:t>Modification History</w:t>
      </w:r>
    </w:p>
    <w:p w:rsidR="00000000" w:rsidRPr="00EB3607" w:rsidP="00EB3607">
      <w:pPr>
        <w:pStyle w:val="BodyText"/>
      </w:pPr>
      <w:r w:rsidRPr="00EB3607">
        <w:t>Not Applicable</w:t>
      </w:r>
    </w:p>
    <w:p w:rsidR="00000000" w:rsidRPr="00EB3607" w:rsidP="00EB3607">
      <w:pPr>
        <w:pStyle w:val="AllowPageBreak"/>
      </w:pPr>
    </w:p>
    <w:p w:rsidR="00000000" w:rsidRPr="00EB3607" w:rsidP="00EB3607">
      <w:pPr>
        <w:pStyle w:val="Heading1"/>
      </w:pPr>
      <w:bookmarkStart w:id="2" w:name="O_584374"/>
      <w:bookmarkEnd w:id="2"/>
      <w:r w:rsidRPr="00EB3607">
        <w:t>Unit Descriptor</w:t>
      </w:r>
    </w:p>
    <w:tbl>
      <w:tblPr>
        <w:tblW w:w="0" w:type="auto"/>
        <w:tblLayout w:type="fixed"/>
        <w:tblCellMar>
          <w:left w:w="62" w:type="dxa"/>
          <w:right w:w="62" w:type="dxa"/>
        </w:tblCellMar>
        <w:tblLook w:val="0000"/>
      </w:tblPr>
      <w:tblGrid>
        <w:gridCol w:w="2700"/>
        <w:gridCol w:w="5760"/>
      </w:tblGrid>
      <w:tr w:rsidTr="006662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1</w:t>
            </w:r>
            <w:r w:rsidRPr="00EB3607">
              <w:t>)</w:t>
            </w:r>
          </w:p>
          <w:p w:rsidR="00000000" w:rsidP="00EB3607">
            <w:pPr>
              <w:pStyle w:val="BodyText"/>
              <w:rPr>
                <w:lang w:val="en-NZ"/>
              </w:rPr>
            </w:pPr>
            <w:r w:rsidRPr="00EB3607">
              <w:rPr>
                <w:rStyle w:val="SpecialBold"/>
              </w:rPr>
              <w:t>1</w:t>
            </w:r>
            <w:r w:rsidRPr="00EB3607">
              <w:t>.</w:t>
            </w:r>
            <w:r w:rsidRPr="00EB3607">
              <w:rPr>
                <w:rStyle w:val="SpecialBold"/>
              </w:rPr>
              <w:t>1</w:t>
            </w:r>
            <w:r w:rsidRPr="00EB3607">
              <w:t xml:space="preserve">) </w:t>
            </w:r>
            <w:r w:rsidRPr="00EB3607">
              <w:rPr>
                <w:rStyle w:val="SpecialBold"/>
              </w:rPr>
              <w:t>Descriptor</w:t>
            </w:r>
          </w:p>
        </w:tc>
      </w:tr>
      <w:tr w:rsidTr="006662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This unit covers fixing, securing and mounting techniques as apply in the various electrotechnology work functions. It encompasses the</w:t>
            </w:r>
            <w:r w:rsidRPr="00EB3607">
              <w:t xml:space="preserve"> safe use of hand and portable power tools, safe lifting techniques, safe use of ladders and elevated platforms and the selection and safe application of fixing devices and supporting accessories/equipment.</w:t>
            </w:r>
          </w:p>
        </w:tc>
      </w:tr>
    </w:tbl>
    <w:p w:rsidR="006662A5" w:rsidP="00EB3607">
      <w:pPr>
        <w:pStyle w:val="BodyText"/>
      </w:pPr>
    </w:p>
    <w:p w:rsidR="006662A5" w:rsidP="00EB3607">
      <w:pPr>
        <w:pStyle w:val="BodyText"/>
      </w:pPr>
    </w:p>
    <w:p w:rsidR="00000000" w:rsidRPr="00EB3607" w:rsidP="00EB3607">
      <w:pPr>
        <w:pStyle w:val="Heading1"/>
      </w:pPr>
      <w:bookmarkStart w:id="3" w:name="O_584373"/>
      <w:bookmarkEnd w:id="3"/>
      <w:r w:rsidRPr="00EB3607">
        <w:t>Application of the Unit</w:t>
      </w:r>
    </w:p>
    <w:p w:rsidR="00000000" w:rsidRPr="00EB3607" w:rsidP="00EB3607">
      <w:pPr>
        <w:pStyle w:val="BodyText"/>
      </w:pPr>
      <w:r w:rsidRPr="00EB3607">
        <w:t>Not Applicable</w:t>
      </w:r>
    </w:p>
    <w:p w:rsidR="00000000" w:rsidRPr="00EB3607" w:rsidP="00EB3607">
      <w:pPr>
        <w:pStyle w:val="AllowPageBreak"/>
      </w:pPr>
    </w:p>
    <w:p w:rsidR="00000000" w:rsidRPr="00EB3607" w:rsidP="00EB3607">
      <w:pPr>
        <w:pStyle w:val="Heading1"/>
      </w:pPr>
      <w:bookmarkStart w:id="4" w:name="O_584372"/>
      <w:bookmarkEnd w:id="4"/>
      <w:r w:rsidRPr="00EB3607">
        <w:t>Licensing/Regulatory Information</w:t>
      </w:r>
    </w:p>
    <w:tbl>
      <w:tblPr>
        <w:tblW w:w="0" w:type="auto"/>
        <w:tblLayout w:type="fixed"/>
        <w:tblCellMar>
          <w:left w:w="62" w:type="dxa"/>
          <w:right w:w="62" w:type="dxa"/>
        </w:tblCellMar>
        <w:tblLook w:val="0000"/>
      </w:tblPr>
      <w:tblGrid>
        <w:gridCol w:w="8460"/>
      </w:tblGrid>
      <w:tr w:rsidTr="006662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1</w:t>
            </w:r>
            <w:r w:rsidRPr="00EB3607">
              <w:t>.</w:t>
            </w:r>
            <w:r w:rsidRPr="00EB3607">
              <w:rPr>
                <w:rStyle w:val="SpecialBold"/>
              </w:rPr>
              <w:t>2</w:t>
            </w:r>
            <w:r w:rsidRPr="00EB3607">
              <w:t xml:space="preserve">) </w:t>
            </w:r>
            <w:r w:rsidRPr="00EB3607">
              <w:rPr>
                <w:rStyle w:val="SpecialBold"/>
              </w:rPr>
              <w:t>License to practice</w:t>
            </w:r>
          </w:p>
        </w:tc>
      </w:tr>
      <w:tr w:rsidTr="006662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During Training</w:t>
            </w:r>
            <w:r w:rsidRPr="00EB3607">
              <w:t>: Competency development activities are subject to regulations directly related to licencing, occupational health and safety and where applicable cont</w:t>
            </w:r>
            <w:r w:rsidRPr="00EB3607">
              <w:t xml:space="preserve">racts of training such as apprenticeships. </w:t>
            </w:r>
          </w:p>
          <w:p w:rsidR="00000000" w:rsidRPr="00EB3607" w:rsidP="00EB3607">
            <w:pPr>
              <w:pStyle w:val="BodyText"/>
            </w:pPr>
            <w:r w:rsidRPr="00EB3607">
              <w:rPr>
                <w:rStyle w:val="SpecialBold"/>
              </w:rPr>
              <w:t>In the workplace</w:t>
            </w:r>
            <w:r w:rsidRPr="00EB3607">
              <w:t>: The application of the skills and knowledge described in this unit require a license to practice in the workplace where work is carried out on electrical equipment or installations which are des</w:t>
            </w:r>
            <w:r w:rsidRPr="00EB3607">
              <w:t xml:space="preserve">igned to operate at voltages greater than 50 V a.c. or 120 V d.c. </w:t>
            </w:r>
          </w:p>
          <w:p w:rsidR="00000000" w:rsidRPr="00EB3607" w:rsidP="00EB3607">
            <w:pPr>
              <w:pStyle w:val="BodyText"/>
            </w:pPr>
            <w:r w:rsidRPr="00EB3607">
              <w:t xml:space="preserve">Other conditions may apply under State and Territory legislative and regulatory requirements. </w:t>
            </w:r>
          </w:p>
        </w:tc>
      </w:tr>
    </w:tbl>
    <w:p w:rsidR="006662A5" w:rsidP="00EB3607">
      <w:pPr>
        <w:pStyle w:val="BodyText"/>
      </w:pPr>
    </w:p>
    <w:p w:rsidR="006662A5" w:rsidP="00EB3607">
      <w:pPr>
        <w:pStyle w:val="BodyText"/>
      </w:pPr>
    </w:p>
    <w:p w:rsidR="00000000" w:rsidRPr="00EB3607" w:rsidP="00EB3607">
      <w:pPr>
        <w:pStyle w:val="Heading1"/>
      </w:pPr>
      <w:bookmarkStart w:id="5" w:name="O_584371"/>
      <w:bookmarkEnd w:id="5"/>
      <w:r w:rsidRPr="00EB3607">
        <w:t>Pre-Requisites</w:t>
      </w:r>
    </w:p>
    <w:tbl>
      <w:tblPr>
        <w:tblW w:w="0" w:type="auto"/>
        <w:tblLayout w:type="fixed"/>
        <w:tblCellMar>
          <w:left w:w="62" w:type="dxa"/>
          <w:right w:w="62" w:type="dxa"/>
        </w:tblCellMar>
        <w:tblLook w:val="0000"/>
      </w:tblPr>
      <w:tblGrid>
        <w:gridCol w:w="2700"/>
        <w:gridCol w:w="1890"/>
        <w:gridCol w:w="3870"/>
      </w:tblGrid>
      <w:tr w:rsidTr="006662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Prerequisite Unit</w:t>
            </w:r>
            <w:r w:rsidRPr="00EB3607">
              <w:t>(</w:t>
            </w:r>
            <w:r w:rsidRPr="00EB3607">
              <w:rPr>
                <w:rStyle w:val="SpecialBold"/>
              </w:rPr>
              <w:t>s</w:t>
            </w:r>
            <w:r w:rsidRPr="00EB3607">
              <w:t>)</w:t>
            </w:r>
          </w:p>
        </w:tc>
        <w:tc>
          <w:tcPr>
            <w:tcW w:w="5760" w:type="dxa"/>
            <w:gridSpan w:val="2"/>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2</w:t>
            </w:r>
            <w:r w:rsidRPr="00EB3607">
              <w:t>)</w:t>
            </w:r>
          </w:p>
        </w:tc>
      </w:tr>
      <w:tr w:rsidTr="006662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3607">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2</w:t>
            </w:r>
            <w:r w:rsidRPr="00EB3607">
              <w:t>.</w:t>
            </w:r>
            <w:r w:rsidRPr="00EB3607">
              <w:rPr>
                <w:rStyle w:val="SpecialBold"/>
              </w:rPr>
              <w:t>1</w:t>
            </w:r>
            <w:r w:rsidRPr="00EB3607">
              <w:t xml:space="preserve">) </w:t>
            </w:r>
            <w:r w:rsidRPr="00EB3607">
              <w:rPr>
                <w:rStyle w:val="SpecialBold"/>
              </w:rPr>
              <w:t>Competencies</w:t>
            </w:r>
          </w:p>
        </w:tc>
      </w:tr>
      <w:tr w:rsidTr="006662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Granting competency in this unit shall be made only after competency in the following unit(s) has/have been confirmed.</w:t>
            </w:r>
          </w:p>
          <w:p w:rsidR="00000000" w:rsidP="00EB3607">
            <w:pPr>
              <w:pStyle w:val="BodyText"/>
              <w:rPr>
                <w:lang w:val="en-NZ"/>
              </w:rPr>
            </w:pPr>
          </w:p>
        </w:tc>
      </w:tr>
      <w:tr w:rsidTr="006662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 xml:space="preserve">UEENEEE101A </w:t>
            </w:r>
          </w:p>
        </w:tc>
        <w:tc>
          <w:tcPr>
            <w:tcW w:w="387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Apply Occupational Health and Safety regulations, codes and practices in the workplace</w:t>
            </w:r>
          </w:p>
        </w:tc>
      </w:tr>
    </w:tbl>
    <w:p w:rsidR="006662A5" w:rsidP="00EB3607">
      <w:pPr>
        <w:pStyle w:val="BodyText"/>
      </w:pPr>
    </w:p>
    <w:p w:rsidR="006662A5" w:rsidP="00EB3607">
      <w:pPr>
        <w:pStyle w:val="BodyText"/>
      </w:pPr>
    </w:p>
    <w:p w:rsidR="00000000" w:rsidRPr="00EB3607" w:rsidP="00EB3607">
      <w:pPr>
        <w:pStyle w:val="Heading1"/>
      </w:pPr>
      <w:bookmarkStart w:id="6" w:name="O_584370"/>
      <w:bookmarkEnd w:id="6"/>
      <w:r w:rsidRPr="00EB3607">
        <w:t>Employability Skills Information</w:t>
      </w:r>
    </w:p>
    <w:tbl>
      <w:tblPr>
        <w:tblW w:w="0" w:type="auto"/>
        <w:tblLayout w:type="fixed"/>
        <w:tblCellMar>
          <w:left w:w="62" w:type="dxa"/>
          <w:right w:w="62" w:type="dxa"/>
        </w:tblCellMar>
        <w:tblLook w:val="0000"/>
      </w:tblPr>
      <w:tblGrid>
        <w:gridCol w:w="2700"/>
        <w:gridCol w:w="5760"/>
      </w:tblGrid>
      <w:tr w:rsidTr="006662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3</w:t>
            </w:r>
            <w:r w:rsidRPr="00EB3607">
              <w:t>)</w:t>
            </w:r>
          </w:p>
          <w:p w:rsidR="00000000" w:rsidRPr="00EB3607" w:rsidP="00EB3607">
            <w:pPr>
              <w:pStyle w:val="BodyText"/>
            </w:pPr>
            <w:r w:rsidRPr="00EB3607">
              <w:t>This unit contains Employability Skills</w:t>
            </w:r>
          </w:p>
          <w:p w:rsidR="00000000" w:rsidP="00EB3607">
            <w:pPr>
              <w:pStyle w:val="BodyText"/>
              <w:rPr>
                <w:lang w:val="en-NZ"/>
              </w:rPr>
            </w:pPr>
            <w:r w:rsidRPr="00EB3607">
              <w:t>The required outcomes described in this unit of competency contain applicable facets of Employability Skills. The Employability Skills Summary of the qualifica</w:t>
            </w:r>
            <w:r w:rsidRPr="00EB3607">
              <w:t>tion in which this unit of competency is packaged will assist in identifying Employability Skill requirements.</w:t>
            </w:r>
          </w:p>
        </w:tc>
      </w:tr>
      <w:tr w:rsidTr="006662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4</w:t>
            </w:r>
            <w:r w:rsidRPr="00EB3607">
              <w:t>)</w:t>
            </w:r>
          </w:p>
        </w:tc>
      </w:tr>
      <w:tr w:rsidTr="006662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360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4</w:t>
            </w:r>
            <w:r w:rsidRPr="00EB3607">
              <w:t>.</w:t>
            </w:r>
            <w:r w:rsidRPr="00EB3607">
              <w:rPr>
                <w:rStyle w:val="SpecialBold"/>
              </w:rPr>
              <w:t>1</w:t>
            </w:r>
            <w:r w:rsidRPr="00EB3607">
              <w:t xml:space="preserve">) </w:t>
            </w:r>
            <w:r w:rsidRPr="00EB3607">
              <w:rPr>
                <w:rStyle w:val="SpecialBold"/>
              </w:rPr>
              <w:t>General Application</w:t>
            </w:r>
            <w:r w:rsidRPr="00EB3607">
              <w:t xml:space="preserve"> </w:t>
            </w:r>
          </w:p>
          <w:p w:rsidR="00000000" w:rsidRPr="00EB3607" w:rsidP="00EB3607">
            <w:pPr>
              <w:pStyle w:val="BodyText"/>
            </w:pPr>
            <w:r w:rsidRPr="00EB3607">
              <w:t xml:space="preserve">This unit applies to all qualifications, competencies and/or Skill Sets which require an </w:t>
            </w:r>
            <w:r w:rsidRPr="00EB3607">
              <w:t xml:space="preserve">electrical licence. </w:t>
            </w:r>
          </w:p>
          <w:p w:rsidR="00000000" w:rsidRPr="00EB3607" w:rsidP="00EB3607">
            <w:pPr>
              <w:pStyle w:val="BodyText"/>
            </w:pPr>
            <w:r w:rsidRPr="00EB3607">
              <w:rPr>
                <w:rStyle w:val="SpecialBold"/>
              </w:rPr>
              <w:t>4</w:t>
            </w:r>
            <w:r w:rsidRPr="00EB3607">
              <w:t>.</w:t>
            </w:r>
            <w:r w:rsidRPr="00EB3607">
              <w:rPr>
                <w:rStyle w:val="SpecialBold"/>
              </w:rPr>
              <w:t>2</w:t>
            </w:r>
            <w:r w:rsidRPr="00EB3607">
              <w:t xml:space="preserve">) </w:t>
            </w:r>
            <w:r w:rsidRPr="00EB3607">
              <w:rPr>
                <w:rStyle w:val="SpecialBold"/>
              </w:rPr>
              <w:t>Importation</w:t>
            </w:r>
            <w:r w:rsidRPr="00EB3607">
              <w:t xml:space="preserve"> </w:t>
            </w:r>
          </w:p>
          <w:p w:rsidR="00000000" w:rsidRPr="00EB3607" w:rsidP="00EB3607">
            <w:pPr>
              <w:pStyle w:val="BodyText"/>
            </w:pPr>
            <w:r w:rsidRPr="00EB3607">
              <w:t>RTOs wishing to import this unit into any qualification under the flexibility provisions of NQC Training Package Policy</w:t>
            </w:r>
          </w:p>
        </w:tc>
      </w:tr>
    </w:tbl>
    <w:p w:rsidR="006662A5" w:rsidP="00EB3607">
      <w:pPr>
        <w:pStyle w:val="BodyText"/>
      </w:pPr>
    </w:p>
    <w:p w:rsidR="006662A5" w:rsidP="00EB3607">
      <w:pPr>
        <w:pStyle w:val="BodyText"/>
      </w:pPr>
    </w:p>
    <w:p w:rsidR="00000000" w:rsidRPr="00EB3607" w:rsidP="00EB3607">
      <w:pPr>
        <w:pStyle w:val="Heading1"/>
      </w:pPr>
      <w:bookmarkStart w:id="7" w:name="O_584369"/>
      <w:bookmarkEnd w:id="7"/>
      <w:r w:rsidRPr="00EB3607">
        <w:t>Elements and Performance Criteria Pre-Content</w:t>
      </w:r>
    </w:p>
    <w:tbl>
      <w:tblPr>
        <w:tblW w:w="0" w:type="auto"/>
        <w:tblLayout w:type="fixed"/>
        <w:tblCellMar>
          <w:left w:w="62" w:type="dxa"/>
          <w:right w:w="62" w:type="dxa"/>
        </w:tblCellMar>
        <w:tblLook w:val="0000"/>
      </w:tblPr>
      <w:tblGrid>
        <w:gridCol w:w="2416"/>
        <w:gridCol w:w="6092"/>
      </w:tblGrid>
      <w:tr w:rsidTr="006662A5">
        <w:tblPrEx>
          <w:tblW w:w="0" w:type="auto"/>
          <w:tblLayout w:type="fixed"/>
          <w:tblCellMar>
            <w:left w:w="62" w:type="dxa"/>
            <w:right w:w="62" w:type="dxa"/>
          </w:tblCellMar>
          <w:tblLook w:val="0000"/>
        </w:tblPrEx>
        <w:tc>
          <w:tcPr>
            <w:tcW w:w="2416"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6</w:t>
            </w:r>
            <w:r w:rsidRPr="00EB3607">
              <w:t>) Elements describe the essential outcomes of a unit of competency</w:t>
            </w:r>
          </w:p>
        </w:tc>
        <w:tc>
          <w:tcPr>
            <w:tcW w:w="6092"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Performance criteria describe the required performance needed to demonstrate achievement of the Element. Assessment of performance is to be consistent with the evidence guide.</w:t>
            </w:r>
          </w:p>
        </w:tc>
      </w:tr>
    </w:tbl>
    <w:p w:rsidR="00000000" w:rsidRPr="00EB3607" w:rsidP="00EB3607">
      <w:pPr>
        <w:pStyle w:val="BodyText"/>
      </w:pPr>
    </w:p>
    <w:p w:rsidR="00000000" w:rsidRPr="00EB3607" w:rsidP="00EB3607">
      <w:pPr>
        <w:pStyle w:val="AllowPageBreak"/>
      </w:pPr>
    </w:p>
    <w:p w:rsidR="00000000" w:rsidRPr="00EB3607" w:rsidP="00EB3607">
      <w:pPr>
        <w:pStyle w:val="Heading1"/>
      </w:pPr>
      <w:bookmarkStart w:id="8" w:name="O_584368"/>
      <w:bookmarkEnd w:id="8"/>
      <w:r w:rsidRPr="00EB3607">
        <w:t>Elements and Performance Criteria</w:t>
      </w:r>
    </w:p>
    <w:tbl>
      <w:tblPr>
        <w:tblW w:w="0" w:type="auto"/>
        <w:tblLayout w:type="fixed"/>
        <w:tblCellMar>
          <w:left w:w="62" w:type="dxa"/>
          <w:right w:w="62" w:type="dxa"/>
        </w:tblCellMar>
        <w:tblLook w:val="0000"/>
      </w:tblPr>
      <w:tblGrid>
        <w:gridCol w:w="404"/>
        <w:gridCol w:w="2012"/>
        <w:gridCol w:w="900"/>
        <w:gridCol w:w="5192"/>
      </w:tblGrid>
      <w:tr w:rsidTr="006662A5">
        <w:tblPrEx>
          <w:tblW w:w="0" w:type="auto"/>
          <w:tblLayout w:type="fixed"/>
          <w:tblCellMar>
            <w:left w:w="62" w:type="dxa"/>
            <w:right w:w="62" w:type="dxa"/>
          </w:tblCellMar>
          <w:tblLook w:val="0000"/>
        </w:tblPrEx>
        <w:trPr>
          <w:tblHeader/>
        </w:trPr>
        <w:tc>
          <w:tcPr>
            <w:tcW w:w="2416" w:type="dxa"/>
            <w:gridSpan w:val="2"/>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ELEMENT</w:t>
            </w:r>
          </w:p>
        </w:tc>
        <w:tc>
          <w:tcPr>
            <w:tcW w:w="6092" w:type="dxa"/>
            <w:gridSpan w:val="2"/>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PERFORMANCE CRITERIA</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w:t>
            </w:r>
          </w:p>
        </w:tc>
        <w:tc>
          <w:tcPr>
            <w:tcW w:w="2012" w:type="dxa"/>
            <w:vMerge w:val="restart"/>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Prepare to fix and secure equipment.</w:t>
            </w: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1.1</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OHS procedures for a given work area are identified, obtained and understood.</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1.2</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OHS risk control work preparation measures and procedure</w:t>
            </w:r>
            <w:r w:rsidRPr="00EB3607">
              <w:t>s are followed.</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1.3</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The scope of work to be undertaken is obtained from documentation or from work supervisor.</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1.4</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Advice is sought from the work supervisor to ensure the work is coordinated effectively with others.</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1.5</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Sources of materials that may be required for the work are identified and accessed in accordance with established procedures.</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1.6</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Fixing devices are selected for their suitable ability for the environment, the load they are to support and substratum's into which they are to be installed.</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1.7</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Supporting accessories/equipment is selected for suitability for the environment and abili</w:t>
            </w:r>
            <w:r w:rsidRPr="00EB3607">
              <w:t>ty to support and protect from damage that which they are intended to support.</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1.8</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Tools, equipment and testing devices needed to carry out the work are obtained and checked for correct operation and safety.</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2</w:t>
            </w:r>
          </w:p>
        </w:tc>
        <w:tc>
          <w:tcPr>
            <w:tcW w:w="2012" w:type="dxa"/>
            <w:vMerge w:val="restart"/>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Install fixing and support devices.</w:t>
            </w: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2.1</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El</w:t>
            </w:r>
            <w:r w:rsidRPr="00EB3607">
              <w:t>ectrical isolation is arranged where work is within arm's reach of exposed conductive parts, plant or machinery in strict accordance OHS requirements and procedures.</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2.2</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Other OHS risk control measures relevant to the work site are followed.</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2.3</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Fixing devices are installed in accordance with manufacturer instructions.</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2.4</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Support accessories/equipment is install accurately and to comply with technical standards and job specifications.</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2.5</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Work is carried out efficiently without waste of materials or damage to apparatus, circuits, the surrounding environment or services and using sustainable energy principles.</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3</w:t>
            </w:r>
          </w:p>
        </w:tc>
        <w:tc>
          <w:tcPr>
            <w:tcW w:w="2012" w:type="dxa"/>
            <w:vMerge w:val="restart"/>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Complete fixing and support work.</w:t>
            </w: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3.1</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OHS risk control work completion measures</w:t>
            </w:r>
            <w:r w:rsidRPr="00EB3607">
              <w:t xml:space="preserve"> and procedures are followed.</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3.2</w:t>
            </w:r>
          </w:p>
        </w:tc>
        <w:tc>
          <w:tcPr>
            <w:tcW w:w="519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Work site is tidied and tools and equipment cleaned and securely stored.</w:t>
            </w:r>
          </w:p>
        </w:tc>
      </w:tr>
      <w:tr w:rsidTr="006662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3.3</w:t>
            </w:r>
          </w:p>
        </w:tc>
        <w:tc>
          <w:tcPr>
            <w:tcW w:w="5192"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Appropriate personnel are notified of the work completion.</w:t>
            </w:r>
          </w:p>
        </w:tc>
      </w:tr>
    </w:tbl>
    <w:p w:rsidR="006662A5" w:rsidP="00EB3607">
      <w:pPr>
        <w:pStyle w:val="BodyText"/>
      </w:pPr>
    </w:p>
    <w:p w:rsidR="006662A5" w:rsidP="00EB3607">
      <w:pPr>
        <w:pStyle w:val="BodyText"/>
      </w:pPr>
    </w:p>
    <w:p w:rsidR="00000000" w:rsidRPr="00EB3607" w:rsidP="00EB3607">
      <w:pPr>
        <w:pStyle w:val="Heading1"/>
      </w:pPr>
      <w:bookmarkStart w:id="9" w:name="O_584367"/>
      <w:bookmarkEnd w:id="9"/>
      <w:r w:rsidRPr="00EB3607">
        <w:t>Required Skills and Knowledge</w:t>
      </w:r>
    </w:p>
    <w:tbl>
      <w:tblPr>
        <w:tblW w:w="0" w:type="auto"/>
        <w:tblLayout w:type="fixed"/>
        <w:tblCellMar>
          <w:left w:w="62" w:type="dxa"/>
          <w:right w:w="62" w:type="dxa"/>
        </w:tblCellMar>
        <w:tblLook w:val="0000"/>
      </w:tblPr>
      <w:tblGrid>
        <w:gridCol w:w="8508"/>
      </w:tblGrid>
      <w:tr w:rsidTr="006662A5">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REQUIRED SKILLS AND KNOWLEDGE</w:t>
            </w:r>
          </w:p>
        </w:tc>
      </w:tr>
      <w:tr w:rsidTr="006662A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7)</w:t>
            </w:r>
            <w:r w:rsidRPr="00EB3607">
              <w:t xml:space="preserve"> This describes the essential skills and knowledge and their level, required for this unit.</w:t>
            </w:r>
          </w:p>
        </w:tc>
      </w:tr>
      <w:tr w:rsidTr="006662A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Evidence shall show that knowledge has been acquired of safe working practices and fixing and securing equipment.</w:t>
            </w:r>
          </w:p>
          <w:p w:rsidR="00000000" w:rsidRPr="00EB3607" w:rsidP="00EB3607">
            <w:pPr>
              <w:pStyle w:val="BodyText"/>
            </w:pPr>
            <w:r w:rsidRPr="00EB3607">
              <w:t>The knowledge and skills shall be contextualis</w:t>
            </w:r>
            <w:r w:rsidRPr="00EB3607">
              <w:t xml:space="preserve">ed to current industry standards, technologies and practices. </w:t>
            </w:r>
          </w:p>
          <w:p w:rsidR="00000000" w:rsidRPr="00EB3607" w:rsidP="00EB3607">
            <w:pPr>
              <w:pStyle w:val="BodyText"/>
            </w:pPr>
            <w:r w:rsidRPr="00EB3607">
              <w:rPr>
                <w:rStyle w:val="SpecialBold"/>
              </w:rPr>
              <w:t>KS01-EE105A</w:t>
            </w:r>
            <w:r w:rsidRPr="00EB3607">
              <w:rPr>
                <w:rStyle w:val="SpecialBold"/>
              </w:rPr>
              <w:tab/>
              <w:t xml:space="preserve">               Fixing and support devices/techniques</w:t>
            </w:r>
          </w:p>
          <w:p w:rsidR="00000000" w:rsidRPr="00EB3607" w:rsidP="00EB3607">
            <w:pPr>
              <w:pStyle w:val="BodyText"/>
            </w:pPr>
            <w:r w:rsidRPr="00EB3607">
              <w:t>Evidence shall show an understanding of accessories and support and fixing device and methods and their use to an extent indicat</w:t>
            </w:r>
            <w:r w:rsidRPr="00EB3607">
              <w:t>ed by the following aspects:</w:t>
            </w:r>
          </w:p>
          <w:p w:rsidR="00000000" w:rsidRPr="00EB3607" w:rsidP="00EB3607">
            <w:pPr>
              <w:pStyle w:val="BodyText"/>
            </w:pPr>
            <w:r w:rsidRPr="00EB3607">
              <w:t>T1.</w:t>
            </w:r>
            <w:r w:rsidRPr="00EB3607">
              <w:tab/>
              <w:t>Device for securing and mounting electrical/electronic/instrumentation/refrigeration/ air-conditioning/telecommunications accessories for supporting, fixing and protecting wiring/cabling/piping and functional accessories to</w:t>
            </w:r>
            <w:r w:rsidRPr="00EB3607">
              <w:t xml:space="preserve"> hollow walls encompassing:</w:t>
            </w:r>
          </w:p>
          <w:p w:rsidR="00000000" w:rsidRPr="00EB3607" w:rsidP="00EB3607">
            <w:pPr>
              <w:pStyle w:val="ListBullet"/>
            </w:pPr>
            <w:r w:rsidRPr="00EB3607">
              <w:t>types and safe application of devices for hollow wall fixing and support</w:t>
            </w:r>
          </w:p>
          <w:p w:rsidR="00000000" w:rsidRPr="00EB3607" w:rsidP="00EB3607">
            <w:pPr>
              <w:pStyle w:val="ListBullet"/>
            </w:pPr>
            <w:r w:rsidRPr="00EB3607">
              <w:t>methods/techniques used to fix/support to wood, hollow wall, masonry blocks, plasterboard, panelling</w:t>
            </w:r>
          </w:p>
          <w:p w:rsidR="00000000" w:rsidRPr="00EB3607" w:rsidP="00EB3607">
            <w:pPr>
              <w:pStyle w:val="ListBullet"/>
            </w:pPr>
            <w:r w:rsidRPr="00EB3607">
              <w:t>types and safe application of fixing devices used in the electrotechnology industry for wood and hollow wall structures (wood screws, coach bolts, self-tappers, self drilling, metal thread, hollow wall anchors, behind plaster brackets, stud brackets, plast</w:t>
            </w:r>
            <w:r w:rsidRPr="00EB3607">
              <w:t>erboard devices, toggle devices)</w:t>
            </w:r>
          </w:p>
          <w:p w:rsidR="00000000" w:rsidRPr="00EB3607" w:rsidP="00EB3607">
            <w:pPr>
              <w:pStyle w:val="ListBullet"/>
            </w:pPr>
            <w:r w:rsidRPr="00EB3607">
              <w:t>types of tools used for hollow wall fixing and supporting.</w:t>
            </w:r>
          </w:p>
          <w:p w:rsidR="00000000" w:rsidRPr="00EB3607" w:rsidP="00EB3607">
            <w:pPr>
              <w:pStyle w:val="ListBullet"/>
            </w:pPr>
            <w:r w:rsidRPr="00EB3607">
              <w:t>using various fixing methods to fix/support to hollow walls.</w:t>
            </w:r>
          </w:p>
          <w:p w:rsidR="00000000" w:rsidRPr="00EB3607" w:rsidP="00EB3607">
            <w:pPr>
              <w:pStyle w:val="BodyText"/>
            </w:pPr>
            <w:r w:rsidRPr="00EB3607">
              <w:t>T2.</w:t>
            </w:r>
            <w:r w:rsidRPr="00EB3607">
              <w:tab/>
              <w:t>Device for securing and mounting electrical/electronic/instrumentation/refrigeration/ air-condition</w:t>
            </w:r>
            <w:r w:rsidRPr="00EB3607">
              <w:t>ing/telecommunications accessories for supporting, fixing and protecting wiring/cabling/piping and functional accessories to solid walls encompassing:</w:t>
            </w:r>
          </w:p>
          <w:p w:rsidR="00000000" w:rsidRPr="00EB3607" w:rsidP="00EB3607">
            <w:pPr>
              <w:pStyle w:val="ListBullet"/>
            </w:pPr>
            <w:r w:rsidRPr="00EB3607">
              <w:t>types and safe application of devices used for solid wall fixing and support</w:t>
            </w:r>
          </w:p>
          <w:p w:rsidR="00000000" w:rsidRPr="00EB3607" w:rsidP="00EB3607">
            <w:pPr>
              <w:pStyle w:val="ListBullet"/>
            </w:pPr>
            <w:r w:rsidRPr="00EB3607">
              <w:t xml:space="preserve">methods/techniques used in </w:t>
            </w:r>
            <w:r w:rsidRPr="00EB3607">
              <w:t>to fix to masonry and concrete structures</w:t>
            </w:r>
          </w:p>
          <w:p w:rsidR="00000000" w:rsidRPr="00EB3607" w:rsidP="00EB3607">
            <w:pPr>
              <w:pStyle w:val="ListBullet"/>
            </w:pPr>
            <w:r w:rsidRPr="00EB3607">
              <w:t>fixing devices used in the electrotechnology industry for solid wall structures (wall-plugs, expanding concrete fixing devices, gas powered fixing tools, powder actuated fixing tools, loxins, dynabolts, chemical de</w:t>
            </w:r>
            <w:r w:rsidRPr="00EB3607">
              <w:t>vices)</w:t>
            </w:r>
          </w:p>
          <w:p w:rsidR="00000000" w:rsidRPr="00EB3607" w:rsidP="00EB3607">
            <w:pPr>
              <w:pStyle w:val="ListBullet"/>
            </w:pPr>
            <w:r w:rsidRPr="00EB3607">
              <w:t>regulatory requirements for use of powder fixing tools.</w:t>
            </w:r>
          </w:p>
          <w:p w:rsidR="00000000" w:rsidRPr="00EB3607" w:rsidP="00EB3607">
            <w:pPr>
              <w:pStyle w:val="ListBullet"/>
            </w:pPr>
            <w:r w:rsidRPr="00EB3607">
              <w:t>hand and power tools used in fixing and supporting accessories</w:t>
            </w:r>
          </w:p>
          <w:p w:rsidR="00000000" w:rsidRPr="00EB3607" w:rsidP="00EB3607">
            <w:pPr>
              <w:pStyle w:val="ListBullet"/>
            </w:pPr>
            <w:r w:rsidRPr="00EB3607">
              <w:t>using various fixing methods to fix/support to solid walls</w:t>
            </w:r>
          </w:p>
          <w:p w:rsidR="00000000" w:rsidRPr="00EB3607" w:rsidP="00EB3607">
            <w:pPr>
              <w:pStyle w:val="BodyText"/>
            </w:pPr>
            <w:r w:rsidRPr="00EB3607">
              <w:t>T3.</w:t>
            </w:r>
            <w:r w:rsidRPr="00EB3607">
              <w:tab/>
              <w:t>Device for securing and mounting electrical/electronic/instrumentat</w:t>
            </w:r>
            <w:r w:rsidRPr="00EB3607">
              <w:t>ion/refrigeration/ air-conditioning/telecommunications accessories for supporting, fixing and protecting wiring/cabling/piping and functional accessories to metal fixing encompassing:</w:t>
            </w:r>
          </w:p>
          <w:p w:rsidR="00000000" w:rsidRPr="00EB3607" w:rsidP="00EB3607">
            <w:pPr>
              <w:pStyle w:val="ListBullet"/>
            </w:pPr>
            <w:r w:rsidRPr="00EB3607">
              <w:t>accessories that may be fixed to metal (saddle clips, conduits, bracket</w:t>
            </w:r>
            <w:r w:rsidRPr="00EB3607">
              <w:t>s, switches)</w:t>
            </w:r>
          </w:p>
          <w:p w:rsidR="00000000" w:rsidRPr="00EB3607" w:rsidP="00EB3607">
            <w:pPr>
              <w:pStyle w:val="ListBullet"/>
            </w:pPr>
            <w:r w:rsidRPr="00EB3607">
              <w:t>techniques for fixing to metal</w:t>
            </w:r>
          </w:p>
          <w:p w:rsidR="00000000" w:rsidRPr="00EB3607" w:rsidP="00EB3607">
            <w:pPr>
              <w:pStyle w:val="ListBullet"/>
            </w:pPr>
            <w:r w:rsidRPr="00EB3607">
              <w:t>fixing devices: coach bolts, self-tappers, metal thread bolts, hollow wall anchors, rivets</w:t>
            </w:r>
          </w:p>
          <w:p w:rsidR="00000000" w:rsidRPr="00EB3607" w:rsidP="00EB3607">
            <w:pPr>
              <w:pStyle w:val="ListBullet"/>
            </w:pPr>
            <w:r w:rsidRPr="00EB3607">
              <w:t>fixing tools - spanners, screwdrivers, power screw drivers, pop riveters, files, reamers</w:t>
            </w:r>
          </w:p>
          <w:p w:rsidR="00000000" w:rsidRPr="00EB3607" w:rsidP="00EB3607">
            <w:pPr>
              <w:pStyle w:val="ListBullet"/>
            </w:pPr>
            <w:r w:rsidRPr="00EB3607">
              <w:t>OH&amp;S issues related to drilling,</w:t>
            </w:r>
            <w:r w:rsidRPr="00EB3607">
              <w:t xml:space="preserve"> cutting, eye protection, metal filings, swarf, noise</w:t>
            </w:r>
          </w:p>
          <w:p w:rsidR="00000000" w:rsidRPr="00EB3607" w:rsidP="00EB3607">
            <w:pPr>
              <w:pStyle w:val="ListBullet"/>
            </w:pPr>
            <w:r w:rsidRPr="00EB3607">
              <w:t>Using power drills, drill bits, change drill speeds.</w:t>
            </w:r>
          </w:p>
          <w:p w:rsidR="00000000" w:rsidRPr="00EB3607" w:rsidP="00EB3607">
            <w:pPr>
              <w:pStyle w:val="ListBullet"/>
            </w:pPr>
            <w:r w:rsidRPr="00EB3607">
              <w:t>Install a fixing device and accessory capable of supporting up to 20 kg on the metal plate.</w:t>
            </w:r>
          </w:p>
          <w:p w:rsidR="00000000" w:rsidRPr="00EB3607" w:rsidP="00EB3607">
            <w:pPr>
              <w:pStyle w:val="BodyText"/>
            </w:pPr>
            <w:r w:rsidRPr="00EB3607">
              <w:t>T4.</w:t>
            </w:r>
            <w:r w:rsidRPr="00EB3607">
              <w:tab/>
              <w:t>Securing and mounting electrical/electronic/instrumen</w:t>
            </w:r>
            <w:r w:rsidRPr="00EB3607">
              <w:t>tation/refrigeration/ air-conditioning/telecommunications accessories for supporting, fixing and protecting wiring/cabling/piping and functional accessories using fixing adhesives and tapes encompassing:</w:t>
            </w:r>
          </w:p>
          <w:p w:rsidR="00000000" w:rsidRPr="00EB3607" w:rsidP="00EB3607">
            <w:pPr>
              <w:pStyle w:val="ListBullet"/>
            </w:pPr>
            <w:r w:rsidRPr="00EB3607">
              <w:t>types and safe application of using adhesives and tapes as fixing devices (load limits of different commercial products)</w:t>
            </w:r>
          </w:p>
          <w:p w:rsidR="00000000" w:rsidRPr="00EB3607" w:rsidP="00EB3607">
            <w:pPr>
              <w:pStyle w:val="ListBullet"/>
            </w:pPr>
            <w:r w:rsidRPr="00EB3607">
              <w:t>accessories that may be fixed using adhesives and tapes</w:t>
            </w:r>
          </w:p>
          <w:p w:rsidR="00000000" w:rsidRPr="00EB3607" w:rsidP="00EB3607">
            <w:pPr>
              <w:pStyle w:val="ListBullet"/>
            </w:pPr>
            <w:r w:rsidRPr="00EB3607">
              <w:t>techniques for the application of adhesives and tapes</w:t>
            </w:r>
          </w:p>
          <w:p w:rsidR="00000000" w:rsidRPr="00EB3607" w:rsidP="00EB3607">
            <w:pPr>
              <w:pStyle w:val="ListBullet"/>
            </w:pPr>
            <w:r w:rsidRPr="00EB3607">
              <w:t>tools used to apply and c</w:t>
            </w:r>
            <w:r w:rsidRPr="00EB3607">
              <w:t>ut adhesives and tapes</w:t>
            </w:r>
          </w:p>
          <w:p w:rsidR="00000000" w:rsidRPr="00EB3607" w:rsidP="00EB3607">
            <w:pPr>
              <w:pStyle w:val="ListBullet"/>
            </w:pPr>
            <w:r w:rsidRPr="00EB3607">
              <w:t>hazards and safety measures when working with adhesives and chemical fixing devices (fumes, cutting, eye protection, physical contact, hand protection, ingestion)</w:t>
            </w:r>
          </w:p>
        </w:tc>
      </w:tr>
    </w:tbl>
    <w:p w:rsidR="006662A5" w:rsidP="00EB3607">
      <w:pPr>
        <w:pStyle w:val="BodyText"/>
      </w:pPr>
    </w:p>
    <w:p w:rsidR="006662A5" w:rsidP="00EB3607">
      <w:pPr>
        <w:pStyle w:val="BodyText"/>
      </w:pPr>
    </w:p>
    <w:p w:rsidR="00000000" w:rsidRPr="00EB3607" w:rsidP="00EB3607">
      <w:pPr>
        <w:pStyle w:val="Heading1"/>
      </w:pPr>
      <w:bookmarkStart w:id="10" w:name="O_584366"/>
      <w:bookmarkEnd w:id="10"/>
      <w:r w:rsidRPr="00EB3607">
        <w:t>Evidence Guide</w:t>
      </w:r>
    </w:p>
    <w:tbl>
      <w:tblPr>
        <w:tblW w:w="0" w:type="auto"/>
        <w:tblLayout w:type="fixed"/>
        <w:tblCellMar>
          <w:left w:w="62" w:type="dxa"/>
          <w:right w:w="62" w:type="dxa"/>
        </w:tblCellMar>
        <w:tblLook w:val="0000"/>
      </w:tblPr>
      <w:tblGrid>
        <w:gridCol w:w="2160"/>
        <w:gridCol w:w="436"/>
        <w:gridCol w:w="540"/>
        <w:gridCol w:w="5372"/>
      </w:tblGrid>
      <w:tr w:rsidTr="006662A5">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EVIDENCE GUIDE</w:t>
            </w:r>
          </w:p>
        </w:tc>
      </w:tr>
      <w:tr w:rsidTr="006662A5">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9</w:t>
            </w:r>
            <w:r w:rsidRPr="00EB3607">
              <w:t xml:space="preserve">) The evidence guide provides advice on assessment and must be read in conjunction with the Performance Criteria, Required Skills and Knowledge, the Range Statement and the Assessment Guidelines for this Training Package. </w:t>
            </w:r>
          </w:p>
          <w:p w:rsidR="00000000" w:rsidP="00EB3607">
            <w:pPr>
              <w:pStyle w:val="BodyText"/>
              <w:rPr>
                <w:lang w:val="en-NZ"/>
              </w:rPr>
            </w:pPr>
            <w:r w:rsidRPr="00EB3607">
              <w:t>The Evidence Guide forms an integ</w:t>
            </w:r>
            <w:r w:rsidRPr="00EB3607">
              <w:t>ral part of this unit. It must be used in conjunction with all parts of the unit and performed in accordance with the Assessment Guidelines of this Training Package.</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9</w:t>
            </w:r>
            <w:r w:rsidRPr="00EB3607">
              <w:t>.</w:t>
            </w:r>
            <w:r w:rsidRPr="00EB3607">
              <w:rPr>
                <w:rStyle w:val="SpecialBold"/>
              </w:rPr>
              <w:t>1</w:t>
            </w:r>
            <w:r w:rsidRPr="00EB3607">
              <w:t xml:space="preserve">) </w:t>
            </w:r>
          </w:p>
          <w:p w:rsidR="00000000" w:rsidRPr="00EB3607" w:rsidP="00EB3607">
            <w:pPr>
              <w:pStyle w:val="BodyText"/>
            </w:pPr>
            <w:r w:rsidRPr="00EB3607">
              <w:t>Longitudinal competency development approaches to assessm</w:t>
            </w:r>
            <w:r w:rsidRPr="00EB3607">
              <w:t>ent, such as Profiling, require data to be reliably gathered in a form that can be consistently interpreted over time. This approach is best utilised in Apprenticeship programs and reduces assessment intervention. It is the industry-preferred model for app</w:t>
            </w:r>
            <w:r w:rsidRPr="00EB3607">
              <w:t xml:space="preserve">renticeships. However, where summative (or final) assessment is used it is to include the application of the competency in the normal work environment or, at a minimum, the application of the competency in a realistically simulated work environment. It is </w:t>
            </w:r>
            <w:r w:rsidRPr="00EB3607">
              <w:t>recognised that, in some circumstances, assessment in part or full can occur outside the workplace. However, it must be in accordance with industry and regulatory policy.</w:t>
            </w:r>
          </w:p>
          <w:p w:rsidR="00000000" w:rsidRPr="00EB3607" w:rsidP="00EB3607">
            <w:pPr>
              <w:pStyle w:val="BodyText"/>
            </w:pPr>
            <w:r w:rsidRPr="00EB3607">
              <w:t>Methods chosen for a particular assessment will be influenced by various factors. The</w:t>
            </w:r>
            <w:r w:rsidRPr="00EB3607">
              <w:t>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EB3607" w:rsidP="00EB3607">
            <w:pPr>
              <w:pStyle w:val="BodyText"/>
            </w:pPr>
            <w:r w:rsidRPr="00EB3607">
              <w:t>The</w:t>
            </w:r>
            <w:r w:rsidRPr="00EB3607">
              <w:t xml:space="preserve"> critical safety nature of working with electricity, electrical equipment, gas or any other hazardous substance/material carries risk in deeming a person competent. Sources of evidence need to be 'rich' in nature to minimise error in judgment.</w:t>
            </w:r>
          </w:p>
          <w:p w:rsidR="00000000" w:rsidP="00EB3607">
            <w:pPr>
              <w:pStyle w:val="BodyText"/>
              <w:rPr>
                <w:lang w:val="en-NZ"/>
              </w:rPr>
            </w:pPr>
            <w:r w:rsidRPr="00EB3607">
              <w:t>Activities a</w:t>
            </w:r>
            <w:r w:rsidRPr="00EB3607">
              <w:t>ssociated with normal everyday work have a bearing on the decision as to how much and how detailed the data gathered will contribute to its 'richness'. Some skills are more critical to safety and operational requirements while the same skills may be more o</w:t>
            </w:r>
            <w:r w:rsidRPr="00EB3607">
              <w:t>r less frequently practised. These points are raised for the assessors to consider when choosing an assessment method and developing assessment instruments. Sample assessment instruments are included for Assessors in the Assessment Guidelines of this Train</w:t>
            </w:r>
            <w:r w:rsidRPr="00EB3607">
              <w:t>ing Package.</w:t>
            </w:r>
          </w:p>
        </w:tc>
      </w:tr>
      <w:tr w:rsidTr="006662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 xml:space="preserve">Critical aspects of evidence required to demonstrate competency </w:t>
            </w:r>
            <w:r w:rsidRPr="00EB3607">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9</w:t>
            </w:r>
            <w:r w:rsidRPr="00EB3607">
              <w:t>.</w:t>
            </w:r>
            <w:r w:rsidRPr="00EB3607">
              <w:rPr>
                <w:rStyle w:val="SpecialBold"/>
              </w:rPr>
              <w:t>2</w:t>
            </w:r>
            <w:r w:rsidRPr="00EB3607">
              <w:t xml:space="preserve">) </w:t>
            </w:r>
          </w:p>
          <w:p w:rsidR="00000000" w:rsidP="00EB3607">
            <w:pPr>
              <w:pStyle w:val="BodyText"/>
              <w:rPr>
                <w:lang w:val="en-NZ"/>
              </w:rPr>
            </w:pPr>
            <w:r w:rsidRPr="00EB3607">
              <w:t>Before the critical aspects of evidence are considered all prerequisites must be met.</w:t>
            </w:r>
          </w:p>
        </w:tc>
      </w:tr>
      <w:tr w:rsidTr="006662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B3607">
            <w:pPr>
              <w:pStyle w:val="ListBullet"/>
              <w:rPr>
                <w:lang w:val="en-NZ"/>
              </w:rPr>
            </w:pPr>
            <w:r w:rsidRPr="00EB3607">
              <w:t>A representative body of work performance demonstrated within the timeframes typically expected of the discipline, work function and industrial environment. In particular this shall incorporate evidence that shows a candidate is able to:</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B3607" w:rsidP="00EB3607">
            <w:pPr>
              <w:pStyle w:val="ListBullet2"/>
            </w:pPr>
            <w:r w:rsidRPr="00EB3607">
              <w:t>Implement Occupational Health and Safety workplace procedures and practices, including the use of risk control measures as specified in the performance criteria and range statement</w:t>
            </w:r>
          </w:p>
          <w:p w:rsidR="00000000" w:rsidRPr="00EB3607" w:rsidP="00EB3607">
            <w:pPr>
              <w:pStyle w:val="ListBullet2"/>
            </w:pPr>
            <w:r w:rsidRPr="00EB3607">
              <w:t>Apply sustainable energy principles and practices as specified in the performance criteria and range statement</w:t>
            </w:r>
          </w:p>
          <w:p w:rsidR="00000000" w:rsidRPr="00EB3607" w:rsidP="00EB3607">
            <w:pPr>
              <w:pStyle w:val="ListBullet2"/>
            </w:pPr>
            <w:r w:rsidRPr="00EB3607">
              <w:t>Demonstrate an understanding of the essential knowledge and associated skills as described in this unit.  It may be required by some jurisdiction</w:t>
            </w:r>
            <w:r w:rsidRPr="00EB3607">
              <w:t xml:space="preserve">s that RTOs provide a percentile graded result for the purpose of regulatory or licensing requirements.   </w:t>
            </w:r>
          </w:p>
          <w:p w:rsidR="00000000" w:rsidRPr="00EB3607" w:rsidP="00EB3607">
            <w:pPr>
              <w:pStyle w:val="ListBullet2"/>
            </w:pPr>
            <w:r w:rsidRPr="00EB3607">
              <w:t>Demonstrate an appropriate level of skills enabling employment</w:t>
            </w:r>
          </w:p>
          <w:p w:rsidR="00000000" w:rsidP="00EB3607">
            <w:pPr>
              <w:pStyle w:val="ListBullet2"/>
              <w:rPr>
                <w:lang w:val="en-NZ"/>
              </w:rPr>
            </w:pPr>
            <w:r w:rsidRPr="00EB3607">
              <w:t>Conduct work observing the relevant Anti Discrimination legislation, regulations, poli</w:t>
            </w:r>
            <w:r w:rsidRPr="00EB3607">
              <w:t>ces and workplace procedures</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B3607">
            <w:pPr>
              <w:pStyle w:val="ListBullet"/>
              <w:rPr>
                <w:lang w:val="en-NZ"/>
              </w:rPr>
            </w:pPr>
            <w:r w:rsidRPr="00EB3607">
              <w:t>Demonstrated consistent performance across a representative range of contexts from the prescribed items below:</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B3607">
            <w:pPr>
              <w:pStyle w:val="ListBullet2"/>
              <w:rPr>
                <w:lang w:val="en-NZ"/>
              </w:rPr>
            </w:pPr>
            <w:r w:rsidRPr="00EB3607">
              <w:t>Fix and secure electrical equipment as described in 8) and including:</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A</w:t>
            </w:r>
          </w:p>
        </w:tc>
        <w:tc>
          <w:tcPr>
            <w:tcW w:w="537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Selecting fixing for loads of &amp;lt; 5 kg, &amp;lt; 20 kg and &amp;lt; 50 kg and suitable for the environment in which they are to be installed.</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B</w:t>
            </w:r>
          </w:p>
        </w:tc>
        <w:tc>
          <w:tcPr>
            <w:tcW w:w="537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Installing fixing devices in compliance with manufacturers instructions</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C</w:t>
            </w:r>
          </w:p>
        </w:tc>
        <w:tc>
          <w:tcPr>
            <w:tcW w:w="537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Installing appropriate devices for</w:t>
            </w:r>
            <w:r w:rsidRPr="00EB3607">
              <w:t xml:space="preserve"> fixing to a hollow wall, brick, concrete and steel.</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D</w:t>
            </w:r>
          </w:p>
        </w:tc>
        <w:tc>
          <w:tcPr>
            <w:tcW w:w="537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Installing fixing support accessories/equipment relevant the discipline in which competency is sought.</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E</w:t>
            </w:r>
          </w:p>
        </w:tc>
        <w:tc>
          <w:tcPr>
            <w:tcW w:w="537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 xml:space="preserve">Dealing with unplanned events </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9</w:t>
            </w:r>
            <w:r w:rsidRPr="00EB3607">
              <w:t>.</w:t>
            </w:r>
            <w:r w:rsidRPr="00EB3607">
              <w:rPr>
                <w:rStyle w:val="SpecialBold"/>
              </w:rPr>
              <w:t>3</w:t>
            </w:r>
            <w:r w:rsidRPr="00EB3607">
              <w:t xml:space="preserve">) </w:t>
            </w:r>
          </w:p>
          <w:p w:rsidR="00000000" w:rsidRPr="00EB3607" w:rsidP="00EB3607">
            <w:pPr>
              <w:pStyle w:val="BodyText"/>
            </w:pPr>
            <w:r w:rsidRPr="00EB3607">
              <w:t>This unit should be assessed as it relates to normal work practice using procedures, information and resources typical of a workplace. This should include:</w:t>
            </w:r>
          </w:p>
          <w:p w:rsidR="00000000" w:rsidRPr="00EB3607" w:rsidP="00EB3607">
            <w:pPr>
              <w:pStyle w:val="ListBullet"/>
            </w:pPr>
            <w:r w:rsidRPr="00EB3607">
              <w:t>OHS policy and work procedures and instructions.</w:t>
            </w:r>
          </w:p>
          <w:p w:rsidR="00000000" w:rsidRPr="00EB3607" w:rsidP="00EB3607">
            <w:pPr>
              <w:pStyle w:val="ListBullet"/>
            </w:pPr>
            <w:r w:rsidRPr="00EB3607">
              <w:t>Suitable work environment, facilities, equipment a</w:t>
            </w:r>
            <w:r w:rsidRPr="00EB3607">
              <w:t>nd materials to undertake actual work as prescribed in this unit.</w:t>
            </w:r>
          </w:p>
          <w:p w:rsidR="00000000" w:rsidRPr="00EB3607" w:rsidP="00EB3607">
            <w:pPr>
              <w:pStyle w:val="BodyText"/>
            </w:pPr>
            <w:r w:rsidRPr="00EB3607">
              <w:t>These should be used in the formal learning/assessment environment.</w:t>
            </w:r>
          </w:p>
          <w:p w:rsidR="00000000" w:rsidRPr="00EB3607" w:rsidP="00EB3607">
            <w:pPr>
              <w:pStyle w:val="BodyText"/>
            </w:pPr>
            <w:r w:rsidRPr="00EB3607">
              <w:t>Note:</w:t>
            </w:r>
          </w:p>
          <w:p w:rsidR="00000000" w:rsidP="00EB3607">
            <w:pPr>
              <w:pStyle w:val="BodyText"/>
              <w:rPr>
                <w:lang w:val="en-NZ"/>
              </w:rPr>
            </w:pPr>
            <w:r w:rsidRPr="00EB3607">
              <w:t>Where simulation is considered a suitable strategy for assessment, conditions for assessment must be authentic and a</w:t>
            </w:r>
            <w:r w:rsidRPr="00EB3607">
              <w:t>s far as possible reproduce and replicate the workplace and be consistent with the approved industry simulation policy.</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The resources used for assessment should reflect current industry practices in relation to fixing and securing electrical equipment.</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9</w:t>
            </w:r>
            <w:r w:rsidRPr="00EB3607">
              <w:t>.</w:t>
            </w:r>
            <w:r w:rsidRPr="00EB3607">
              <w:rPr>
                <w:rStyle w:val="SpecialBold"/>
              </w:rPr>
              <w:t>4</w:t>
            </w:r>
            <w:r w:rsidRPr="00EB3607">
              <w:t xml:space="preserve">) </w:t>
            </w:r>
          </w:p>
          <w:p w:rsidR="00000000" w:rsidRPr="00EB3607" w:rsidP="00EB3607">
            <w:pPr>
              <w:pStyle w:val="BodyText"/>
            </w:pPr>
            <w:r w:rsidRPr="00EB3607">
              <w:t>This unit shall be assessed by methods given in Volume 1, Part 3 'Assessment Guidelines'.</w:t>
            </w:r>
          </w:p>
          <w:p w:rsidR="00000000" w:rsidP="00EB3607">
            <w:pPr>
              <w:pStyle w:val="BodyText"/>
              <w:rPr>
                <w:lang w:val="en-NZ"/>
              </w:rPr>
            </w:pPr>
            <w:r w:rsidRPr="00EB3607">
              <w:t xml:space="preserve">Note: </w:t>
            </w:r>
            <w:r w:rsidRPr="00EB3607">
              <w:br/>
            </w:r>
            <w:r w:rsidRPr="00EB3607">
              <w:t>Competent performance with inherent safe working practices is expected in the Industry to which this unit applies. This requires that the specified essential knowledge and associated skills are assessed in a structured environment which is primarily intend</w:t>
            </w:r>
            <w:r w:rsidRPr="00EB3607">
              <w:t>ed for learning/assessment and incorporates all necessary equipment and facilities for learners to develop and demonstrate the essential knowledge and skills described in this unit.</w:t>
            </w:r>
          </w:p>
        </w:tc>
      </w:tr>
      <w:tr w:rsidTr="006662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9</w:t>
            </w:r>
            <w:r w:rsidRPr="00EB3607">
              <w:t>.</w:t>
            </w:r>
            <w:r w:rsidRPr="00EB3607">
              <w:rPr>
                <w:rStyle w:val="SpecialBold"/>
              </w:rPr>
              <w:t>5</w:t>
            </w:r>
            <w:r w:rsidRPr="00EB3607">
              <w:t>)</w:t>
            </w:r>
          </w:p>
        </w:tc>
      </w:tr>
      <w:tr w:rsidTr="006662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For op</w:t>
            </w:r>
            <w:r w:rsidRPr="00EB3607">
              <w:t>timisation of training and assessment effort, competency development in this unit may be arranged concurrently with units covering other installation competencies.</w:t>
            </w:r>
          </w:p>
        </w:tc>
      </w:tr>
    </w:tbl>
    <w:p w:rsidR="006662A5" w:rsidP="00EB3607">
      <w:pPr>
        <w:pStyle w:val="BodyText"/>
      </w:pPr>
    </w:p>
    <w:p w:rsidR="006662A5" w:rsidP="00EB3607">
      <w:pPr>
        <w:pStyle w:val="BodyText"/>
      </w:pPr>
    </w:p>
    <w:p w:rsidR="00000000" w:rsidRPr="00EB3607" w:rsidP="00EB3607">
      <w:pPr>
        <w:pStyle w:val="Heading1"/>
      </w:pPr>
      <w:bookmarkStart w:id="11" w:name="O_584365"/>
      <w:bookmarkEnd w:id="11"/>
      <w:r w:rsidRPr="00EB3607">
        <w:t>Range Statement</w:t>
      </w:r>
    </w:p>
    <w:tbl>
      <w:tblPr>
        <w:tblW w:w="0" w:type="auto"/>
        <w:tblLayout w:type="fixed"/>
        <w:tblCellMar>
          <w:left w:w="62" w:type="dxa"/>
          <w:right w:w="62" w:type="dxa"/>
        </w:tblCellMar>
        <w:tblLook w:val="0000"/>
      </w:tblPr>
      <w:tblGrid>
        <w:gridCol w:w="2160"/>
        <w:gridCol w:w="6348"/>
      </w:tblGrid>
      <w:tr w:rsidTr="006662A5">
        <w:tblPrEx>
          <w:tblW w:w="0" w:type="auto"/>
          <w:tblLayout w:type="fixed"/>
          <w:tblCellMar>
            <w:left w:w="62" w:type="dxa"/>
            <w:right w:w="62" w:type="dxa"/>
          </w:tblCellMar>
          <w:tblLook w:val="0000"/>
        </w:tblPrEx>
        <w:trPr>
          <w:tblHeader/>
        </w:trPr>
        <w:tc>
          <w:tcPr>
            <w:tcW w:w="8508" w:type="dxa"/>
            <w:gridSpan w:val="2"/>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RANGE STATEMENT</w:t>
            </w:r>
          </w:p>
        </w:tc>
      </w:tr>
      <w:tr w:rsidTr="006662A5">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8</w:t>
            </w:r>
            <w:r w:rsidRPr="00EB3607">
              <w:t>) This relates to the unit as a whole providing the range of contexts and conditions to which the performance criteria apply. It allows for different work environments and situations that will affect performance.</w:t>
            </w:r>
          </w:p>
        </w:tc>
      </w:tr>
      <w:tr w:rsidTr="006662A5">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This unit shall be demonstrated in relation to installation, fault finding, maintenance or development work functions in any of the following disciplines:</w:t>
            </w:r>
          </w:p>
        </w:tc>
      </w:tr>
      <w:tr w:rsidTr="006662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EB3607" w:rsidP="00EB3607">
            <w:pPr>
              <w:pStyle w:val="ListBullet"/>
            </w:pPr>
            <w:r w:rsidRPr="00EB3607">
              <w:t>Appliances</w:t>
            </w:r>
          </w:p>
          <w:p w:rsidR="00000000" w:rsidRPr="00EB3607" w:rsidP="00EB3607">
            <w:pPr>
              <w:pStyle w:val="ListBullet"/>
            </w:pPr>
            <w:r w:rsidRPr="00EB3607">
              <w:t>Business equipment</w:t>
            </w:r>
          </w:p>
          <w:p w:rsidR="00000000" w:rsidRPr="00EB3607" w:rsidP="00EB3607">
            <w:pPr>
              <w:pStyle w:val="ListBullet"/>
            </w:pPr>
            <w:r w:rsidRPr="00EB3607">
              <w:t xml:space="preserve">Computers </w:t>
            </w:r>
          </w:p>
          <w:p w:rsidR="00000000" w:rsidRPr="00EB3607" w:rsidP="00EB3607">
            <w:pPr>
              <w:pStyle w:val="ListBullet"/>
            </w:pPr>
            <w:r w:rsidRPr="00EB3607">
              <w:t>Data Communications</w:t>
            </w:r>
          </w:p>
          <w:p w:rsidR="00000000" w:rsidRPr="00EB3607" w:rsidP="00EB3607">
            <w:pPr>
              <w:pStyle w:val="ListBullet"/>
            </w:pPr>
            <w:r w:rsidRPr="00EB3607">
              <w:t>Electrical</w:t>
            </w:r>
          </w:p>
          <w:p w:rsidR="00000000" w:rsidRPr="00EB3607" w:rsidP="00EB3607">
            <w:pPr>
              <w:pStyle w:val="ListBullet"/>
            </w:pPr>
            <w:r w:rsidRPr="00EB3607">
              <w:t>Electrical Machines</w:t>
            </w:r>
          </w:p>
          <w:p w:rsidR="00000000" w:rsidRPr="00EB3607" w:rsidP="00EB3607">
            <w:pPr>
              <w:pStyle w:val="ListBullet"/>
            </w:pPr>
            <w:r w:rsidRPr="00EB3607">
              <w:t>Elect</w:t>
            </w:r>
            <w:r w:rsidRPr="00EB3607">
              <w:t>ronics</w:t>
            </w:r>
          </w:p>
          <w:p w:rsidR="00000000" w:rsidRPr="00EB3607" w:rsidP="00EB3607">
            <w:pPr>
              <w:pStyle w:val="ListBullet"/>
            </w:pPr>
            <w:r w:rsidRPr="00EB3607">
              <w:t>Fire protection</w:t>
            </w:r>
          </w:p>
          <w:p w:rsidR="00000000" w:rsidRPr="00EB3607" w:rsidP="00EB3607">
            <w:pPr>
              <w:pStyle w:val="ListBullet"/>
            </w:pPr>
            <w:r w:rsidRPr="00EB3607">
              <w:t>Instrumentation</w:t>
            </w:r>
          </w:p>
          <w:p w:rsidR="00000000" w:rsidRPr="00EB3607" w:rsidP="00EB3607">
            <w:pPr>
              <w:pStyle w:val="ListBullet"/>
            </w:pPr>
            <w:r w:rsidRPr="00EB3607">
              <w:t>Refrigeration and Air Conditioning</w:t>
            </w:r>
          </w:p>
          <w:p w:rsidR="00000000" w:rsidRPr="00EB3607" w:rsidP="00EB3607">
            <w:pPr>
              <w:pStyle w:val="ListBullet"/>
            </w:pPr>
            <w:r w:rsidRPr="00EB3607">
              <w:t>Renewable / sustainable energy, and</w:t>
            </w:r>
          </w:p>
          <w:p w:rsidR="00000000" w:rsidP="00EB3607">
            <w:pPr>
              <w:pStyle w:val="ListBullet"/>
              <w:rPr>
                <w:lang w:val="en-NZ"/>
              </w:rPr>
            </w:pPr>
            <w:r w:rsidRPr="00EB3607">
              <w:t xml:space="preserve">Security technology </w:t>
            </w:r>
          </w:p>
        </w:tc>
      </w:tr>
      <w:tr w:rsidTr="006662A5">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Generic terms used throughout this Vocational Standard shall be regarded as part of the Range Statement in which competency is demonstrated. The definition of these and other terms that apply are given in Volume 2, Part 2.1.</w:t>
            </w:r>
          </w:p>
        </w:tc>
      </w:tr>
    </w:tbl>
    <w:p w:rsidR="006662A5" w:rsidP="00EB3607">
      <w:pPr>
        <w:pStyle w:val="BodyText"/>
      </w:pPr>
    </w:p>
    <w:p w:rsidR="006662A5" w:rsidP="00EB3607">
      <w:pPr>
        <w:pStyle w:val="BodyText"/>
      </w:pPr>
    </w:p>
    <w:p w:rsidR="00000000" w:rsidRPr="00EB3607" w:rsidP="00EB3607">
      <w:pPr>
        <w:pStyle w:val="Heading1"/>
      </w:pPr>
      <w:bookmarkStart w:id="12" w:name="O_584364"/>
      <w:bookmarkEnd w:id="12"/>
      <w:r w:rsidRPr="00EB3607">
        <w:t>Unit Sector(s)</w:t>
      </w:r>
    </w:p>
    <w:p w:rsidR="00000000" w:rsidRPr="00EB3607" w:rsidP="00EB3607">
      <w:pPr>
        <w:pStyle w:val="BodyText"/>
      </w:pPr>
      <w:r w:rsidRPr="00EB3607">
        <w:t>Not Applicable</w:t>
      </w:r>
    </w:p>
    <w:p w:rsidR="00000000" w:rsidRPr="00EB3607" w:rsidP="00EB3607">
      <w:pPr>
        <w:pStyle w:val="AllowPageBreak"/>
      </w:pPr>
    </w:p>
    <w:p w:rsidR="00000000" w:rsidRPr="00EB3607" w:rsidP="00EB3607">
      <w:pPr>
        <w:pStyle w:val="Heading1"/>
      </w:pPr>
      <w:bookmarkStart w:id="13" w:name="O_584363"/>
      <w:bookmarkEnd w:id="13"/>
      <w:r w:rsidRPr="00EB360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662A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2</w:t>
            </w:r>
            <w:r w:rsidRPr="00EB3607">
              <w:t>.</w:t>
            </w:r>
            <w:r w:rsidRPr="00EB3607">
              <w:rPr>
                <w:rStyle w:val="SpecialBold"/>
              </w:rPr>
              <w:t>2</w:t>
            </w:r>
            <w:r w:rsidRPr="00EB3607">
              <w:t xml:space="preserve">) </w:t>
            </w:r>
            <w:r w:rsidRPr="00EB3607">
              <w:rPr>
                <w:rStyle w:val="SpecialBold"/>
              </w:rPr>
              <w:t>Literacy and numeracy skills</w:t>
            </w:r>
          </w:p>
          <w:p w:rsidR="00000000" w:rsidP="00EB3607">
            <w:pPr>
              <w:pStyle w:val="BodyText"/>
              <w:rPr>
                <w:lang w:val="en-NZ"/>
              </w:rPr>
            </w:pPr>
            <w:r w:rsidRPr="00EB3607">
              <w:t xml:space="preserve">Participants are best equipped to achieve competency in this unit if they have reading, writing and numeracy skills indicated </w:t>
            </w:r>
            <w:r w:rsidRPr="00EB3607">
              <w:t>by the following scales. Description of each scale is given in Volume 2, Part 3 'Literacy and Numeracy'</w:t>
            </w:r>
          </w:p>
        </w:tc>
      </w:tr>
      <w:tr w:rsidTr="006662A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Reading</w:t>
            </w:r>
          </w:p>
        </w:tc>
        <w:tc>
          <w:tcPr>
            <w:tcW w:w="118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3</w:t>
            </w:r>
          </w:p>
        </w:tc>
        <w:tc>
          <w:tcPr>
            <w:tcW w:w="1739"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Writing</w:t>
            </w:r>
          </w:p>
        </w:tc>
        <w:tc>
          <w:tcPr>
            <w:tcW w:w="1182"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3</w:t>
            </w:r>
          </w:p>
        </w:tc>
        <w:tc>
          <w:tcPr>
            <w:tcW w:w="1721"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t>Numeracy</w:t>
            </w:r>
          </w:p>
        </w:tc>
        <w:tc>
          <w:tcPr>
            <w:tcW w:w="1182"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3</w:t>
            </w:r>
          </w:p>
        </w:tc>
      </w:tr>
    </w:tbl>
    <w:p w:rsidR="006662A5" w:rsidP="00EB3607">
      <w:pPr>
        <w:pStyle w:val="BodyText"/>
      </w:pPr>
    </w:p>
    <w:p w:rsidR="006662A5" w:rsidP="00EB3607">
      <w:pPr>
        <w:pStyle w:val="BodyText"/>
      </w:pPr>
    </w:p>
    <w:p w:rsidR="00000000" w:rsidRPr="00EB3607" w:rsidP="00EB3607">
      <w:pPr>
        <w:pStyle w:val="Heading1"/>
      </w:pPr>
      <w:bookmarkStart w:id="14" w:name="O_584362"/>
      <w:bookmarkEnd w:id="14"/>
      <w:r w:rsidRPr="00EB3607">
        <w:t>2.2) Literacy and numeracy skills</w:t>
      </w:r>
    </w:p>
    <w:tbl>
      <w:tblPr>
        <w:tblW w:w="0" w:type="auto"/>
        <w:tblLayout w:type="fixed"/>
        <w:tblCellMar>
          <w:left w:w="62" w:type="dxa"/>
          <w:right w:w="62" w:type="dxa"/>
        </w:tblCellMar>
        <w:tblLook w:val="0000"/>
      </w:tblPr>
      <w:tblGrid>
        <w:gridCol w:w="2700"/>
        <w:gridCol w:w="5760"/>
      </w:tblGrid>
      <w:tr w:rsidTr="006662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3607">
            <w:pPr>
              <w:pStyle w:val="BodyText"/>
              <w:rPr>
                <w:lang w:val="en-NZ"/>
              </w:rPr>
            </w:pPr>
            <w:r w:rsidRPr="00EB3607">
              <w:rPr>
                <w:rStyle w:val="SpecialBold"/>
              </w:rPr>
              <w:t>5</w:t>
            </w:r>
            <w:r w:rsidRPr="00EB3607">
              <w:t>)</w:t>
            </w:r>
          </w:p>
        </w:tc>
      </w:tr>
      <w:tr w:rsidTr="006662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607" w:rsidP="00EB3607">
            <w:pPr>
              <w:pStyle w:val="BodyText"/>
            </w:pPr>
            <w:r w:rsidRPr="00EB3607">
              <w:t>Electrotechnology</w:t>
            </w:r>
          </w:p>
        </w:tc>
      </w:tr>
    </w:tbl>
    <w:p w:rsidR="006662A5" w:rsidP="00EB3607">
      <w:pPr>
        <w:pStyle w:val="BodyText"/>
      </w:pPr>
    </w:p>
    <w:p w:rsidR="006662A5" w:rsidP="00EB3607">
      <w:pPr>
        <w:pStyle w:val="BodyText"/>
      </w:pPr>
    </w:p>
    <w:p w:rsidR="00000000" w:rsidRPr="00EB3607" w:rsidP="00EB3607"/>
    <w:sectPr w:rsidSect="00EB36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07" w:rsidRPr="006662A5" w:rsidP="00666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2A5" w:rsidP="00EB3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662A5" w:rsidP="00EB36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662A5" w:rsidP="00EB36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07" w:rsidRPr="006662A5" w:rsidP="006662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2A5" w:rsidRPr="002D2AF8" w:rsidP="00EB3607">
    <w:pPr>
      <w:pStyle w:val="Header"/>
      <w:framePr w:wrap="around"/>
    </w:pPr>
    <w:r>
      <w:fldChar w:fldCharType="begin"/>
    </w:r>
    <w:r>
      <w:instrText xml:space="preserve"> TITLE   \* MERGEFORMAT </w:instrText>
    </w:r>
    <w:r>
      <w:fldChar w:fldCharType="separate"/>
    </w:r>
    <w:r>
      <w:t>UEENEEE105A Fix and secure electrotechnology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662A5" w:rsidP="00EB3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26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EC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9E7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607"/>
    <w:pPr>
      <w:spacing w:before="360" w:after="60"/>
      <w:outlineLvl w:val="0"/>
    </w:pPr>
    <w:rPr>
      <w:sz w:val="32"/>
    </w:rPr>
  </w:style>
  <w:style w:type="paragraph" w:styleId="Heading2">
    <w:name w:val="heading 2"/>
    <w:basedOn w:val="HeadingBase"/>
    <w:next w:val="BodyText"/>
    <w:link w:val="Heading2Char"/>
    <w:qFormat/>
    <w:rsid w:val="00EB3607"/>
    <w:pPr>
      <w:keepLines/>
      <w:spacing w:before="240" w:after="120"/>
      <w:outlineLvl w:val="1"/>
    </w:pPr>
    <w:rPr>
      <w:sz w:val="28"/>
      <w:szCs w:val="40"/>
    </w:rPr>
  </w:style>
  <w:style w:type="paragraph" w:styleId="Heading3">
    <w:name w:val="heading 3"/>
    <w:basedOn w:val="HeadingBase"/>
    <w:next w:val="BodyText"/>
    <w:link w:val="Heading3Char"/>
    <w:qFormat/>
    <w:rsid w:val="00EB3607"/>
    <w:pPr>
      <w:spacing w:before="180" w:after="120"/>
      <w:outlineLvl w:val="2"/>
    </w:pPr>
    <w:rPr>
      <w:spacing w:val="-10"/>
      <w:kern w:val="32"/>
    </w:rPr>
  </w:style>
  <w:style w:type="paragraph" w:styleId="Heading4">
    <w:name w:val="heading 4"/>
    <w:basedOn w:val="HeadingBase"/>
    <w:next w:val="BodyText"/>
    <w:link w:val="Heading4Char"/>
    <w:qFormat/>
    <w:rsid w:val="00EB3607"/>
    <w:pPr>
      <w:spacing w:before="160" w:after="120"/>
      <w:outlineLvl w:val="3"/>
    </w:pPr>
    <w:rPr>
      <w:sz w:val="22"/>
    </w:rPr>
  </w:style>
  <w:style w:type="paragraph" w:styleId="Heading5">
    <w:name w:val="heading 5"/>
    <w:basedOn w:val="HeadingBase"/>
    <w:next w:val="Normal"/>
    <w:link w:val="Heading5Char"/>
    <w:qFormat/>
    <w:rsid w:val="00EB3607"/>
    <w:pPr>
      <w:spacing w:before="80"/>
      <w:outlineLvl w:val="4"/>
    </w:pPr>
    <w:rPr>
      <w:color w:val="918585"/>
      <w:sz w:val="20"/>
    </w:rPr>
  </w:style>
  <w:style w:type="paragraph" w:styleId="Heading6">
    <w:name w:val="heading 6"/>
    <w:basedOn w:val="HeadingBase"/>
    <w:next w:val="Normal"/>
    <w:link w:val="Heading6Char"/>
    <w:qFormat/>
    <w:rsid w:val="00EB3607"/>
    <w:pPr>
      <w:spacing w:before="60"/>
      <w:outlineLvl w:val="5"/>
    </w:pPr>
    <w:rPr>
      <w:color w:val="918585"/>
      <w:sz w:val="20"/>
    </w:rPr>
  </w:style>
  <w:style w:type="paragraph" w:styleId="Heading7">
    <w:name w:val="heading 7"/>
    <w:basedOn w:val="Normal"/>
    <w:next w:val="Normal"/>
    <w:link w:val="Heading7Char"/>
    <w:qFormat/>
    <w:rsid w:val="00EB3607"/>
    <w:pPr>
      <w:ind w:left="720"/>
      <w:outlineLvl w:val="6"/>
    </w:pPr>
    <w:rPr>
      <w:i/>
    </w:rPr>
  </w:style>
  <w:style w:type="paragraph" w:styleId="Heading8">
    <w:name w:val="heading 8"/>
    <w:basedOn w:val="Normal"/>
    <w:next w:val="Normal"/>
    <w:link w:val="Heading8Char"/>
    <w:qFormat/>
    <w:rsid w:val="00EB3607"/>
    <w:pPr>
      <w:ind w:left="720"/>
      <w:outlineLvl w:val="7"/>
    </w:pPr>
    <w:rPr>
      <w:i/>
    </w:rPr>
  </w:style>
  <w:style w:type="paragraph" w:styleId="Heading9">
    <w:name w:val="heading 9"/>
    <w:basedOn w:val="Normal"/>
    <w:next w:val="Normal"/>
    <w:link w:val="Heading9Char"/>
    <w:qFormat/>
    <w:rsid w:val="00EB3607"/>
    <w:pPr>
      <w:ind w:left="720"/>
      <w:outlineLvl w:val="8"/>
    </w:pPr>
    <w:rPr>
      <w:i/>
    </w:rPr>
  </w:style>
  <w:style w:type="character" w:default="1" w:styleId="DefaultParagraphFont">
    <w:name w:val="Default Paragraph Font"/>
    <w:uiPriority w:val="1"/>
    <w:unhideWhenUsed/>
    <w:rsid w:val="00EB3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607"/>
  </w:style>
  <w:style w:type="character" w:customStyle="1" w:styleId="Heading1Char">
    <w:name w:val="Heading 1 Char"/>
    <w:basedOn w:val="DefaultParagraphFont"/>
    <w:link w:val="Heading1"/>
    <w:rsid w:val="00EB3607"/>
    <w:rPr>
      <w:rFonts w:ascii="Times New Roman" w:eastAsia="Times New Roman" w:hAnsi="Times New Roman" w:cs="Times New Roman"/>
      <w:b/>
      <w:sz w:val="32"/>
      <w:szCs w:val="20"/>
      <w:lang w:eastAsia="en-US"/>
    </w:rPr>
  </w:style>
  <w:style w:type="paragraph" w:styleId="BodyText">
    <w:name w:val="Body Text"/>
    <w:basedOn w:val="Normal"/>
    <w:link w:val="BodyTextChar"/>
    <w:rsid w:val="00EB36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607"/>
    <w:rPr>
      <w:rFonts w:ascii="Times New Roman" w:eastAsia="Times New Roman" w:hAnsi="Times New Roman" w:cs="Times New Roman"/>
      <w:sz w:val="24"/>
      <w:lang w:eastAsia="en-US"/>
    </w:rPr>
  </w:style>
  <w:style w:type="paragraph" w:styleId="ListBullet">
    <w:name w:val="List Bullet"/>
    <w:basedOn w:val="List"/>
    <w:rsid w:val="00EB3607"/>
    <w:pPr>
      <w:numPr>
        <w:numId w:val="13"/>
      </w:numPr>
      <w:tabs>
        <w:tab w:val="clear" w:pos="340"/>
      </w:tabs>
      <w:spacing w:before="40" w:after="40"/>
    </w:pPr>
  </w:style>
  <w:style w:type="character" w:customStyle="1" w:styleId="SpecialBold">
    <w:name w:val="Special Bold"/>
    <w:basedOn w:val="DefaultParagraphFont"/>
    <w:rsid w:val="00EB3607"/>
    <w:rPr>
      <w:b/>
      <w:spacing w:val="0"/>
    </w:rPr>
  </w:style>
  <w:style w:type="paragraph" w:styleId="ListBullet2">
    <w:name w:val="List Bullet 2"/>
    <w:basedOn w:val="List2"/>
    <w:rsid w:val="00EB3607"/>
    <w:pPr>
      <w:numPr>
        <w:numId w:val="14"/>
      </w:numPr>
      <w:tabs>
        <w:tab w:val="clear" w:pos="680"/>
      </w:tabs>
    </w:pPr>
  </w:style>
  <w:style w:type="paragraph" w:customStyle="1" w:styleId="SuperHeading">
    <w:name w:val="SuperHeading"/>
    <w:basedOn w:val="Normal"/>
    <w:rsid w:val="00EB3607"/>
    <w:pPr>
      <w:spacing w:before="240" w:after="120"/>
      <w:outlineLvl w:val="0"/>
    </w:pPr>
    <w:rPr>
      <w:rFonts w:ascii="Times New Roman" w:hAnsi="Times New Roman"/>
      <w:b/>
      <w:sz w:val="32"/>
    </w:rPr>
  </w:style>
  <w:style w:type="paragraph" w:customStyle="1" w:styleId="AllowPageBreak">
    <w:name w:val="AllowPageBreak"/>
    <w:rsid w:val="00EB36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607"/>
    <w:rPr>
      <w:rFonts w:ascii="Courier New" w:eastAsia="Times New Roman" w:hAnsi="Courier New" w:cs="Times New Roman"/>
      <w:i/>
      <w:szCs w:val="20"/>
      <w:lang w:eastAsia="en-US"/>
    </w:rPr>
  </w:style>
  <w:style w:type="paragraph" w:customStyle="1" w:styleId="HeadingBase">
    <w:name w:val="Heading Base"/>
    <w:rsid w:val="00EB3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607"/>
    <w:pPr>
      <w:tabs>
        <w:tab w:val="right" w:leader="dot" w:pos="9072"/>
      </w:tabs>
      <w:ind w:left="567"/>
    </w:pPr>
    <w:rPr>
      <w:szCs w:val="22"/>
    </w:rPr>
  </w:style>
  <w:style w:type="paragraph" w:customStyle="1" w:styleId="TOCBase">
    <w:name w:val="TOC Base"/>
    <w:rsid w:val="00EB3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607"/>
    <w:pPr>
      <w:tabs>
        <w:tab w:val="right" w:leader="dot" w:pos="9072"/>
      </w:tabs>
      <w:spacing w:before="40" w:after="40"/>
      <w:ind w:left="284"/>
    </w:pPr>
    <w:rPr>
      <w:rFonts w:ascii="Times New Roman" w:hAnsi="Times New Roman"/>
    </w:rPr>
  </w:style>
  <w:style w:type="paragraph" w:styleId="TOC1">
    <w:name w:val="toc 1"/>
    <w:basedOn w:val="TOCBase"/>
    <w:next w:val="Normal"/>
    <w:rsid w:val="00EB36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607"/>
    <w:rPr>
      <w:rFonts w:ascii="Times New Roman" w:eastAsia="Times New Roman" w:hAnsi="Times New Roman" w:cs="Times New Roman"/>
      <w:sz w:val="16"/>
      <w:lang w:eastAsia="en-US"/>
    </w:rPr>
  </w:style>
  <w:style w:type="paragraph" w:styleId="Title">
    <w:name w:val="Title"/>
    <w:basedOn w:val="HeadingBase"/>
    <w:link w:val="TitleChar"/>
    <w:qFormat/>
    <w:rsid w:val="00EB3607"/>
    <w:pPr>
      <w:spacing w:before="5040"/>
      <w:jc w:val="center"/>
    </w:pPr>
    <w:rPr>
      <w:sz w:val="48"/>
      <w:szCs w:val="72"/>
      <w:lang w:val="en-US"/>
    </w:rPr>
  </w:style>
  <w:style w:type="character" w:customStyle="1" w:styleId="TitleChar">
    <w:name w:val="Title Char"/>
    <w:basedOn w:val="DefaultParagraphFont"/>
    <w:link w:val="Title"/>
    <w:rsid w:val="00EB3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607"/>
    <w:pPr>
      <w:tabs>
        <w:tab w:val="left" w:pos="3600"/>
        <w:tab w:val="left" w:pos="3958"/>
      </w:tabs>
    </w:pPr>
  </w:style>
  <w:style w:type="paragraph" w:styleId="List">
    <w:name w:val="List"/>
    <w:basedOn w:val="BodyText"/>
    <w:next w:val="BodyText"/>
    <w:rsid w:val="00EB3607"/>
    <w:pPr>
      <w:tabs>
        <w:tab w:val="left" w:pos="340"/>
      </w:tabs>
      <w:spacing w:before="60" w:after="60"/>
      <w:ind w:left="340" w:hanging="340"/>
    </w:pPr>
  </w:style>
  <w:style w:type="paragraph" w:customStyle="1" w:styleId="Note">
    <w:name w:val="Note"/>
    <w:basedOn w:val="BodyText"/>
    <w:rsid w:val="00EB3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607"/>
    <w:pPr>
      <w:framePr w:wrap="auto" w:hAnchor="text" w:y="6049"/>
    </w:pPr>
    <w:rPr>
      <w:color w:val="000000"/>
      <w:sz w:val="40"/>
    </w:rPr>
  </w:style>
  <w:style w:type="paragraph" w:customStyle="1" w:styleId="TOCTitle">
    <w:name w:val="TOCTitle"/>
    <w:basedOn w:val="Heading1"/>
    <w:rsid w:val="00EB3607"/>
    <w:pPr>
      <w:spacing w:after="240"/>
      <w:jc w:val="center"/>
      <w:outlineLvl w:val="9"/>
    </w:pPr>
    <w:rPr>
      <w:caps/>
    </w:rPr>
  </w:style>
  <w:style w:type="paragraph" w:customStyle="1" w:styleId="Version">
    <w:name w:val="Version"/>
    <w:rsid w:val="00EB3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607"/>
    <w:pPr>
      <w:keepNext w:val="0"/>
      <w:tabs>
        <w:tab w:val="right" w:pos="4176"/>
      </w:tabs>
      <w:ind w:left="198" w:hanging="198"/>
    </w:pPr>
    <w:rPr>
      <w:rFonts w:ascii="Garamond" w:hAnsi="Garamond"/>
    </w:rPr>
  </w:style>
  <w:style w:type="paragraph" w:styleId="IndexHeading">
    <w:name w:val="index heading"/>
    <w:basedOn w:val="Normal"/>
    <w:next w:val="Index1"/>
    <w:semiHidden/>
    <w:rsid w:val="00EB3607"/>
    <w:pPr>
      <w:spacing w:before="120" w:after="120"/>
    </w:pPr>
    <w:rPr>
      <w:rFonts w:ascii="Arial" w:hAnsi="Arial"/>
      <w:b/>
      <w:color w:val="918585"/>
      <w:sz w:val="24"/>
    </w:rPr>
  </w:style>
  <w:style w:type="paragraph" w:styleId="Header">
    <w:name w:val="header"/>
    <w:basedOn w:val="Normal"/>
    <w:link w:val="HeaderChar"/>
    <w:rsid w:val="00EB3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607"/>
    <w:rPr>
      <w:rFonts w:ascii="Times New Roman" w:eastAsia="Times New Roman" w:hAnsi="Times New Roman" w:cs="Times New Roman"/>
      <w:sz w:val="16"/>
      <w:szCs w:val="20"/>
      <w:lang w:val="en-GB" w:eastAsia="en-US"/>
    </w:rPr>
  </w:style>
  <w:style w:type="paragraph" w:customStyle="1" w:styleId="Chapter">
    <w:name w:val="Chapter"/>
    <w:basedOn w:val="Normal"/>
    <w:rsid w:val="00EB3607"/>
    <w:pPr>
      <w:spacing w:before="240"/>
    </w:pPr>
    <w:rPr>
      <w:rFonts w:ascii="Times New Roman" w:hAnsi="Times New Roman"/>
      <w:smallCaps/>
      <w:spacing w:val="80"/>
      <w:sz w:val="28"/>
    </w:rPr>
  </w:style>
  <w:style w:type="paragraph" w:customStyle="1" w:styleId="InChapter">
    <w:name w:val="InChapter"/>
    <w:basedOn w:val="Heading3"/>
    <w:rsid w:val="00EB3607"/>
    <w:pPr>
      <w:spacing w:after="240"/>
      <w:outlineLvl w:val="9"/>
    </w:pPr>
    <w:rPr>
      <w:noProof/>
    </w:rPr>
  </w:style>
  <w:style w:type="paragraph" w:styleId="Index2">
    <w:name w:val="index 2"/>
    <w:basedOn w:val="Normal"/>
    <w:next w:val="Normal"/>
    <w:semiHidden/>
    <w:rsid w:val="00EB3607"/>
    <w:pPr>
      <w:tabs>
        <w:tab w:val="right" w:pos="4176"/>
      </w:tabs>
      <w:ind w:left="568" w:hanging="284"/>
    </w:pPr>
    <w:rPr>
      <w:rFonts w:ascii="Garamond" w:hAnsi="Garamond"/>
    </w:rPr>
  </w:style>
  <w:style w:type="paragraph" w:customStyle="1" w:styleId="Byline">
    <w:name w:val="Byline"/>
    <w:rsid w:val="00EB3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607"/>
    <w:pPr>
      <w:tabs>
        <w:tab w:val="clear" w:pos="3600"/>
        <w:tab w:val="clear" w:pos="3958"/>
      </w:tabs>
      <w:jc w:val="right"/>
    </w:pPr>
  </w:style>
  <w:style w:type="character" w:styleId="Emphasis">
    <w:name w:val="Emphasis"/>
    <w:basedOn w:val="DefaultParagraphFont"/>
    <w:qFormat/>
    <w:rsid w:val="00EB3607"/>
    <w:rPr>
      <w:i/>
    </w:rPr>
  </w:style>
  <w:style w:type="paragraph" w:styleId="Caption">
    <w:name w:val="caption"/>
    <w:basedOn w:val="BodyText"/>
    <w:next w:val="Normal"/>
    <w:qFormat/>
    <w:rsid w:val="00EB3607"/>
    <w:pPr>
      <w:framePr w:w="2268" w:hSpace="181" w:vSpace="181" w:wrap="around" w:vAnchor="text" w:hAnchor="page" w:x="1135" w:y="285" w:anchorLock="1"/>
    </w:pPr>
    <w:rPr>
      <w:i/>
    </w:rPr>
  </w:style>
  <w:style w:type="paragraph" w:customStyle="1" w:styleId="MiniTOCTitle">
    <w:name w:val="MiniTOCTitle"/>
    <w:basedOn w:val="Heading4"/>
    <w:rsid w:val="00EB3607"/>
    <w:pPr>
      <w:spacing w:before="240"/>
      <w:outlineLvl w:val="9"/>
    </w:pPr>
    <w:rPr>
      <w:noProof/>
      <w:sz w:val="24"/>
    </w:rPr>
  </w:style>
  <w:style w:type="paragraph" w:customStyle="1" w:styleId="MiniTOCItem">
    <w:name w:val="MiniTOCItem"/>
    <w:basedOn w:val="ListBullet"/>
    <w:rsid w:val="00EB3607"/>
    <w:pPr>
      <w:numPr>
        <w:numId w:val="0"/>
      </w:numPr>
      <w:tabs>
        <w:tab w:val="right" w:leader="dot" w:pos="6521"/>
      </w:tabs>
      <w:spacing w:before="0" w:after="0"/>
    </w:pPr>
  </w:style>
  <w:style w:type="paragraph" w:customStyle="1" w:styleId="TOFTitle">
    <w:name w:val="TOFTitle"/>
    <w:basedOn w:val="TOCTitle"/>
    <w:rsid w:val="00EB3607"/>
  </w:style>
  <w:style w:type="paragraph" w:styleId="TableofFigures">
    <w:name w:val="table of figures"/>
    <w:basedOn w:val="Normal"/>
    <w:next w:val="Normal"/>
    <w:semiHidden/>
    <w:rsid w:val="00EB3607"/>
    <w:pPr>
      <w:tabs>
        <w:tab w:val="right" w:leader="dot" w:pos="9072"/>
      </w:tabs>
      <w:ind w:left="970" w:hanging="403"/>
    </w:pPr>
    <w:rPr>
      <w:rFonts w:ascii="Times New Roman" w:hAnsi="Times New Roman"/>
      <w:b/>
    </w:rPr>
  </w:style>
  <w:style w:type="paragraph" w:styleId="ListNumber">
    <w:name w:val="List Number"/>
    <w:basedOn w:val="List"/>
    <w:rsid w:val="00EB3607"/>
    <w:pPr>
      <w:numPr>
        <w:numId w:val="11"/>
      </w:numPr>
    </w:pPr>
  </w:style>
  <w:style w:type="character" w:customStyle="1" w:styleId="WingdingSymbols">
    <w:name w:val="Wingding Symbols"/>
    <w:rsid w:val="00EB3607"/>
    <w:rPr>
      <w:rFonts w:ascii="Wingdings" w:hAnsi="Wingdings"/>
    </w:rPr>
  </w:style>
  <w:style w:type="paragraph" w:customStyle="1" w:styleId="TableHeading">
    <w:name w:val="Table Heading"/>
    <w:basedOn w:val="HeadingBase"/>
    <w:rsid w:val="00EB3607"/>
    <w:pPr>
      <w:keepLines/>
      <w:pBdr>
        <w:bottom w:val="single" w:sz="6" w:space="1" w:color="918585"/>
      </w:pBdr>
      <w:spacing w:before="240"/>
    </w:pPr>
  </w:style>
  <w:style w:type="character" w:customStyle="1" w:styleId="HotSpot">
    <w:name w:val="HotSpot"/>
    <w:rsid w:val="00EB3607"/>
    <w:rPr>
      <w:color w:val="0033CC"/>
      <w:u w:val="none"/>
    </w:rPr>
  </w:style>
  <w:style w:type="paragraph" w:customStyle="1" w:styleId="BodyTextRight">
    <w:name w:val="Body Text Right"/>
    <w:basedOn w:val="BodyText"/>
    <w:rsid w:val="00EB3607"/>
    <w:pPr>
      <w:spacing w:before="0" w:after="0"/>
      <w:jc w:val="right"/>
    </w:pPr>
  </w:style>
  <w:style w:type="paragraph" w:styleId="Index3">
    <w:name w:val="index 3"/>
    <w:basedOn w:val="ListNumber2"/>
    <w:next w:val="Normal"/>
    <w:semiHidden/>
    <w:rsid w:val="00EB3607"/>
    <w:pPr>
      <w:numPr>
        <w:numId w:val="0"/>
      </w:numPr>
      <w:tabs>
        <w:tab w:val="right" w:leader="dot" w:pos="4176"/>
      </w:tabs>
    </w:pPr>
  </w:style>
  <w:style w:type="paragraph" w:styleId="ListNumber2">
    <w:name w:val="List Number 2"/>
    <w:basedOn w:val="List2"/>
    <w:rsid w:val="00EB3607"/>
    <w:pPr>
      <w:numPr>
        <w:numId w:val="10"/>
      </w:numPr>
      <w:tabs>
        <w:tab w:val="clear" w:pos="1060"/>
      </w:tabs>
    </w:pPr>
  </w:style>
  <w:style w:type="paragraph" w:customStyle="1" w:styleId="MarginNote">
    <w:name w:val="Margin Note"/>
    <w:basedOn w:val="BodyText"/>
    <w:rsid w:val="00EB3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607"/>
    <w:rPr>
      <w:sz w:val="32"/>
    </w:rPr>
  </w:style>
  <w:style w:type="paragraph" w:customStyle="1" w:styleId="HeadingProcedure">
    <w:name w:val="Heading Procedure"/>
    <w:basedOn w:val="HeadingBase"/>
    <w:next w:val="Normal"/>
    <w:rsid w:val="00EB3607"/>
    <w:pPr>
      <w:tabs>
        <w:tab w:val="left" w:pos="0"/>
      </w:tabs>
      <w:spacing w:before="120" w:after="60"/>
    </w:pPr>
    <w:rPr>
      <w:i/>
      <w:color w:val="918585"/>
      <w:sz w:val="22"/>
    </w:rPr>
  </w:style>
  <w:style w:type="paragraph" w:customStyle="1" w:styleId="TableBodyText">
    <w:name w:val="Table Body Text"/>
    <w:basedOn w:val="BodyText"/>
    <w:rsid w:val="00EB3607"/>
    <w:pPr>
      <w:spacing w:before="60" w:after="60"/>
    </w:pPr>
  </w:style>
  <w:style w:type="paragraph" w:styleId="ListContinue">
    <w:name w:val="List Continue"/>
    <w:basedOn w:val="List"/>
    <w:rsid w:val="00EB3607"/>
    <w:pPr>
      <w:ind w:firstLine="0"/>
    </w:pPr>
  </w:style>
  <w:style w:type="paragraph" w:customStyle="1" w:styleId="ListNote">
    <w:name w:val="List Note"/>
    <w:basedOn w:val="List"/>
    <w:rsid w:val="00EB3607"/>
    <w:pPr>
      <w:pBdr>
        <w:top w:val="single" w:sz="6" w:space="2" w:color="918585"/>
        <w:bottom w:val="single" w:sz="6" w:space="2" w:color="918585"/>
      </w:pBdr>
      <w:tabs>
        <w:tab w:val="left" w:pos="1021"/>
      </w:tabs>
      <w:ind w:firstLine="0"/>
    </w:pPr>
  </w:style>
  <w:style w:type="paragraph" w:customStyle="1" w:styleId="Warning">
    <w:name w:val="Warning"/>
    <w:basedOn w:val="BodyText"/>
    <w:rsid w:val="00EB3607"/>
    <w:pPr>
      <w:shd w:val="clear" w:color="auto" w:fill="D9D9D9"/>
      <w:tabs>
        <w:tab w:val="left" w:pos="992"/>
      </w:tabs>
      <w:ind w:left="119" w:right="119"/>
    </w:pPr>
    <w:rPr>
      <w:sz w:val="20"/>
    </w:rPr>
  </w:style>
  <w:style w:type="paragraph" w:customStyle="1" w:styleId="MarginIcons">
    <w:name w:val="Margin Icons"/>
    <w:basedOn w:val="BodyText"/>
    <w:rsid w:val="00EB3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607"/>
    <w:rPr>
      <w:rFonts w:ascii="Courier New" w:hAnsi="Courier New"/>
    </w:rPr>
  </w:style>
  <w:style w:type="paragraph" w:customStyle="1" w:styleId="NoteBullet">
    <w:name w:val="Note Bullet"/>
    <w:basedOn w:val="Note"/>
    <w:rsid w:val="00EB3607"/>
    <w:pPr>
      <w:tabs>
        <w:tab w:val="clear" w:pos="680"/>
      </w:tabs>
      <w:spacing w:before="60" w:after="60"/>
    </w:pPr>
  </w:style>
  <w:style w:type="paragraph" w:customStyle="1" w:styleId="SubHeading2">
    <w:name w:val="SubHeading2"/>
    <w:basedOn w:val="HeadingBase"/>
    <w:rsid w:val="00EB3607"/>
    <w:pPr>
      <w:spacing w:before="240" w:after="60"/>
    </w:pPr>
    <w:rPr>
      <w:sz w:val="20"/>
    </w:rPr>
  </w:style>
  <w:style w:type="paragraph" w:customStyle="1" w:styleId="SubHeading1">
    <w:name w:val="SubHeading1"/>
    <w:basedOn w:val="HeadingBase"/>
    <w:rsid w:val="00EB3607"/>
    <w:pPr>
      <w:spacing w:before="240" w:after="60"/>
    </w:pPr>
    <w:rPr>
      <w:color w:val="918585"/>
      <w:sz w:val="22"/>
    </w:rPr>
  </w:style>
  <w:style w:type="paragraph" w:customStyle="1" w:styleId="SideHeading">
    <w:name w:val="Side Heading"/>
    <w:basedOn w:val="HeadingBase"/>
    <w:rsid w:val="00EB3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607"/>
    <w:pPr>
      <w:numPr>
        <w:numId w:val="12"/>
      </w:numPr>
    </w:pPr>
  </w:style>
  <w:style w:type="paragraph" w:styleId="PlainText">
    <w:name w:val="Plain Text"/>
    <w:basedOn w:val="Normal"/>
    <w:link w:val="PlainTextChar"/>
    <w:rsid w:val="00EB3607"/>
    <w:rPr>
      <w:sz w:val="20"/>
    </w:rPr>
  </w:style>
  <w:style w:type="character" w:customStyle="1" w:styleId="PlainTextChar">
    <w:name w:val="Plain Text Char"/>
    <w:basedOn w:val="DefaultParagraphFont"/>
    <w:link w:val="PlainText"/>
    <w:rsid w:val="00EB3607"/>
    <w:rPr>
      <w:rFonts w:ascii="Courier New" w:eastAsia="Times New Roman" w:hAnsi="Courier New" w:cs="Times New Roman"/>
      <w:sz w:val="20"/>
      <w:szCs w:val="20"/>
      <w:lang w:eastAsia="en-US"/>
    </w:rPr>
  </w:style>
  <w:style w:type="character" w:customStyle="1" w:styleId="MenuOption">
    <w:name w:val="Menu Option"/>
    <w:basedOn w:val="DefaultParagraphFont"/>
    <w:rsid w:val="00EB3607"/>
    <w:rPr>
      <w:b/>
      <w:smallCaps/>
    </w:rPr>
  </w:style>
  <w:style w:type="paragraph" w:customStyle="1" w:styleId="TableListNumber">
    <w:name w:val="Table List Number"/>
    <w:basedOn w:val="ListNumber"/>
    <w:rsid w:val="00EB3607"/>
    <w:pPr>
      <w:numPr>
        <w:numId w:val="0"/>
      </w:numPr>
    </w:pPr>
  </w:style>
  <w:style w:type="paragraph" w:styleId="TOC4">
    <w:name w:val="toc 4"/>
    <w:basedOn w:val="TOCBase"/>
    <w:next w:val="Normal"/>
    <w:semiHidden/>
    <w:rsid w:val="00EB3607"/>
    <w:pPr>
      <w:tabs>
        <w:tab w:val="right" w:leader="dot" w:pos="9071"/>
      </w:tabs>
      <w:ind w:left="1701"/>
    </w:pPr>
  </w:style>
  <w:style w:type="paragraph" w:customStyle="1" w:styleId="ListAlpha">
    <w:name w:val="List Alpha"/>
    <w:basedOn w:val="List"/>
    <w:rsid w:val="00EB3607"/>
    <w:pPr>
      <w:numPr>
        <w:numId w:val="9"/>
      </w:numPr>
    </w:pPr>
  </w:style>
  <w:style w:type="paragraph" w:customStyle="1" w:styleId="ListAlpha2">
    <w:name w:val="List Alpha 2"/>
    <w:basedOn w:val="List2"/>
    <w:rsid w:val="00EB3607"/>
    <w:pPr>
      <w:numPr>
        <w:numId w:val="8"/>
      </w:numPr>
    </w:pPr>
  </w:style>
  <w:style w:type="paragraph" w:styleId="List2">
    <w:name w:val="List 2"/>
    <w:basedOn w:val="BodyText"/>
    <w:rsid w:val="00EB3607"/>
    <w:pPr>
      <w:tabs>
        <w:tab w:val="left" w:pos="680"/>
      </w:tabs>
      <w:spacing w:before="60" w:after="60"/>
      <w:ind w:left="680" w:hanging="340"/>
    </w:pPr>
  </w:style>
  <w:style w:type="paragraph" w:styleId="List3">
    <w:name w:val="List 3"/>
    <w:basedOn w:val="BodyText"/>
    <w:rsid w:val="00EB3607"/>
    <w:pPr>
      <w:tabs>
        <w:tab w:val="left" w:pos="1021"/>
      </w:tabs>
      <w:spacing w:before="60" w:after="60"/>
      <w:ind w:left="1020" w:hanging="340"/>
    </w:pPr>
  </w:style>
  <w:style w:type="paragraph" w:styleId="List4">
    <w:name w:val="List 4"/>
    <w:basedOn w:val="BodyText"/>
    <w:rsid w:val="00EB3607"/>
    <w:pPr>
      <w:tabs>
        <w:tab w:val="left" w:pos="1361"/>
      </w:tabs>
      <w:spacing w:before="60" w:after="60"/>
      <w:ind w:left="1361" w:hanging="340"/>
    </w:pPr>
  </w:style>
  <w:style w:type="paragraph" w:styleId="List5">
    <w:name w:val="List 5"/>
    <w:basedOn w:val="BodyText"/>
    <w:rsid w:val="00EB3607"/>
    <w:pPr>
      <w:tabs>
        <w:tab w:val="left" w:pos="1701"/>
      </w:tabs>
      <w:spacing w:before="60" w:after="60"/>
      <w:ind w:left="1701" w:hanging="340"/>
    </w:pPr>
  </w:style>
  <w:style w:type="paragraph" w:styleId="ListBullet3">
    <w:name w:val="List Bullet 3"/>
    <w:basedOn w:val="List3"/>
    <w:rsid w:val="00EB3607"/>
    <w:pPr>
      <w:numPr>
        <w:numId w:val="15"/>
      </w:numPr>
      <w:tabs>
        <w:tab w:val="clear" w:pos="1021"/>
      </w:tabs>
      <w:ind w:left="1037" w:hanging="357"/>
    </w:pPr>
  </w:style>
  <w:style w:type="paragraph" w:styleId="ListBullet4">
    <w:name w:val="List Bullet 4"/>
    <w:basedOn w:val="List4"/>
    <w:rsid w:val="00EB3607"/>
    <w:pPr>
      <w:numPr>
        <w:numId w:val="3"/>
      </w:numPr>
    </w:pPr>
  </w:style>
  <w:style w:type="paragraph" w:styleId="ListBullet5">
    <w:name w:val="List Bullet 5"/>
    <w:basedOn w:val="List5"/>
    <w:rsid w:val="00EB3607"/>
    <w:pPr>
      <w:numPr>
        <w:numId w:val="4"/>
      </w:numPr>
    </w:pPr>
  </w:style>
  <w:style w:type="paragraph" w:styleId="ListContinue2">
    <w:name w:val="List Continue 2"/>
    <w:basedOn w:val="List2"/>
    <w:rsid w:val="00EB3607"/>
    <w:pPr>
      <w:ind w:firstLine="0"/>
    </w:pPr>
  </w:style>
  <w:style w:type="paragraph" w:styleId="ListContinue3">
    <w:name w:val="List Continue 3"/>
    <w:basedOn w:val="List3"/>
    <w:rsid w:val="00EB3607"/>
    <w:pPr>
      <w:ind w:left="1021" w:firstLine="0"/>
    </w:pPr>
  </w:style>
  <w:style w:type="paragraph" w:styleId="ListContinue4">
    <w:name w:val="List Continue 4"/>
    <w:basedOn w:val="List4"/>
    <w:rsid w:val="00EB3607"/>
    <w:pPr>
      <w:ind w:firstLine="0"/>
    </w:pPr>
  </w:style>
  <w:style w:type="paragraph" w:styleId="ListContinue5">
    <w:name w:val="List Continue 5"/>
    <w:basedOn w:val="List5"/>
    <w:rsid w:val="00EB3607"/>
    <w:pPr>
      <w:ind w:firstLine="0"/>
    </w:pPr>
  </w:style>
  <w:style w:type="paragraph" w:styleId="ListNumber3">
    <w:name w:val="List Number 3"/>
    <w:basedOn w:val="List3"/>
    <w:rsid w:val="00EB3607"/>
    <w:pPr>
      <w:numPr>
        <w:numId w:val="5"/>
      </w:numPr>
    </w:pPr>
  </w:style>
  <w:style w:type="paragraph" w:styleId="ListNumber4">
    <w:name w:val="List Number 4"/>
    <w:basedOn w:val="List4"/>
    <w:rsid w:val="00EB3607"/>
    <w:pPr>
      <w:numPr>
        <w:numId w:val="6"/>
      </w:numPr>
    </w:pPr>
  </w:style>
  <w:style w:type="paragraph" w:styleId="ListNumber5">
    <w:name w:val="List Number 5"/>
    <w:basedOn w:val="List5"/>
    <w:rsid w:val="00EB3607"/>
    <w:pPr>
      <w:numPr>
        <w:numId w:val="7"/>
      </w:numPr>
    </w:pPr>
  </w:style>
  <w:style w:type="paragraph" w:styleId="BlockText">
    <w:name w:val="Block Text"/>
    <w:basedOn w:val="Normal"/>
    <w:rsid w:val="00EB3607"/>
    <w:pPr>
      <w:spacing w:after="120"/>
      <w:ind w:left="1440" w:right="1440"/>
    </w:pPr>
  </w:style>
  <w:style w:type="character" w:customStyle="1" w:styleId="Subscript">
    <w:name w:val="Subscript"/>
    <w:basedOn w:val="DefaultParagraphFont"/>
    <w:rsid w:val="00EB3607"/>
    <w:rPr>
      <w:sz w:val="16"/>
      <w:vertAlign w:val="subscript"/>
    </w:rPr>
  </w:style>
  <w:style w:type="character" w:customStyle="1" w:styleId="Superscript">
    <w:name w:val="Superscript"/>
    <w:basedOn w:val="DefaultParagraphFont"/>
    <w:rsid w:val="00EB3607"/>
    <w:rPr>
      <w:sz w:val="16"/>
      <w:vertAlign w:val="superscript"/>
    </w:rPr>
  </w:style>
  <w:style w:type="character" w:customStyle="1" w:styleId="Symbols">
    <w:name w:val="Symbols"/>
    <w:basedOn w:val="DefaultParagraphFont"/>
    <w:rsid w:val="00EB3607"/>
    <w:rPr>
      <w:rFonts w:ascii="Symbol" w:hAnsi="Symbol"/>
    </w:rPr>
  </w:style>
  <w:style w:type="character" w:customStyle="1" w:styleId="MenuOptions">
    <w:name w:val="Menu Options"/>
    <w:basedOn w:val="DefaultParagraphFont"/>
    <w:rsid w:val="00EB3607"/>
    <w:rPr>
      <w:rFonts w:ascii="Arial Narrow" w:hAnsi="Arial Narrow"/>
      <w:smallCaps/>
    </w:rPr>
  </w:style>
  <w:style w:type="character" w:customStyle="1" w:styleId="Buttons">
    <w:name w:val="Buttons"/>
    <w:basedOn w:val="DefaultParagraphFont"/>
    <w:rsid w:val="00EB3607"/>
    <w:rPr>
      <w:b/>
    </w:rPr>
  </w:style>
  <w:style w:type="character" w:customStyle="1" w:styleId="Underlined">
    <w:name w:val="Underlined"/>
    <w:basedOn w:val="DefaultParagraphFont"/>
    <w:rsid w:val="00EB3607"/>
    <w:rPr>
      <w:u w:val="single"/>
    </w:rPr>
  </w:style>
  <w:style w:type="paragraph" w:customStyle="1" w:styleId="TableBodyTextRight">
    <w:name w:val="Table Body Text Right"/>
    <w:basedOn w:val="TableBodyText"/>
    <w:rsid w:val="00EB3607"/>
    <w:pPr>
      <w:widowControl w:val="0"/>
      <w:autoSpaceDE w:val="0"/>
      <w:autoSpaceDN w:val="0"/>
      <w:adjustRightInd w:val="0"/>
      <w:jc w:val="right"/>
    </w:pPr>
    <w:rPr>
      <w:rFonts w:cs="Arial"/>
      <w:szCs w:val="18"/>
    </w:rPr>
  </w:style>
  <w:style w:type="paragraph" w:customStyle="1" w:styleId="CopyrightText">
    <w:name w:val="Copyright Text"/>
    <w:basedOn w:val="BodyText"/>
    <w:rsid w:val="00EB3607"/>
    <w:rPr>
      <w:sz w:val="18"/>
    </w:rPr>
  </w:style>
  <w:style w:type="paragraph" w:customStyle="1" w:styleId="BodySmallRight">
    <w:name w:val="Body Small Right"/>
    <w:basedOn w:val="BodyTextRight"/>
    <w:rsid w:val="00EB3607"/>
    <w:rPr>
      <w:sz w:val="18"/>
      <w:szCs w:val="18"/>
    </w:rPr>
  </w:style>
  <w:style w:type="paragraph" w:customStyle="1" w:styleId="MarginEdition">
    <w:name w:val="Margin Edition"/>
    <w:basedOn w:val="MarginNote"/>
    <w:rsid w:val="00EB3607"/>
    <w:pPr>
      <w:spacing w:before="0" w:after="0"/>
    </w:pPr>
    <w:rPr>
      <w:rFonts w:ascii="Times New Roman" w:hAnsi="Times New Roman"/>
      <w:color w:val="999999"/>
    </w:rPr>
  </w:style>
  <w:style w:type="paragraph" w:customStyle="1" w:styleId="Spacer">
    <w:name w:val="Spacer"/>
    <w:basedOn w:val="Normal"/>
    <w:rsid w:val="00EB3607"/>
    <w:rPr>
      <w:sz w:val="2"/>
      <w:szCs w:val="2"/>
    </w:rPr>
  </w:style>
  <w:style w:type="character" w:customStyle="1" w:styleId="Small">
    <w:name w:val="Small"/>
    <w:basedOn w:val="DefaultParagraphFont"/>
    <w:rsid w:val="00EB3607"/>
    <w:rPr>
      <w:sz w:val="16"/>
    </w:rPr>
  </w:style>
  <w:style w:type="paragraph" w:customStyle="1" w:styleId="WideTable">
    <w:name w:val="Wide Table"/>
    <w:basedOn w:val="Normal"/>
    <w:rsid w:val="00EB3607"/>
    <w:pPr>
      <w:ind w:left="-1418"/>
    </w:pPr>
    <w:rPr>
      <w:sz w:val="2"/>
      <w:szCs w:val="2"/>
    </w:rPr>
  </w:style>
  <w:style w:type="character" w:styleId="PageNumber">
    <w:name w:val="page number"/>
    <w:basedOn w:val="DefaultParagraphFont"/>
    <w:rsid w:val="00EB3607"/>
  </w:style>
  <w:style w:type="paragraph" w:styleId="Quote">
    <w:name w:val="Quote"/>
    <w:basedOn w:val="Heading1"/>
    <w:link w:val="QuoteChar"/>
    <w:qFormat/>
    <w:rsid w:val="00EB3607"/>
    <w:rPr>
      <w:b w:val="0"/>
      <w:sz w:val="72"/>
      <w:szCs w:val="72"/>
      <w:lang w:val="en-NZ"/>
    </w:rPr>
  </w:style>
  <w:style w:type="character" w:customStyle="1" w:styleId="QuoteChar">
    <w:name w:val="Quote Char"/>
    <w:basedOn w:val="DefaultParagraphFont"/>
    <w:link w:val="Quote"/>
    <w:rsid w:val="00EB3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607"/>
    <w:pPr>
      <w:pageBreakBefore/>
    </w:pPr>
  </w:style>
  <w:style w:type="paragraph" w:customStyle="1" w:styleId="Border">
    <w:name w:val="Border"/>
    <w:basedOn w:val="Normal"/>
    <w:qFormat/>
    <w:rsid w:val="00EB3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607"/>
    <w:rPr>
      <w:b/>
      <w:bCs/>
      <w:i/>
      <w:iCs/>
      <w:color w:val="auto"/>
    </w:rPr>
  </w:style>
  <w:style w:type="paragraph" w:styleId="IntenseQuote">
    <w:name w:val="Intense Quote"/>
    <w:basedOn w:val="Normal"/>
    <w:next w:val="Normal"/>
    <w:link w:val="IntenseQuoteChar"/>
    <w:uiPriority w:val="30"/>
    <w:qFormat/>
    <w:rsid w:val="00EB3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607"/>
    <w:rPr>
      <w:smallCaps/>
      <w:color w:val="auto"/>
      <w:u w:val="single"/>
    </w:rPr>
  </w:style>
  <w:style w:type="character" w:styleId="IntenseReference">
    <w:name w:val="Intense Reference"/>
    <w:basedOn w:val="DefaultParagraphFont"/>
    <w:uiPriority w:val="32"/>
    <w:qFormat/>
    <w:rsid w:val="00EB3607"/>
    <w:rPr>
      <w:b/>
      <w:bCs/>
      <w:smallCaps/>
      <w:color w:val="auto"/>
      <w:spacing w:val="5"/>
      <w:u w:val="single"/>
    </w:rPr>
  </w:style>
  <w:style w:type="paragraph" w:customStyle="1" w:styleId="2ColumnHeading">
    <w:name w:val="2Column Heading"/>
    <w:basedOn w:val="BodyText"/>
    <w:qFormat/>
    <w:rsid w:val="00EB3607"/>
    <w:pPr>
      <w:spacing w:after="60"/>
      <w:ind w:left="-2268"/>
    </w:pPr>
    <w:rPr>
      <w:b/>
    </w:rPr>
  </w:style>
  <w:style w:type="paragraph" w:customStyle="1" w:styleId="Heading1TOC">
    <w:name w:val="Heading1 TOC"/>
    <w:basedOn w:val="Normal"/>
    <w:qFormat/>
    <w:rsid w:val="00EB3607"/>
    <w:pPr>
      <w:spacing w:before="240" w:after="120"/>
    </w:pPr>
    <w:rPr>
      <w:rFonts w:ascii="Times New Roman" w:hAnsi="Times New Roman"/>
      <w:b/>
      <w:sz w:val="32"/>
    </w:rPr>
  </w:style>
  <w:style w:type="paragraph" w:customStyle="1" w:styleId="Heading2TOC">
    <w:name w:val="Heading2 TOC"/>
    <w:basedOn w:val="Normal"/>
    <w:qFormat/>
    <w:rsid w:val="00EB3607"/>
    <w:pPr>
      <w:spacing w:before="240" w:after="60"/>
    </w:pPr>
    <w:rPr>
      <w:rFonts w:ascii="Times New Roman" w:hAnsi="Times New Roman"/>
      <w:b/>
      <w:sz w:val="28"/>
    </w:rPr>
  </w:style>
  <w:style w:type="character" w:customStyle="1" w:styleId="Underline">
    <w:name w:val="Underline"/>
    <w:basedOn w:val="DefaultParagraphFont"/>
    <w:qFormat/>
    <w:rsid w:val="00EB3607"/>
    <w:rPr>
      <w:u w:val="single"/>
    </w:rPr>
  </w:style>
  <w:style w:type="character" w:customStyle="1" w:styleId="BoldandItalics">
    <w:name w:val="Bold and Italics"/>
    <w:qFormat/>
    <w:rsid w:val="00EB3607"/>
    <w:rPr>
      <w:b/>
      <w:i/>
      <w:u w:val="none"/>
    </w:rPr>
  </w:style>
  <w:style w:type="paragraph" w:styleId="BalloonText">
    <w:name w:val="Balloon Text"/>
    <w:basedOn w:val="Normal"/>
    <w:link w:val="BalloonTextChar"/>
    <w:rsid w:val="00EB3607"/>
    <w:rPr>
      <w:rFonts w:ascii="Tahoma" w:hAnsi="Tahoma" w:cs="Tahoma"/>
      <w:sz w:val="16"/>
      <w:szCs w:val="16"/>
    </w:rPr>
  </w:style>
  <w:style w:type="character" w:customStyle="1" w:styleId="BalloonTextChar">
    <w:name w:val="Balloon Text Char"/>
    <w:basedOn w:val="DefaultParagraphFont"/>
    <w:link w:val="BalloonText"/>
    <w:rsid w:val="00EB3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6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607"/>
    <w:rPr>
      <w:b/>
      <w:color w:val="660033"/>
      <w:spacing w:val="0"/>
    </w:rPr>
  </w:style>
  <w:style w:type="paragraph" w:customStyle="1" w:styleId="Nameditemlist">
    <w:name w:val="Named item list"/>
    <w:basedOn w:val="BodyText"/>
    <w:qFormat/>
    <w:rsid w:val="00EB36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2161</Words>
  <Characters>13223</Characters>
  <Application>Microsoft Office Word</Application>
  <DocSecurity>0</DocSecurity>
  <Lines>450</Lines>
  <Paragraphs>193</Paragraphs>
  <ScaleCrop>false</ScaleCrop>
  <Company>Author-it Software Corporation Ltd.</Company>
  <LinksUpToDate>false</LinksUpToDate>
  <CharactersWithSpaces>15274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UEENEEE105A Fix and secure electrotechnology equipment</dc:title>
  <dc:subject>Approved</dc:subject>
  <dc:creator>E-OZ Training Standards</dc:creator>
  <cp:keywords>Release 3</cp:keywords>
  <dc:description>Review Date: 12 April 2008</dc:description>
  <cp:lastModifiedBy>HSD_TPCMSd.prod</cp:lastModifiedBy>
  <cp:revision>3</cp:revision>
  <dcterms:created xsi:type="dcterms:W3CDTF">2013-08-14T00:46:00Z</dcterms:created>
  <dcterms:modified xsi:type="dcterms:W3CDTF">2013-08-14T00:46:00Z</dcterms:modified>
</cp:coreProperties>
</file>