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9C3" w:rsidP="005A69C3">
      <w:pPr>
        <w:pStyle w:val="Title"/>
      </w:pPr>
      <w:r>
        <w:fldChar w:fldCharType="begin"/>
      </w:r>
      <w:r>
        <w:instrText xml:space="preserve"> TITLE   \* MERGEFORMAT </w:instrText>
      </w:r>
      <w:r>
        <w:fldChar w:fldCharType="separate"/>
      </w:r>
      <w:r>
        <w:t>UEENEEE102A Fabricate, assemble and dismantle utilities industry components</w:t>
      </w:r>
      <w:r>
        <w:fldChar w:fldCharType="end"/>
      </w:r>
    </w:p>
    <w:p w:rsidR="005A69C3" w:rsidP="005A69C3">
      <w:pPr>
        <w:pStyle w:val="Version"/>
        <w:sectPr w:rsidSect="006C60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C602B" w:rsidP="006C602B">
      <w:pPr>
        <w:pStyle w:val="SuperHeading"/>
      </w:pPr>
      <w:r w:rsidRPr="006C602B">
        <w:t>UEENEEE102A Fabricate, assemble and dismantle utilities industry components</w:t>
      </w:r>
    </w:p>
    <w:p w:rsidR="00000000" w:rsidRPr="006C602B" w:rsidP="006C602B">
      <w:pPr>
        <w:pStyle w:val="Heading1"/>
      </w:pPr>
      <w:bookmarkStart w:id="1" w:name="O_584345"/>
      <w:bookmarkEnd w:id="1"/>
      <w:r w:rsidRPr="006C602B">
        <w:t>Modification History</w:t>
      </w:r>
    </w:p>
    <w:p w:rsidR="00000000" w:rsidRPr="006C602B" w:rsidP="006C602B">
      <w:pPr>
        <w:pStyle w:val="BodyText"/>
      </w:pPr>
      <w:r w:rsidRPr="006C602B">
        <w:t>Not Applicable</w:t>
      </w:r>
    </w:p>
    <w:p w:rsidR="00000000" w:rsidRPr="006C602B" w:rsidP="006C602B">
      <w:pPr>
        <w:pStyle w:val="AllowPageBreak"/>
      </w:pPr>
    </w:p>
    <w:p w:rsidR="00000000" w:rsidRPr="006C602B" w:rsidP="006C602B">
      <w:pPr>
        <w:pStyle w:val="Heading1"/>
      </w:pPr>
      <w:bookmarkStart w:id="2" w:name="O_584344"/>
      <w:bookmarkEnd w:id="2"/>
      <w:r w:rsidRPr="006C602B">
        <w:t>Unit Descriptor</w:t>
      </w:r>
    </w:p>
    <w:tbl>
      <w:tblPr>
        <w:tblW w:w="0" w:type="auto"/>
        <w:tblLayout w:type="fixed"/>
        <w:tblCellMar>
          <w:left w:w="62" w:type="dxa"/>
          <w:right w:w="62" w:type="dxa"/>
        </w:tblCellMar>
        <w:tblLook w:val="0000"/>
      </w:tblPr>
      <w:tblGrid>
        <w:gridCol w:w="2697"/>
        <w:gridCol w:w="5763"/>
      </w:tblGrid>
      <w:tr w:rsidTr="005A69C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1</w:t>
            </w:r>
            <w:r w:rsidRPr="006C602B">
              <w:t>)</w:t>
            </w:r>
          </w:p>
          <w:p w:rsidR="00000000" w:rsidP="006C602B">
            <w:pPr>
              <w:pStyle w:val="BodyText"/>
              <w:rPr>
                <w:lang w:val="en-NZ"/>
              </w:rPr>
            </w:pPr>
            <w:r w:rsidRPr="006C602B">
              <w:rPr>
                <w:rStyle w:val="SpecialBold"/>
              </w:rPr>
              <w:t>1</w:t>
            </w:r>
            <w:r w:rsidRPr="006C602B">
              <w:t>.</w:t>
            </w:r>
            <w:r w:rsidRPr="006C602B">
              <w:rPr>
                <w:rStyle w:val="SpecialBold"/>
              </w:rPr>
              <w:t>1</w:t>
            </w:r>
            <w:r w:rsidRPr="006C602B">
              <w:t xml:space="preserve">) </w:t>
            </w:r>
            <w:r w:rsidRPr="006C602B">
              <w:rPr>
                <w:rStyle w:val="SpecialBold"/>
              </w:rPr>
              <w:t>Descriptor</w:t>
            </w:r>
          </w:p>
        </w:tc>
      </w:tr>
      <w:tr w:rsidTr="005A69C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t>This unit covers basic fitting and fabrication techniques as they apply in the various utilities industry work functions. It encompasses the safe use of hand, fixed and portable power tools; cutting, shaping joining and fixing using metallic and non-metall</w:t>
            </w:r>
            <w:r w:rsidRPr="006C602B">
              <w:t>ic materials; dismantling and assembling equipment; basic mechanical measurement and marking-out and reading drawings/diagrams.</w:t>
            </w:r>
          </w:p>
        </w:tc>
      </w:tr>
    </w:tbl>
    <w:p w:rsidR="005A69C3" w:rsidP="006C602B">
      <w:pPr>
        <w:pStyle w:val="BodyText"/>
      </w:pPr>
    </w:p>
    <w:p w:rsidR="005A69C3" w:rsidP="006C602B">
      <w:pPr>
        <w:pStyle w:val="BodyText"/>
      </w:pPr>
    </w:p>
    <w:p w:rsidR="00000000" w:rsidRPr="006C602B" w:rsidP="006C602B">
      <w:pPr>
        <w:pStyle w:val="Heading1"/>
      </w:pPr>
      <w:bookmarkStart w:id="3" w:name="O_584343"/>
      <w:bookmarkEnd w:id="3"/>
      <w:r w:rsidRPr="006C602B">
        <w:t>Application of the Unit</w:t>
      </w:r>
    </w:p>
    <w:p w:rsidR="00000000" w:rsidRPr="006C602B" w:rsidP="006C602B">
      <w:pPr>
        <w:pStyle w:val="BodyText"/>
      </w:pPr>
      <w:r w:rsidRPr="006C602B">
        <w:t>Not Applicable</w:t>
      </w:r>
    </w:p>
    <w:p w:rsidR="00000000" w:rsidRPr="006C602B" w:rsidP="006C602B">
      <w:pPr>
        <w:pStyle w:val="AllowPageBreak"/>
      </w:pPr>
    </w:p>
    <w:p w:rsidR="00000000" w:rsidRPr="006C602B" w:rsidP="006C602B">
      <w:pPr>
        <w:pStyle w:val="Heading1"/>
      </w:pPr>
      <w:bookmarkStart w:id="4" w:name="O_584342"/>
      <w:bookmarkEnd w:id="4"/>
      <w:r w:rsidRPr="006C602B">
        <w:t>Licensing/Regulatory Information</w:t>
      </w:r>
    </w:p>
    <w:tbl>
      <w:tblPr>
        <w:tblW w:w="0" w:type="auto"/>
        <w:tblLayout w:type="fixed"/>
        <w:tblCellMar>
          <w:left w:w="62" w:type="dxa"/>
          <w:right w:w="62" w:type="dxa"/>
        </w:tblCellMar>
        <w:tblLook w:val="0000"/>
      </w:tblPr>
      <w:tblGrid>
        <w:gridCol w:w="8460"/>
      </w:tblGrid>
      <w:tr w:rsidTr="005A69C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1</w:t>
            </w:r>
            <w:r w:rsidRPr="006C602B">
              <w:t>.</w:t>
            </w:r>
            <w:r w:rsidRPr="006C602B">
              <w:rPr>
                <w:rStyle w:val="SpecialBold"/>
              </w:rPr>
              <w:t>2</w:t>
            </w:r>
            <w:r w:rsidRPr="006C602B">
              <w:t xml:space="preserve">) </w:t>
            </w:r>
            <w:r w:rsidRPr="006C602B">
              <w:rPr>
                <w:rStyle w:val="SpecialBold"/>
              </w:rPr>
              <w:t>License to practice</w:t>
            </w:r>
          </w:p>
        </w:tc>
      </w:tr>
      <w:tr w:rsidTr="005A69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During Training</w:t>
            </w:r>
            <w:r w:rsidRPr="006C602B">
              <w:t xml:space="preserve">: Competency development activities are subject to regulations directly related to licencing, occupational health and safety and where applicable contracts of training such as apprenticeships. </w:t>
            </w:r>
          </w:p>
          <w:p w:rsidR="00000000" w:rsidRPr="006C602B" w:rsidP="006C602B">
            <w:pPr>
              <w:pStyle w:val="BodyText"/>
            </w:pPr>
            <w:r w:rsidRPr="006C602B">
              <w:rPr>
                <w:rStyle w:val="SpecialBold"/>
              </w:rPr>
              <w:t>In the workplace</w:t>
            </w:r>
            <w:r w:rsidRPr="006C602B">
              <w:t>: The appl</w:t>
            </w:r>
            <w:r w:rsidRPr="006C602B">
              <w:t xml:space="preserve">ication of the skills and knowledge described in this unit require a license to practice in the workplace where work is carried out on electrical equipment or installations which are designed to operate at voltages greater than 50 V a.c. or 120 V d.c. </w:t>
            </w:r>
          </w:p>
          <w:p w:rsidR="00000000" w:rsidRPr="006C602B" w:rsidP="006C602B">
            <w:pPr>
              <w:pStyle w:val="BodyText"/>
            </w:pPr>
            <w:r w:rsidRPr="006C602B">
              <w:t>Oth</w:t>
            </w:r>
            <w:r w:rsidRPr="006C602B">
              <w:t xml:space="preserve">er conditions may apply under State and Territory legislative and regulatory requirements. </w:t>
            </w:r>
          </w:p>
        </w:tc>
      </w:tr>
    </w:tbl>
    <w:p w:rsidR="005A69C3" w:rsidP="006C602B">
      <w:pPr>
        <w:pStyle w:val="BodyText"/>
      </w:pPr>
    </w:p>
    <w:p w:rsidR="005A69C3" w:rsidP="006C602B">
      <w:pPr>
        <w:pStyle w:val="BodyText"/>
      </w:pPr>
    </w:p>
    <w:p w:rsidR="00000000" w:rsidRPr="006C602B" w:rsidP="006C602B">
      <w:pPr>
        <w:pStyle w:val="Heading1"/>
      </w:pPr>
      <w:bookmarkStart w:id="5" w:name="O_584341"/>
      <w:bookmarkEnd w:id="5"/>
      <w:r w:rsidRPr="006C602B">
        <w:t>Pre-Requisites</w:t>
      </w:r>
    </w:p>
    <w:tbl>
      <w:tblPr>
        <w:tblW w:w="0" w:type="auto"/>
        <w:tblLayout w:type="fixed"/>
        <w:tblCellMar>
          <w:left w:w="62" w:type="dxa"/>
          <w:right w:w="62" w:type="dxa"/>
        </w:tblCellMar>
        <w:tblLook w:val="0000"/>
      </w:tblPr>
      <w:tblGrid>
        <w:gridCol w:w="2697"/>
        <w:gridCol w:w="1623"/>
        <w:gridCol w:w="4140"/>
      </w:tblGrid>
      <w:tr w:rsidTr="005A69C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Prerequisite Unit</w:t>
            </w:r>
            <w:r w:rsidRPr="006C602B">
              <w:t>(</w:t>
            </w:r>
            <w:r w:rsidRPr="006C602B">
              <w:rPr>
                <w:rStyle w:val="SpecialBold"/>
              </w:rPr>
              <w:t>s</w:t>
            </w:r>
            <w:r w:rsidRPr="006C602B">
              <w:t>)</w:t>
            </w:r>
          </w:p>
        </w:tc>
        <w:tc>
          <w:tcPr>
            <w:tcW w:w="5763" w:type="dxa"/>
            <w:gridSpan w:val="2"/>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2</w:t>
            </w:r>
            <w:r w:rsidRPr="006C602B">
              <w:t>)</w:t>
            </w:r>
          </w:p>
        </w:tc>
      </w:tr>
      <w:tr w:rsidTr="005A69C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6C602B">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2</w:t>
            </w:r>
            <w:r w:rsidRPr="006C602B">
              <w:t>.</w:t>
            </w:r>
            <w:r w:rsidRPr="006C602B">
              <w:rPr>
                <w:rStyle w:val="SpecialBold"/>
              </w:rPr>
              <w:t>1</w:t>
            </w:r>
            <w:r w:rsidRPr="006C602B">
              <w:t xml:space="preserve">) </w:t>
            </w:r>
            <w:r w:rsidRPr="006C602B">
              <w:rPr>
                <w:rStyle w:val="SpecialBold"/>
              </w:rPr>
              <w:t>Competencies</w:t>
            </w:r>
          </w:p>
        </w:tc>
      </w:tr>
      <w:tr w:rsidTr="005A69C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Granting competency in this unit shall be made only after competency in the following unit(s) has/have been confirmed.</w:t>
            </w:r>
          </w:p>
        </w:tc>
      </w:tr>
      <w:tr w:rsidTr="005A69C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3"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 xml:space="preserve">UEENEEE101A </w:t>
            </w:r>
          </w:p>
        </w:tc>
        <w:tc>
          <w:tcPr>
            <w:tcW w:w="4140"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t>Apply Occupational Health and Safety regulations, codes and practices in the workplace</w:t>
            </w:r>
          </w:p>
        </w:tc>
      </w:tr>
    </w:tbl>
    <w:p w:rsidR="005A69C3" w:rsidP="006C602B">
      <w:pPr>
        <w:pStyle w:val="BodyText"/>
      </w:pPr>
    </w:p>
    <w:p w:rsidR="005A69C3" w:rsidP="006C602B">
      <w:pPr>
        <w:pStyle w:val="BodyText"/>
      </w:pPr>
    </w:p>
    <w:p w:rsidR="00000000" w:rsidRPr="006C602B" w:rsidP="006C602B">
      <w:pPr>
        <w:pStyle w:val="Heading1"/>
      </w:pPr>
      <w:bookmarkStart w:id="6" w:name="O_584340"/>
      <w:bookmarkEnd w:id="6"/>
      <w:r w:rsidRPr="006C602B">
        <w:t>Employability Skills Information</w:t>
      </w:r>
    </w:p>
    <w:tbl>
      <w:tblPr>
        <w:tblW w:w="0" w:type="auto"/>
        <w:tblLayout w:type="fixed"/>
        <w:tblCellMar>
          <w:left w:w="62" w:type="dxa"/>
          <w:right w:w="62" w:type="dxa"/>
        </w:tblCellMar>
        <w:tblLook w:val="0000"/>
      </w:tblPr>
      <w:tblGrid>
        <w:gridCol w:w="2697"/>
        <w:gridCol w:w="5763"/>
      </w:tblGrid>
      <w:tr w:rsidTr="005A69C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3</w:t>
            </w:r>
            <w:r w:rsidRPr="006C602B">
              <w:t>)</w:t>
            </w:r>
          </w:p>
          <w:p w:rsidR="00000000" w:rsidRPr="006C602B" w:rsidP="006C602B">
            <w:pPr>
              <w:pStyle w:val="BodyText"/>
            </w:pPr>
            <w:r w:rsidRPr="006C602B">
              <w:t>This unit contains Employability Skills</w:t>
            </w:r>
          </w:p>
          <w:p w:rsidR="00000000" w:rsidP="006C602B">
            <w:pPr>
              <w:pStyle w:val="BodyText"/>
              <w:rPr>
                <w:lang w:val="en-NZ"/>
              </w:rPr>
            </w:pPr>
            <w:r w:rsidRPr="006C602B">
              <w:t>The required outcomes described in this unit of competency contain applicable facets of Employability Skills. The Employability Skills Summary of the qualifica</w:t>
            </w:r>
            <w:r w:rsidRPr="006C602B">
              <w:t>tion in which this unit of competency is packaged will assist in identifying Employability Skill requirements.</w:t>
            </w:r>
          </w:p>
        </w:tc>
      </w:tr>
      <w:tr w:rsidTr="005A69C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4</w:t>
            </w:r>
            <w:r w:rsidRPr="006C602B">
              <w:t>)</w:t>
            </w:r>
          </w:p>
        </w:tc>
      </w:tr>
      <w:tr w:rsidTr="005A69C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6C602B">
            <w:pPr>
              <w:pStyle w:val="BodyText"/>
              <w:keepNext w:val="0"/>
              <w:keepLines w:val="0"/>
              <w:contextualSpacing w:val="0"/>
            </w:pPr>
          </w:p>
        </w:tc>
        <w:tc>
          <w:tcPr>
            <w:tcW w:w="5763"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4</w:t>
            </w:r>
            <w:r w:rsidRPr="006C602B">
              <w:t>.</w:t>
            </w:r>
            <w:r w:rsidRPr="006C602B">
              <w:rPr>
                <w:rStyle w:val="SpecialBold"/>
              </w:rPr>
              <w:t>1</w:t>
            </w:r>
            <w:r w:rsidRPr="006C602B">
              <w:t xml:space="preserve">) </w:t>
            </w:r>
            <w:r w:rsidRPr="006C602B">
              <w:rPr>
                <w:rStyle w:val="SpecialBold"/>
              </w:rPr>
              <w:t>General Application</w:t>
            </w:r>
            <w:r w:rsidRPr="006C602B">
              <w:t xml:space="preserve"> </w:t>
            </w:r>
          </w:p>
          <w:p w:rsidR="00000000" w:rsidRPr="006C602B" w:rsidP="006C602B">
            <w:pPr>
              <w:pStyle w:val="BodyText"/>
            </w:pPr>
            <w:r w:rsidRPr="006C602B">
              <w:t>This unit applies to persons entering work in utilities industry and may be used in schoo</w:t>
            </w:r>
            <w:r w:rsidRPr="006C602B">
              <w:t xml:space="preserve">l-based vocational programs. </w:t>
            </w:r>
          </w:p>
          <w:p w:rsidR="00000000" w:rsidRPr="006C602B" w:rsidP="006C602B">
            <w:pPr>
              <w:pStyle w:val="BodyText"/>
            </w:pPr>
            <w:r w:rsidRPr="006C602B">
              <w:rPr>
                <w:rStyle w:val="SpecialBold"/>
              </w:rPr>
              <w:t>4</w:t>
            </w:r>
            <w:r w:rsidRPr="006C602B">
              <w:t>.</w:t>
            </w:r>
            <w:r w:rsidRPr="006C602B">
              <w:rPr>
                <w:rStyle w:val="SpecialBold"/>
              </w:rPr>
              <w:t>2</w:t>
            </w:r>
            <w:r w:rsidRPr="006C602B">
              <w:t xml:space="preserve">) </w:t>
            </w:r>
            <w:r w:rsidRPr="006C602B">
              <w:rPr>
                <w:rStyle w:val="SpecialBold"/>
              </w:rPr>
              <w:t>Importation</w:t>
            </w:r>
            <w:r w:rsidRPr="006C602B">
              <w:t xml:space="preserve"> </w:t>
            </w:r>
          </w:p>
          <w:p w:rsidR="00000000" w:rsidRPr="006C602B" w:rsidP="006C602B">
            <w:pPr>
              <w:pStyle w:val="BodyText"/>
            </w:pPr>
            <w:r w:rsidRPr="006C602B">
              <w:t xml:space="preserve">RTOs wishing to import this unit into any qualification under the flexibility provisions of NQC Training Package Policy </w:t>
            </w:r>
          </w:p>
        </w:tc>
      </w:tr>
    </w:tbl>
    <w:p w:rsidR="005A69C3" w:rsidP="006C602B">
      <w:pPr>
        <w:pStyle w:val="BodyText"/>
      </w:pPr>
    </w:p>
    <w:p w:rsidR="005A69C3" w:rsidP="006C602B">
      <w:pPr>
        <w:pStyle w:val="BodyText"/>
      </w:pPr>
    </w:p>
    <w:p w:rsidR="00000000" w:rsidRPr="006C602B" w:rsidP="006C602B">
      <w:pPr>
        <w:pStyle w:val="Heading1"/>
      </w:pPr>
      <w:bookmarkStart w:id="7" w:name="O_584339"/>
      <w:bookmarkEnd w:id="7"/>
      <w:r w:rsidRPr="006C602B">
        <w:t>Elements and Performance Criteria Pre-Content</w:t>
      </w:r>
    </w:p>
    <w:tbl>
      <w:tblPr>
        <w:tblW w:w="0" w:type="auto"/>
        <w:tblLayout w:type="fixed"/>
        <w:tblCellMar>
          <w:left w:w="62" w:type="dxa"/>
          <w:right w:w="62" w:type="dxa"/>
        </w:tblCellMar>
        <w:tblLook w:val="0000"/>
      </w:tblPr>
      <w:tblGrid>
        <w:gridCol w:w="2268"/>
        <w:gridCol w:w="6381"/>
      </w:tblGrid>
      <w:tr w:rsidTr="005A69C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6</w:t>
            </w:r>
            <w:r w:rsidRPr="006C602B">
              <w:t>) Elements describe the essential outcomes of a unit of competency</w:t>
            </w:r>
          </w:p>
        </w:tc>
        <w:tc>
          <w:tcPr>
            <w:tcW w:w="6381"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t>Performance criteria describe the required performance needed to demonstrate achievement of the Element. Assessment of performance is to be consistent with the evidence guide.</w:t>
            </w:r>
          </w:p>
        </w:tc>
      </w:tr>
    </w:tbl>
    <w:p w:rsidR="00000000" w:rsidRPr="006C602B" w:rsidP="006C602B">
      <w:pPr>
        <w:pStyle w:val="BodyText"/>
      </w:pPr>
    </w:p>
    <w:p w:rsidR="00000000" w:rsidRPr="006C602B" w:rsidP="006C602B">
      <w:pPr>
        <w:pStyle w:val="AllowPageBreak"/>
      </w:pPr>
    </w:p>
    <w:p w:rsidR="00000000" w:rsidRPr="006C602B" w:rsidP="006C602B">
      <w:pPr>
        <w:pStyle w:val="Heading1"/>
      </w:pPr>
      <w:bookmarkStart w:id="8" w:name="O_584338"/>
      <w:bookmarkEnd w:id="8"/>
      <w:r w:rsidRPr="006C602B">
        <w:t>Elements and Performance Criteria</w:t>
      </w:r>
    </w:p>
    <w:tbl>
      <w:tblPr>
        <w:tblW w:w="0" w:type="auto"/>
        <w:tblLayout w:type="fixed"/>
        <w:tblCellMar>
          <w:left w:w="62" w:type="dxa"/>
          <w:right w:w="62" w:type="dxa"/>
        </w:tblCellMar>
        <w:tblLook w:val="0000"/>
      </w:tblPr>
      <w:tblGrid>
        <w:gridCol w:w="404"/>
        <w:gridCol w:w="1864"/>
        <w:gridCol w:w="900"/>
        <w:gridCol w:w="5481"/>
      </w:tblGrid>
      <w:tr w:rsidTr="005A69C3">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ELEMENT</w:t>
            </w:r>
          </w:p>
        </w:tc>
        <w:tc>
          <w:tcPr>
            <w:tcW w:w="6381" w:type="dxa"/>
            <w:gridSpan w:val="2"/>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PERFORMANCE CRITERIA</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1</w:t>
            </w:r>
          </w:p>
        </w:tc>
        <w:tc>
          <w:tcPr>
            <w:tcW w:w="1864" w:type="dxa"/>
            <w:vMerge w:val="restart"/>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 xml:space="preserve">Prepare for dismantling, assembling and fabrication work. </w:t>
            </w: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1.1</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OHS procedures for a given work area are obtained and understood through established routines and procedures.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1.2</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Established OHS risk control measures and procedures in preparation for the work are followed.</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1.3</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Safety hazard not previously identified are reported and advice on risk control measures is sought from the work supervisor.</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1.4</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The nature of the work is obtained from documentation and from work supervisor to establish the scope of work to be undertaken.</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1.5</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Advice is sought from the work supervisor to ensure the work is coordinated effectively with others.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1.6</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Materials required for the work are obtained in accordance with established routines and procedures.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1.7</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Tools, equipment and measuring devices needed to carry out the work are obtained and checked for correct operation and safety.</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1.8</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 xml:space="preserve">Cutting tools </w:t>
            </w:r>
            <w:r w:rsidRPr="006C602B">
              <w:t>such as drills and chisels are sharpened to suit the material on which they are to be used.</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w:t>
            </w:r>
          </w:p>
        </w:tc>
        <w:tc>
          <w:tcPr>
            <w:tcW w:w="1864" w:type="dxa"/>
            <w:vMerge w:val="restart"/>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 xml:space="preserve">Dismantle and assemble utilities industry apparatus. </w:t>
            </w: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2.1</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Established OHS risk control measures and procedures for carrying out the work are followed.</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2.2</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Circuits/machines/plant are checked as being isolated where necessary in strict accordance OHS requirements and procedures.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2.3</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Appropriate tools are selected and used correctly and safely in dismantling and assembling apparatus.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2.4</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Manufacturer apparatus dismantling and assembling guides are used where applicable.</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2.5</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Components are marked or tagged during the dismantling to help ensure correct and efficient reassembly.</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2.6</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 xml:space="preserve">Dismantled components and parts are stored to protect </w:t>
            </w:r>
            <w:r w:rsidRPr="006C602B">
              <w:t>them against loss or damage.</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2.7</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Apparatus is dismantled and assembled efficiently without waste of materials and energy and/or damage to apparatus and the surrounding environment or services.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2.8</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Procedures for referring non-routine events to immediate supervisor for directions are followed.</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2.9</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Routine quality checks are carried out in accordance with work instructions.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2.10</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OHS risk control work completion measures and procedures are follow</w:t>
            </w:r>
            <w:r w:rsidRPr="006C602B">
              <w:t>ed.</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2.11</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Work site is cleaned and made safe in accordance with established procedures.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2.12</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Work supervisor is notified of the completion of the work in accordance with established procedures.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w:t>
            </w:r>
          </w:p>
        </w:tc>
        <w:tc>
          <w:tcPr>
            <w:tcW w:w="1864" w:type="dxa"/>
            <w:vMerge w:val="restart"/>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Fabricate utilities industry components.</w:t>
            </w: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3.1</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Established OHS risk control measures and procedures for carrying out the work are followed.</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3.2</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Circuits/machines/plant are checked as being isolated where necessary in strict accordance OHS requirements and procedures.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3.3</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Appropriate tools are selected and used correctly and safely in fabricating components.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3.4</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Drawings and instruction for the fabrication of components are followed.</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3.5</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Component dimensions are determined directly or by calculation from information g</w:t>
            </w:r>
            <w:r w:rsidRPr="006C602B">
              <w:t>iven in job drawings and instructions.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 xml:space="preserve">3.6 </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Components are fabricated efficiently without waste of materials and energy and/or damage to the surrounding environment or services.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3.7</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Procedures for referring non-routine events to immediate supervisor for directions are followed.</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3.8</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Routine quality checks are carried out in accordance with work instructions.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3.9</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OHS risk control work completion measures and procedures are followe</w:t>
            </w:r>
            <w:r w:rsidRPr="006C602B">
              <w:t>d.</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3.10</w:t>
            </w:r>
          </w:p>
        </w:tc>
        <w:tc>
          <w:tcPr>
            <w:tcW w:w="548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Work site is cleaned and made safe in accordance with established procedures.</w:t>
            </w:r>
          </w:p>
        </w:tc>
      </w:tr>
      <w:tr w:rsidTr="005A69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3.11</w:t>
            </w:r>
          </w:p>
        </w:tc>
        <w:tc>
          <w:tcPr>
            <w:tcW w:w="5481"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t>Work supervisor is notified of the completion of the work in accordance with established procedures.</w:t>
            </w:r>
          </w:p>
        </w:tc>
      </w:tr>
    </w:tbl>
    <w:p w:rsidR="005A69C3" w:rsidP="006C602B">
      <w:pPr>
        <w:pStyle w:val="BodyText"/>
      </w:pPr>
    </w:p>
    <w:p w:rsidR="005A69C3" w:rsidP="006C602B">
      <w:pPr>
        <w:pStyle w:val="BodyText"/>
      </w:pPr>
    </w:p>
    <w:p w:rsidR="00000000" w:rsidRPr="006C602B" w:rsidP="006C602B">
      <w:pPr>
        <w:pStyle w:val="Heading1"/>
      </w:pPr>
      <w:bookmarkStart w:id="9" w:name="O_584337"/>
      <w:bookmarkEnd w:id="9"/>
      <w:r w:rsidRPr="006C602B">
        <w:t>Required Skills and Knowledge</w:t>
      </w:r>
    </w:p>
    <w:tbl>
      <w:tblPr>
        <w:tblW w:w="0" w:type="auto"/>
        <w:tblLayout w:type="fixed"/>
        <w:tblCellMar>
          <w:left w:w="62" w:type="dxa"/>
          <w:right w:w="62" w:type="dxa"/>
        </w:tblCellMar>
        <w:tblLook w:val="0000"/>
      </w:tblPr>
      <w:tblGrid>
        <w:gridCol w:w="8649"/>
      </w:tblGrid>
      <w:tr w:rsidTr="005A69C3">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R</w:t>
            </w:r>
            <w:r w:rsidRPr="006C602B">
              <w:rPr>
                <w:rStyle w:val="SpecialBold"/>
              </w:rPr>
              <w:t>EQUIRED SKILLS AND KNOWLEDGE</w:t>
            </w:r>
          </w:p>
        </w:tc>
      </w:tr>
      <w:tr w:rsidTr="005A69C3">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7)</w:t>
            </w:r>
            <w:r w:rsidRPr="006C602B">
              <w:t xml:space="preserve"> This describes the essential skills and knowledge and their level, required for this unit.</w:t>
            </w:r>
          </w:p>
        </w:tc>
      </w:tr>
      <w:tr w:rsidTr="005A69C3">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t>Evidence shall show that knowledge has been acquired of safe working practices and fabricating, dismantling, assembling of utilities industry components.</w:t>
            </w:r>
          </w:p>
          <w:p w:rsidR="00000000" w:rsidRPr="006C602B" w:rsidP="006C602B">
            <w:pPr>
              <w:pStyle w:val="BodyText"/>
            </w:pPr>
            <w:r w:rsidRPr="006C602B">
              <w:t>The knowledge and skills shall be contextualised to current industry standards, technologies and pract</w:t>
            </w:r>
            <w:r w:rsidRPr="006C602B">
              <w:t xml:space="preserve">ices. </w:t>
            </w:r>
          </w:p>
          <w:p w:rsidR="00000000" w:rsidRPr="006C602B" w:rsidP="006C602B">
            <w:pPr>
              <w:pStyle w:val="BodyText"/>
            </w:pPr>
            <w:r w:rsidRPr="006C602B">
              <w:rPr>
                <w:rStyle w:val="SpecialBold"/>
              </w:rPr>
              <w:t>KS01-EE102A</w:t>
            </w:r>
            <w:r w:rsidRPr="006C602B">
              <w:rPr>
                <w:rStyle w:val="SpecialBold"/>
              </w:rPr>
              <w:tab/>
              <w:t xml:space="preserve">               Hand and power tools and their application</w:t>
            </w:r>
          </w:p>
          <w:p w:rsidR="00000000" w:rsidRPr="006C602B" w:rsidP="006C602B">
            <w:pPr>
              <w:pStyle w:val="BodyText"/>
            </w:pPr>
            <w:r w:rsidRPr="006C602B">
              <w:t>Evidence shall show an understanding of hand and power tools and their application to an extent indicated by the following aspects:</w:t>
            </w:r>
          </w:p>
          <w:p w:rsidR="00000000" w:rsidRPr="006C602B" w:rsidP="006C602B">
            <w:pPr>
              <w:pStyle w:val="BodyText"/>
            </w:pPr>
            <w:r w:rsidRPr="006C602B">
              <w:t>T1</w:t>
            </w:r>
            <w:r w:rsidRPr="006C602B">
              <w:tab/>
              <w:t>Mechanical drawing interpretation and sketch</w:t>
            </w:r>
            <w:r w:rsidRPr="006C602B">
              <w:t>ing encompassing:</w:t>
            </w:r>
          </w:p>
          <w:p w:rsidR="00000000" w:rsidRPr="006C602B" w:rsidP="006C602B">
            <w:pPr>
              <w:pStyle w:val="ListBullet"/>
            </w:pPr>
            <w:r w:rsidRPr="006C602B">
              <w:t>drawing standards and conventions used in drawings of mechanical components as specified in AS1100</w:t>
            </w:r>
          </w:p>
          <w:p w:rsidR="00000000" w:rsidRPr="006C602B" w:rsidP="006C602B">
            <w:pPr>
              <w:pStyle w:val="ListBullet"/>
            </w:pPr>
            <w:r w:rsidRPr="006C602B">
              <w:t>basic abbreviations and symbols used in drawing of mechanical components</w:t>
            </w:r>
          </w:p>
          <w:p w:rsidR="00000000" w:rsidRPr="006C602B" w:rsidP="006C602B">
            <w:pPr>
              <w:pStyle w:val="ListBullet"/>
            </w:pPr>
            <w:r w:rsidRPr="006C602B">
              <w:t>interpretation of mechanical drawings commonly used in the electr</w:t>
            </w:r>
            <w:r w:rsidRPr="006C602B">
              <w:t>otechnology industry (orthogonal projection, third angle - detail and assembly drawings, pictorial views)</w:t>
            </w:r>
          </w:p>
          <w:p w:rsidR="00000000" w:rsidRPr="006C602B" w:rsidP="006C602B">
            <w:pPr>
              <w:pStyle w:val="ListBullet"/>
            </w:pPr>
            <w:r w:rsidRPr="006C602B">
              <w:t>laying out a drawing of mechanical components using engineering drawing convention.</w:t>
            </w:r>
          </w:p>
          <w:p w:rsidR="00000000" w:rsidRPr="006C602B" w:rsidP="006C602B">
            <w:pPr>
              <w:pStyle w:val="ListBullet"/>
            </w:pPr>
            <w:r w:rsidRPr="006C602B">
              <w:t>freehand drawings of mechanical components showing all information</w:t>
            </w:r>
            <w:r w:rsidRPr="006C602B">
              <w:t xml:space="preserve"> needed for its manufacture/fabrication</w:t>
            </w:r>
          </w:p>
          <w:p w:rsidR="00000000" w:rsidRPr="006C602B" w:rsidP="006C602B">
            <w:pPr>
              <w:pStyle w:val="BodyText"/>
            </w:pPr>
            <w:r w:rsidRPr="006C602B">
              <w:t>T2</w:t>
            </w:r>
            <w:r w:rsidRPr="006C602B">
              <w:tab/>
              <w:t>Workshop planning and materials encompassing:</w:t>
            </w:r>
          </w:p>
          <w:p w:rsidR="00000000" w:rsidRPr="006C602B" w:rsidP="006C602B">
            <w:pPr>
              <w:pStyle w:val="ListBullet"/>
            </w:pPr>
            <w:r w:rsidRPr="006C602B">
              <w:t>methods used to work safely in an industrial work environment.</w:t>
            </w:r>
          </w:p>
          <w:p w:rsidR="00000000" w:rsidRPr="006C602B" w:rsidP="006C602B">
            <w:pPr>
              <w:pStyle w:val="ListBullet"/>
            </w:pPr>
            <w:r w:rsidRPr="006C602B">
              <w:t>typical non-electrical hazards in the workplace</w:t>
            </w:r>
          </w:p>
          <w:p w:rsidR="00000000" w:rsidRPr="006C602B" w:rsidP="006C602B">
            <w:pPr>
              <w:pStyle w:val="ListBullet"/>
            </w:pPr>
            <w:r w:rsidRPr="006C602B">
              <w:t>control measures for dealing with hazards identified.</w:t>
            </w:r>
          </w:p>
          <w:p w:rsidR="00000000" w:rsidRPr="006C602B" w:rsidP="006C602B">
            <w:pPr>
              <w:pStyle w:val="ListBullet"/>
            </w:pPr>
            <w:r w:rsidRPr="006C602B">
              <w:t>Conducting a risk assessment on a given work environment, documenting and assessing the risks identified</w:t>
            </w:r>
          </w:p>
          <w:p w:rsidR="00000000" w:rsidRPr="006C602B" w:rsidP="006C602B">
            <w:pPr>
              <w:pStyle w:val="ListBullet"/>
            </w:pPr>
            <w:r w:rsidRPr="006C602B">
              <w:t>type of metallic and non-metallic materials used in the electrotechnology industry and application of the common materials</w:t>
            </w:r>
          </w:p>
          <w:p w:rsidR="00000000" w:rsidRPr="006C602B" w:rsidP="006C602B">
            <w:pPr>
              <w:pStyle w:val="ListBullet"/>
            </w:pPr>
            <w:r w:rsidRPr="006C602B">
              <w:t>planning process</w:t>
            </w:r>
          </w:p>
          <w:p w:rsidR="00000000" w:rsidRPr="006C602B" w:rsidP="006C602B">
            <w:pPr>
              <w:pStyle w:val="BodyText"/>
            </w:pPr>
            <w:r w:rsidRPr="006C602B">
              <w:t>T3</w:t>
            </w:r>
            <w:r w:rsidRPr="006C602B">
              <w:tab/>
              <w:t>Measurin</w:t>
            </w:r>
            <w:r w:rsidRPr="006C602B">
              <w:t>g and marking out encompassing:</w:t>
            </w:r>
          </w:p>
          <w:p w:rsidR="00000000" w:rsidRPr="006C602B" w:rsidP="006C602B">
            <w:pPr>
              <w:pStyle w:val="ListBullet"/>
            </w:pPr>
            <w:r w:rsidRPr="006C602B">
              <w:t>reasons for measuring and marking out</w:t>
            </w:r>
          </w:p>
          <w:p w:rsidR="00000000" w:rsidRPr="006C602B" w:rsidP="006C602B">
            <w:pPr>
              <w:pStyle w:val="ListBullet"/>
            </w:pPr>
            <w:r w:rsidRPr="006C602B">
              <w:t>tools used for marking out</w:t>
            </w:r>
          </w:p>
          <w:p w:rsidR="00000000" w:rsidRPr="006C602B" w:rsidP="006C602B">
            <w:pPr>
              <w:pStyle w:val="ListBullet"/>
            </w:pPr>
            <w:r w:rsidRPr="006C602B">
              <w:t>measuring and marking out a project accurately following correct procedures.</w:t>
            </w:r>
          </w:p>
          <w:p w:rsidR="00000000" w:rsidRPr="006C602B" w:rsidP="006C602B">
            <w:pPr>
              <w:pStyle w:val="ListBullet"/>
            </w:pPr>
            <w:r w:rsidRPr="006C602B">
              <w:t>sustainable energy work practices related to reducing waste when marking out.</w:t>
            </w:r>
          </w:p>
          <w:p w:rsidR="00000000" w:rsidRPr="006C602B" w:rsidP="006C602B">
            <w:pPr>
              <w:pStyle w:val="BodyText"/>
            </w:pPr>
            <w:r w:rsidRPr="006C602B">
              <w:t>T4</w:t>
            </w:r>
            <w:r w:rsidRPr="006C602B">
              <w:tab/>
            </w:r>
            <w:r w:rsidRPr="006C602B">
              <w:t>Holding and cutting encompassing:</w:t>
            </w:r>
          </w:p>
          <w:p w:rsidR="00000000" w:rsidRPr="006C602B" w:rsidP="006C602B">
            <w:pPr>
              <w:pStyle w:val="ListBullet"/>
            </w:pPr>
            <w:r w:rsidRPr="006C602B">
              <w:t>common tools for holding (bench vices, multi-grips, vice grips, wrenches).</w:t>
            </w:r>
          </w:p>
          <w:p w:rsidR="00000000" w:rsidRPr="006C602B" w:rsidP="006C602B">
            <w:pPr>
              <w:pStyle w:val="ListBullet"/>
            </w:pPr>
            <w:r w:rsidRPr="006C602B">
              <w:t>common tools for cutting metallic and non-metallic material (hacksaws, wood saws, chisels, pliers, files)</w:t>
            </w:r>
          </w:p>
          <w:p w:rsidR="00000000" w:rsidRPr="006C602B" w:rsidP="006C602B">
            <w:pPr>
              <w:pStyle w:val="ListBullet"/>
            </w:pPr>
            <w:r w:rsidRPr="006C602B">
              <w:t>procedure for using a range of tools for</w:t>
            </w:r>
            <w:r w:rsidRPr="006C602B">
              <w:t xml:space="preserve"> cutting, shaping, and finishing metallic and non-metallic materials</w:t>
            </w:r>
          </w:p>
          <w:p w:rsidR="00000000" w:rsidRPr="006C602B" w:rsidP="006C602B">
            <w:pPr>
              <w:pStyle w:val="ListBullet"/>
            </w:pPr>
            <w:r w:rsidRPr="006C602B">
              <w:t>safety procedures when using holding and cutting tools</w:t>
            </w:r>
          </w:p>
          <w:p w:rsidR="00000000" w:rsidRPr="006C602B" w:rsidP="006C602B">
            <w:pPr>
              <w:pStyle w:val="BodyText"/>
            </w:pPr>
            <w:r w:rsidRPr="006C602B">
              <w:t>T5</w:t>
            </w:r>
            <w:r w:rsidRPr="006C602B">
              <w:tab/>
              <w:t>Drills and drilling encompassing:</w:t>
            </w:r>
          </w:p>
          <w:p w:rsidR="00000000" w:rsidRPr="006C602B" w:rsidP="006C602B">
            <w:pPr>
              <w:pStyle w:val="ListBullet"/>
            </w:pPr>
            <w:r w:rsidRPr="006C602B">
              <w:t>types of drills used in the electrotechnology industry</w:t>
            </w:r>
          </w:p>
          <w:p w:rsidR="00000000" w:rsidRPr="006C602B" w:rsidP="006C602B">
            <w:pPr>
              <w:pStyle w:val="ListBullet"/>
            </w:pPr>
            <w:r w:rsidRPr="006C602B">
              <w:t>sharpening twist drills</w:t>
            </w:r>
          </w:p>
          <w:p w:rsidR="00000000" w:rsidRPr="006C602B" w:rsidP="006C602B">
            <w:pPr>
              <w:pStyle w:val="ListBullet"/>
            </w:pPr>
            <w:r w:rsidRPr="006C602B">
              <w:t>drilling metall</w:t>
            </w:r>
            <w:r w:rsidRPr="006C602B">
              <w:t>ic and non-metallic components</w:t>
            </w:r>
          </w:p>
          <w:p w:rsidR="00000000" w:rsidRPr="006C602B" w:rsidP="006C602B">
            <w:pPr>
              <w:pStyle w:val="ListBullet"/>
            </w:pPr>
            <w:r w:rsidRPr="006C602B">
              <w:t xml:space="preserve">safe use of a bench drill </w:t>
            </w:r>
          </w:p>
          <w:p w:rsidR="00000000" w:rsidRPr="006C602B" w:rsidP="006C602B">
            <w:pPr>
              <w:pStyle w:val="BodyText"/>
            </w:pPr>
            <w:r w:rsidRPr="006C602B">
              <w:t>T6</w:t>
            </w:r>
            <w:r w:rsidRPr="006C602B">
              <w:tab/>
              <w:t>Tapping and threading encompassing:</w:t>
            </w:r>
          </w:p>
          <w:p w:rsidR="00000000" w:rsidRPr="006C602B" w:rsidP="006C602B">
            <w:pPr>
              <w:pStyle w:val="ListBullet"/>
            </w:pPr>
            <w:r w:rsidRPr="006C602B">
              <w:t>type and size of commonly used threads used in electrotechnology work</w:t>
            </w:r>
          </w:p>
          <w:p w:rsidR="00000000" w:rsidRPr="006C602B" w:rsidP="006C602B">
            <w:pPr>
              <w:pStyle w:val="ListBullet"/>
            </w:pPr>
            <w:r w:rsidRPr="006C602B">
              <w:t>taps and tap wrenches</w:t>
            </w:r>
          </w:p>
          <w:p w:rsidR="00000000" w:rsidRPr="006C602B" w:rsidP="006C602B">
            <w:pPr>
              <w:pStyle w:val="ListBullet"/>
            </w:pPr>
            <w:r w:rsidRPr="006C602B">
              <w:t>tapping metallic and non-metallic components</w:t>
            </w:r>
          </w:p>
          <w:p w:rsidR="00000000" w:rsidRPr="006C602B" w:rsidP="006C602B">
            <w:pPr>
              <w:pStyle w:val="ListBullet"/>
            </w:pPr>
            <w:r w:rsidRPr="006C602B">
              <w:t>stock and die tools</w:t>
            </w:r>
          </w:p>
          <w:p w:rsidR="00000000" w:rsidRPr="006C602B" w:rsidP="006C602B">
            <w:pPr>
              <w:pStyle w:val="ListBullet"/>
            </w:pPr>
            <w:r w:rsidRPr="006C602B">
              <w:t>threading metallic and non-metallic components</w:t>
            </w:r>
          </w:p>
          <w:p w:rsidR="00000000" w:rsidRPr="006C602B" w:rsidP="006C602B">
            <w:pPr>
              <w:pStyle w:val="BodyText"/>
            </w:pPr>
            <w:r w:rsidRPr="006C602B">
              <w:t>T7</w:t>
            </w:r>
            <w:r w:rsidRPr="006C602B">
              <w:tab/>
              <w:t>General Hand Tools encompassing:</w:t>
            </w:r>
          </w:p>
          <w:p w:rsidR="00000000" w:rsidRPr="006C602B" w:rsidP="006C602B">
            <w:pPr>
              <w:pStyle w:val="ListBullet"/>
            </w:pPr>
            <w:r w:rsidRPr="006C602B">
              <w:t xml:space="preserve">hammers used in electrotechnology work </w:t>
            </w:r>
          </w:p>
          <w:p w:rsidR="00000000" w:rsidRPr="006C602B" w:rsidP="006C602B">
            <w:pPr>
              <w:pStyle w:val="ListBullet"/>
            </w:pPr>
            <w:r w:rsidRPr="006C602B">
              <w:t>screwdrivers used in electrotechnology work</w:t>
            </w:r>
          </w:p>
          <w:p w:rsidR="00000000" w:rsidRPr="006C602B" w:rsidP="006C602B">
            <w:pPr>
              <w:pStyle w:val="ListBullet"/>
            </w:pPr>
            <w:r w:rsidRPr="006C602B">
              <w:t>spanners and sockets used in electrotechnology work</w:t>
            </w:r>
          </w:p>
          <w:p w:rsidR="00000000" w:rsidRPr="006C602B" w:rsidP="006C602B">
            <w:pPr>
              <w:pStyle w:val="ListBullet"/>
            </w:pPr>
            <w:r w:rsidRPr="006C602B">
              <w:t>pliers used in electrotechnology wor</w:t>
            </w:r>
            <w:r w:rsidRPr="006C602B">
              <w:t>k</w:t>
            </w:r>
          </w:p>
          <w:p w:rsidR="00000000" w:rsidRPr="006C602B" w:rsidP="006C602B">
            <w:pPr>
              <w:pStyle w:val="ListBullet"/>
            </w:pPr>
            <w:r w:rsidRPr="006C602B">
              <w:t>assembling components applicable to electrotechnology industry using a variety of hand tools.</w:t>
            </w:r>
          </w:p>
          <w:p w:rsidR="00000000" w:rsidRPr="006C602B" w:rsidP="006C602B">
            <w:pPr>
              <w:pStyle w:val="BodyText"/>
            </w:pPr>
            <w:r w:rsidRPr="006C602B">
              <w:t>T8</w:t>
            </w:r>
            <w:r w:rsidRPr="006C602B">
              <w:tab/>
              <w:t>Joining techniques encompassing:</w:t>
            </w:r>
          </w:p>
          <w:p w:rsidR="00000000" w:rsidRPr="006C602B" w:rsidP="006C602B">
            <w:pPr>
              <w:pStyle w:val="ListBullet"/>
            </w:pPr>
            <w:r w:rsidRPr="006C602B">
              <w:t>types of machine screws and nuts</w:t>
            </w:r>
          </w:p>
          <w:p w:rsidR="00000000" w:rsidRPr="006C602B" w:rsidP="006C602B">
            <w:pPr>
              <w:pStyle w:val="ListBullet"/>
            </w:pPr>
            <w:r w:rsidRPr="006C602B">
              <w:t>forms of welding (Oxy-acetylene, electric arc welding).</w:t>
            </w:r>
          </w:p>
          <w:p w:rsidR="00000000" w:rsidRPr="006C602B" w:rsidP="006C602B">
            <w:pPr>
              <w:pStyle w:val="ListBullet"/>
            </w:pPr>
            <w:r w:rsidRPr="006C602B">
              <w:t>forms of brazing and hard solderin</w:t>
            </w:r>
            <w:r w:rsidRPr="006C602B">
              <w:t>g</w:t>
            </w:r>
          </w:p>
          <w:p w:rsidR="00000000" w:rsidRPr="006C602B" w:rsidP="006C602B">
            <w:pPr>
              <w:pStyle w:val="ListBullet"/>
            </w:pPr>
            <w:r w:rsidRPr="006C602B">
              <w:t>process of soft soldering</w:t>
            </w:r>
          </w:p>
          <w:p w:rsidR="00000000" w:rsidRPr="006C602B" w:rsidP="006C602B">
            <w:pPr>
              <w:pStyle w:val="ListBullet"/>
            </w:pPr>
            <w:r w:rsidRPr="006C602B">
              <w:t>joining components using machine screws</w:t>
            </w:r>
          </w:p>
          <w:p w:rsidR="00000000" w:rsidRPr="006C602B" w:rsidP="006C602B">
            <w:pPr>
              <w:pStyle w:val="ListBullet"/>
            </w:pPr>
            <w:r w:rsidRPr="006C602B">
              <w:t>joining components using welding, brazing or soldering techniques</w:t>
            </w:r>
          </w:p>
          <w:p w:rsidR="00000000" w:rsidRPr="006C602B" w:rsidP="006C602B">
            <w:pPr>
              <w:pStyle w:val="BodyText"/>
            </w:pPr>
            <w:r w:rsidRPr="006C602B">
              <w:t>T9</w:t>
            </w:r>
            <w:r w:rsidRPr="006C602B">
              <w:tab/>
              <w:t>Portable electric power tools encompassing:</w:t>
            </w:r>
          </w:p>
          <w:p w:rsidR="00000000" w:rsidRPr="006C602B" w:rsidP="006C602B">
            <w:pPr>
              <w:pStyle w:val="ListBullet"/>
            </w:pPr>
            <w:r w:rsidRPr="006C602B">
              <w:t>portable electric power tools (grinders, drills, jigsaws, saws)</w:t>
            </w:r>
          </w:p>
          <w:p w:rsidR="00000000" w:rsidRPr="006C602B" w:rsidP="006C602B">
            <w:pPr>
              <w:pStyle w:val="ListBullet"/>
            </w:pPr>
            <w:r w:rsidRPr="006C602B">
              <w:t>applicatio</w:t>
            </w:r>
            <w:r w:rsidRPr="006C602B">
              <w:t>ns of portable electric power tools used in the electrotechnology work.</w:t>
            </w:r>
          </w:p>
          <w:p w:rsidR="00000000" w:rsidRPr="006C602B" w:rsidP="006C602B">
            <w:pPr>
              <w:pStyle w:val="ListBullet"/>
            </w:pPr>
            <w:r w:rsidRPr="006C602B">
              <w:t>using portable power tools.</w:t>
            </w:r>
          </w:p>
          <w:p w:rsidR="00000000" w:rsidRPr="006C602B" w:rsidP="006C602B">
            <w:pPr>
              <w:pStyle w:val="ListBullet"/>
            </w:pPr>
            <w:r w:rsidRPr="006C602B">
              <w:t>fabricating components using power tools (drills, grinders)</w:t>
            </w:r>
          </w:p>
          <w:p w:rsidR="00000000" w:rsidRPr="006C602B" w:rsidP="006C602B">
            <w:pPr>
              <w:pStyle w:val="BodyText"/>
            </w:pPr>
            <w:r w:rsidRPr="006C602B">
              <w:t>T10</w:t>
            </w:r>
            <w:r w:rsidRPr="006C602B">
              <w:tab/>
              <w:t>Sheet metal work encompassing:</w:t>
            </w:r>
          </w:p>
          <w:p w:rsidR="00000000" w:rsidRPr="006C602B" w:rsidP="006C602B">
            <w:pPr>
              <w:pStyle w:val="ListBullet"/>
            </w:pPr>
            <w:r w:rsidRPr="006C602B">
              <w:t>types of sheet metal materials used in the electrotechnology work.</w:t>
            </w:r>
          </w:p>
          <w:p w:rsidR="00000000" w:rsidRPr="006C602B" w:rsidP="006C602B">
            <w:pPr>
              <w:pStyle w:val="ListBullet"/>
            </w:pPr>
            <w:r w:rsidRPr="006C602B">
              <w:t>names and applications of the types of fabrication materials.</w:t>
            </w:r>
          </w:p>
          <w:p w:rsidR="00000000" w:rsidRPr="006C602B" w:rsidP="006C602B">
            <w:pPr>
              <w:pStyle w:val="ListBullet"/>
            </w:pPr>
            <w:r w:rsidRPr="006C602B">
              <w:t>tools used with sheet metals in electrotechnology work (hacksaw, tinsnips, guillotines, punches, notching tools, folding machin</w:t>
            </w:r>
            <w:r w:rsidRPr="006C602B">
              <w:t>es)</w:t>
            </w:r>
          </w:p>
          <w:p w:rsidR="00000000" w:rsidRPr="006C602B" w:rsidP="006C602B">
            <w:pPr>
              <w:pStyle w:val="ListBullet"/>
            </w:pPr>
            <w:r w:rsidRPr="006C602B">
              <w:t>techniques used in fabricating sheet metal (cutting, bending, drilling/punching, joining, cutting mitres).</w:t>
            </w:r>
          </w:p>
          <w:p w:rsidR="00000000" w:rsidRPr="006C602B" w:rsidP="006C602B">
            <w:pPr>
              <w:pStyle w:val="ListBullet"/>
            </w:pPr>
            <w:r w:rsidRPr="006C602B">
              <w:t>marking out, cutting, bending, drilling and/or cutting and/or punching holes, joining and cutting mitred joints using sheet metal.</w:t>
            </w:r>
          </w:p>
          <w:p w:rsidR="00000000" w:rsidRPr="006C602B" w:rsidP="006C602B">
            <w:pPr>
              <w:pStyle w:val="ListBullet"/>
            </w:pPr>
            <w:r w:rsidRPr="006C602B">
              <w:t>sustainable en</w:t>
            </w:r>
            <w:r w:rsidRPr="006C602B">
              <w:t>ergy work practices to reducing waste when fabricating using sheet metal.</w:t>
            </w:r>
          </w:p>
          <w:p w:rsidR="00000000" w:rsidRPr="006C602B" w:rsidP="006C602B">
            <w:pPr>
              <w:pStyle w:val="ListBullet"/>
            </w:pPr>
            <w:r w:rsidRPr="006C602B">
              <w:t>fabricating components using sheet metal and fabrication tools.</w:t>
            </w:r>
          </w:p>
          <w:p w:rsidR="00000000" w:rsidRPr="006C602B" w:rsidP="006C602B">
            <w:pPr>
              <w:pStyle w:val="BodyText"/>
            </w:pPr>
            <w:r w:rsidRPr="006C602B">
              <w:t>T11</w:t>
            </w:r>
            <w:r w:rsidRPr="006C602B">
              <w:tab/>
              <w:t>Low tolerance measurement encompassing:</w:t>
            </w:r>
          </w:p>
          <w:p w:rsidR="00000000" w:rsidRPr="006C602B" w:rsidP="006C602B">
            <w:pPr>
              <w:pStyle w:val="ListBullet"/>
            </w:pPr>
            <w:r w:rsidRPr="006C602B">
              <w:t>tolerance</w:t>
            </w:r>
          </w:p>
          <w:p w:rsidR="00000000" w:rsidRPr="006C602B" w:rsidP="006C602B">
            <w:pPr>
              <w:pStyle w:val="ListBullet"/>
            </w:pPr>
            <w:r w:rsidRPr="006C602B">
              <w:t>techniques in using vernier callipers</w:t>
            </w:r>
          </w:p>
          <w:p w:rsidR="00000000" w:rsidRPr="006C602B" w:rsidP="006C602B">
            <w:pPr>
              <w:pStyle w:val="ListBullet"/>
            </w:pPr>
            <w:r w:rsidRPr="006C602B">
              <w:t>techniques in using micro</w:t>
            </w:r>
            <w:r w:rsidRPr="006C602B">
              <w:t>meters.</w:t>
            </w:r>
          </w:p>
          <w:p w:rsidR="00000000" w:rsidRPr="006C602B" w:rsidP="006C602B">
            <w:pPr>
              <w:pStyle w:val="ListBullet"/>
            </w:pPr>
            <w:r w:rsidRPr="006C602B">
              <w:t>using vernier callipers to measure engineering components</w:t>
            </w:r>
          </w:p>
          <w:p w:rsidR="00000000" w:rsidRPr="006C602B" w:rsidP="006C602B">
            <w:pPr>
              <w:pStyle w:val="ListBullet"/>
            </w:pPr>
            <w:r w:rsidRPr="006C602B">
              <w:t>using micrometers to measuring engineering components</w:t>
            </w:r>
          </w:p>
          <w:p w:rsidR="00000000" w:rsidRPr="006C602B" w:rsidP="006C602B">
            <w:pPr>
              <w:pStyle w:val="BodyText"/>
            </w:pPr>
            <w:r w:rsidRPr="006C602B">
              <w:t>T12</w:t>
            </w:r>
            <w:r w:rsidRPr="006C602B">
              <w:tab/>
              <w:t>Dismantling and assembly techniques encompassing:</w:t>
            </w:r>
          </w:p>
          <w:p w:rsidR="00000000" w:rsidRPr="006C602B" w:rsidP="006C602B">
            <w:pPr>
              <w:pStyle w:val="ListBullet"/>
            </w:pPr>
            <w:r w:rsidRPr="006C602B">
              <w:t>tools used in dismantling and assembling electrotechnology equipment (spanners, s</w:t>
            </w:r>
            <w:r w:rsidRPr="006C602B">
              <w:t>crewdrivers, bearing pullers, etc).</w:t>
            </w:r>
          </w:p>
          <w:p w:rsidR="00000000" w:rsidRPr="006C602B" w:rsidP="006C602B">
            <w:pPr>
              <w:pStyle w:val="ListBullet"/>
            </w:pPr>
            <w:r w:rsidRPr="006C602B">
              <w:t>procedures for ensuring the safe treatment of dismantled components.</w:t>
            </w:r>
          </w:p>
          <w:p w:rsidR="00000000" w:rsidRPr="006C602B" w:rsidP="006C602B">
            <w:pPr>
              <w:pStyle w:val="ListBullet"/>
            </w:pPr>
            <w:r w:rsidRPr="006C602B">
              <w:t>dismantling electrical, electronic, instrumentation or refrigeration/air conditioning piece of equipment using correct procedures.</w:t>
            </w:r>
          </w:p>
          <w:p w:rsidR="00000000" w:rsidRPr="006C602B" w:rsidP="006C602B">
            <w:pPr>
              <w:pStyle w:val="ListBullet"/>
            </w:pPr>
            <w:r w:rsidRPr="006C602B">
              <w:t>assembling electr</w:t>
            </w:r>
            <w:r w:rsidRPr="006C602B">
              <w:t>ical, electronic, instrumentation or refrigeration/air conditioning piece of equipment using correct procedures.</w:t>
            </w:r>
          </w:p>
        </w:tc>
      </w:tr>
    </w:tbl>
    <w:p w:rsidR="005A69C3" w:rsidP="006C602B">
      <w:pPr>
        <w:pStyle w:val="BodyText"/>
      </w:pPr>
    </w:p>
    <w:p w:rsidR="005A69C3" w:rsidP="006C602B">
      <w:pPr>
        <w:pStyle w:val="BodyText"/>
      </w:pPr>
    </w:p>
    <w:p w:rsidR="00000000" w:rsidRPr="006C602B" w:rsidP="006C602B">
      <w:pPr>
        <w:pStyle w:val="Heading1"/>
      </w:pPr>
      <w:bookmarkStart w:id="10" w:name="O_584336"/>
      <w:bookmarkEnd w:id="10"/>
      <w:r w:rsidRPr="006C602B">
        <w:t>Evidence Guide</w:t>
      </w:r>
    </w:p>
    <w:tbl>
      <w:tblPr>
        <w:tblW w:w="0" w:type="auto"/>
        <w:tblLayout w:type="fixed"/>
        <w:tblCellMar>
          <w:left w:w="62" w:type="dxa"/>
          <w:right w:w="62" w:type="dxa"/>
        </w:tblCellMar>
        <w:tblLook w:val="0000"/>
      </w:tblPr>
      <w:tblGrid>
        <w:gridCol w:w="2160"/>
        <w:gridCol w:w="288"/>
        <w:gridCol w:w="540"/>
        <w:gridCol w:w="5661"/>
      </w:tblGrid>
      <w:tr w:rsidTr="005A69C3">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EVIDENCE GUIDE</w:t>
            </w:r>
          </w:p>
        </w:tc>
      </w:tr>
      <w:tr w:rsidTr="005A69C3">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9</w:t>
            </w:r>
            <w:r w:rsidRPr="006C602B">
              <w:t xml:space="preserve">) The evidence guide provides advice on assessment and must be read in conjunction with the Performance Criteria, Required Skills and Knowledge, the Range Statement and the Assessment Guidelines for this Training Package. </w:t>
            </w:r>
          </w:p>
          <w:p w:rsidR="00000000" w:rsidP="006C602B">
            <w:pPr>
              <w:pStyle w:val="BodyText"/>
              <w:rPr>
                <w:lang w:val="en-NZ"/>
              </w:rPr>
            </w:pPr>
            <w:r w:rsidRPr="006C602B">
              <w:t>The Evidence Guide forms an integ</w:t>
            </w:r>
            <w:r w:rsidRPr="006C602B">
              <w:t>ral part of this unit. It must be used in conjunction with all parts of the unit and performed in accordance with the Assessment Guidelines of this Training Package.</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9</w:t>
            </w:r>
            <w:r w:rsidRPr="006C602B">
              <w:t>.</w:t>
            </w:r>
            <w:r w:rsidRPr="006C602B">
              <w:rPr>
                <w:rStyle w:val="SpecialBold"/>
              </w:rPr>
              <w:t>1</w:t>
            </w:r>
            <w:r w:rsidRPr="006C602B">
              <w:t xml:space="preserve">) </w:t>
            </w:r>
          </w:p>
          <w:p w:rsidR="00000000" w:rsidRPr="006C602B" w:rsidP="006C602B">
            <w:pPr>
              <w:pStyle w:val="BodyText"/>
            </w:pPr>
            <w:r w:rsidRPr="006C602B">
              <w:t>Longitudinal competency development approaches to assessm</w:t>
            </w:r>
            <w:r w:rsidRPr="006C602B">
              <w:t>ent, such as Profiling, require data to be reliably gathered in a form that can be consistently interpreted over time. This approach is best utilised in Apprenticeship programs and reduces assessment intervention. It is the industry-preferred model for app</w:t>
            </w:r>
            <w:r w:rsidRPr="006C602B">
              <w:t xml:space="preserve">renticeships. However, where summative (or final) assessment is used it is to include the application of the competency in the normal work environment or, at a minimum, the application of the competency in a realistically simulated work environment. It is </w:t>
            </w:r>
            <w:r w:rsidRPr="006C602B">
              <w:t>recognised that, in some circumstances, assessment in part or full can occur outside the workplace. However, it must be in accordance with industry and regulatory policy.</w:t>
            </w:r>
          </w:p>
          <w:p w:rsidR="00000000" w:rsidRPr="006C602B" w:rsidP="006C602B">
            <w:pPr>
              <w:pStyle w:val="BodyText"/>
            </w:pPr>
            <w:r w:rsidRPr="006C602B">
              <w:t>Methods chosen for a particular assessment will be influenced by various factors. The</w:t>
            </w:r>
            <w:r w:rsidRPr="006C602B">
              <w:t>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6C602B" w:rsidP="006C602B">
            <w:pPr>
              <w:pStyle w:val="BodyText"/>
            </w:pPr>
            <w:r w:rsidRPr="006C602B">
              <w:t>The</w:t>
            </w:r>
            <w:r w:rsidRPr="006C602B">
              <w:t xml:space="preserve"> critical safety nature of working with electricity, electrical equipment, gas or any other hazardous substance/material carries risk in deeming a person competent. Sources of evidence need to be 'rich' in nature to minimise error in judgment.</w:t>
            </w:r>
          </w:p>
          <w:p w:rsidR="00000000" w:rsidP="006C602B">
            <w:pPr>
              <w:pStyle w:val="BodyText"/>
              <w:rPr>
                <w:lang w:val="en-NZ"/>
              </w:rPr>
            </w:pPr>
            <w:r w:rsidRPr="006C602B">
              <w:t>Activities a</w:t>
            </w:r>
            <w:r w:rsidRPr="006C602B">
              <w:t>ssociated with normal everyday work have a bearing on the decision as to how much and how detailed the data gathered will contribute to its 'richness'. Some skills are more critical to safety and operational requirements while the same skills may be more o</w:t>
            </w:r>
            <w:r w:rsidRPr="006C602B">
              <w:t>r less frequently practised. These points are raised for the assessors to consider when choosing an assessment method and developing assessment instruments. Sample assessment instruments are included for Assessors in the Assessment Guidelines of this Train</w:t>
            </w:r>
            <w:r w:rsidRPr="006C602B">
              <w:t>ing Package.</w:t>
            </w:r>
          </w:p>
        </w:tc>
      </w:tr>
      <w:tr w:rsidTr="005A69C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 xml:space="preserve">Critical aspects of evidence required to demonstrate competency </w:t>
            </w:r>
            <w:r w:rsidRPr="006C602B">
              <w:rPr>
                <w:rStyle w:val="SpecialBold"/>
              </w:rPr>
              <w:t>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9</w:t>
            </w:r>
            <w:r w:rsidRPr="006C602B">
              <w:t>.</w:t>
            </w:r>
            <w:r w:rsidRPr="006C602B">
              <w:rPr>
                <w:rStyle w:val="SpecialBold"/>
              </w:rPr>
              <w:t>2</w:t>
            </w:r>
            <w:r w:rsidRPr="006C602B">
              <w:t xml:space="preserve">) </w:t>
            </w:r>
          </w:p>
          <w:p w:rsidR="00000000" w:rsidP="006C602B">
            <w:pPr>
              <w:pStyle w:val="BodyText"/>
              <w:rPr>
                <w:lang w:val="en-NZ"/>
              </w:rPr>
            </w:pPr>
            <w:r w:rsidRPr="006C602B">
              <w:t>Before the critical aspects of evidence are considered all prerequisites must be met.</w:t>
            </w:r>
          </w:p>
        </w:tc>
      </w:tr>
      <w:tr w:rsidTr="005A69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C602B">
            <w:pPr>
              <w:pStyle w:val="ListBullet"/>
              <w:rPr>
                <w:lang w:val="en-NZ"/>
              </w:rPr>
            </w:pPr>
            <w:r w:rsidRPr="006C602B">
              <w:t>A representative body of work performance demonstrated within the timeframes typically expected of the discipline, work function and industrial environment. In particular this shall incorporate evidence that shows a candidate is able to:</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6C602B" w:rsidP="006C602B">
            <w:pPr>
              <w:pStyle w:val="ListBullet2"/>
            </w:pPr>
            <w:r w:rsidRPr="006C602B">
              <w:t>Implement Occupational Health and Safety workplace procedures and practices, including the use of risk control measures as specified in the performance criteria and range statement</w:t>
            </w:r>
          </w:p>
          <w:p w:rsidR="00000000" w:rsidRPr="006C602B" w:rsidP="006C602B">
            <w:pPr>
              <w:pStyle w:val="ListBullet2"/>
            </w:pPr>
            <w:r w:rsidRPr="006C602B">
              <w:t>Apply sustainable energy principles and practices as specified in the performance criteria and range statement</w:t>
            </w:r>
          </w:p>
          <w:p w:rsidR="00000000" w:rsidRPr="006C602B" w:rsidP="006C602B">
            <w:pPr>
              <w:pStyle w:val="ListBullet2"/>
            </w:pPr>
            <w:r w:rsidRPr="006C602B">
              <w:t>Demonstrate an understanding of the essential knowledge and associated skills as described in this unit.  It may be required by some jurisdiction</w:t>
            </w:r>
            <w:r w:rsidRPr="006C602B">
              <w:t xml:space="preserve">s that RTOs provide a percentile graded result for the purpose of regulatory or licensing requirements.   </w:t>
            </w:r>
          </w:p>
          <w:p w:rsidR="00000000" w:rsidRPr="006C602B" w:rsidP="006C602B">
            <w:pPr>
              <w:pStyle w:val="ListBullet2"/>
            </w:pPr>
            <w:r w:rsidRPr="006C602B">
              <w:t>Demonstrate an appropriate level of skills enabling employment</w:t>
            </w:r>
          </w:p>
          <w:p w:rsidR="00000000" w:rsidP="006C602B">
            <w:pPr>
              <w:pStyle w:val="ListBullet2"/>
              <w:rPr>
                <w:lang w:val="en-NZ"/>
              </w:rPr>
            </w:pPr>
            <w:r w:rsidRPr="006C602B">
              <w:t>Conduct work observing the relevant Anti Discrimination legislation, regulations, poli</w:t>
            </w:r>
            <w:r w:rsidRPr="006C602B">
              <w:t>ces and workplace procedures</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6C602B">
            <w:pPr>
              <w:pStyle w:val="ListBullet"/>
              <w:rPr>
                <w:lang w:val="en-NZ"/>
              </w:rPr>
            </w:pPr>
            <w:r w:rsidRPr="006C602B">
              <w:t>Demonstrated consistent performance across a representative range of contexts from the prescribed items below:</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6C602B">
            <w:pPr>
              <w:pStyle w:val="ListBullet2"/>
              <w:rPr>
                <w:lang w:val="en-NZ"/>
              </w:rPr>
            </w:pPr>
            <w:r w:rsidRPr="006C602B">
              <w:t>Fabricate, dismantle, assemble of utilities industry components as described in 8) and including:</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A</w:t>
            </w:r>
          </w:p>
        </w:tc>
        <w:tc>
          <w:tcPr>
            <w:tcW w:w="566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Selecting and using hand tools appropriate to a task correctly and safely</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B</w:t>
            </w:r>
          </w:p>
        </w:tc>
        <w:tc>
          <w:tcPr>
            <w:tcW w:w="566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Selecting and using power tools appropriate to a task correctly and safely</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C</w:t>
            </w:r>
          </w:p>
        </w:tc>
        <w:tc>
          <w:tcPr>
            <w:tcW w:w="566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Sharpening at least two drill bits each for use different types of material.</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D</w:t>
            </w:r>
          </w:p>
        </w:tc>
        <w:tc>
          <w:tcPr>
            <w:tcW w:w="566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Interpreting mechanical drawings/diagrams and instructions correctly.</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E</w:t>
            </w:r>
          </w:p>
        </w:tc>
        <w:tc>
          <w:tcPr>
            <w:tcW w:w="566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Dismantle and assemble an apparatus relevant to utilities industry discipline in which competency is sought.</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F</w:t>
            </w:r>
          </w:p>
        </w:tc>
        <w:tc>
          <w:tcPr>
            <w:tcW w:w="566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Fabricate a component relevant to the utilit</w:t>
            </w:r>
            <w:r w:rsidRPr="006C602B">
              <w:t>ies industry discipline in which competency is sought.</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G</w:t>
            </w:r>
          </w:p>
        </w:tc>
        <w:tc>
          <w:tcPr>
            <w:tcW w:w="5661"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 xml:space="preserve">Dealing with unplanned events </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9</w:t>
            </w:r>
            <w:r w:rsidRPr="006C602B">
              <w:t>.</w:t>
            </w:r>
            <w:r w:rsidRPr="006C602B">
              <w:rPr>
                <w:rStyle w:val="SpecialBold"/>
              </w:rPr>
              <w:t>3</w:t>
            </w:r>
            <w:r w:rsidRPr="006C602B">
              <w:t xml:space="preserve">) </w:t>
            </w:r>
          </w:p>
          <w:p w:rsidR="00000000" w:rsidRPr="006C602B" w:rsidP="006C602B">
            <w:pPr>
              <w:pStyle w:val="BodyText"/>
            </w:pPr>
            <w:r w:rsidRPr="006C602B">
              <w:t>This unit should be assessed as it relates to normal work practice using procedures, information and resource</w:t>
            </w:r>
            <w:r w:rsidRPr="006C602B">
              <w:t>s typical of a workplace. This should include:</w:t>
            </w:r>
          </w:p>
          <w:p w:rsidR="00000000" w:rsidRPr="006C602B" w:rsidP="006C602B">
            <w:pPr>
              <w:pStyle w:val="ListBullet"/>
            </w:pPr>
            <w:r w:rsidRPr="006C602B">
              <w:t>OHS policy and work procedures and instructions.</w:t>
            </w:r>
          </w:p>
          <w:p w:rsidR="00000000" w:rsidRPr="006C602B" w:rsidP="006C602B">
            <w:pPr>
              <w:pStyle w:val="ListBullet"/>
            </w:pPr>
            <w:r w:rsidRPr="006C602B">
              <w:t>Suitable work environment, facilities, equipment and materials to undertake actual work as prescribed in this unit.</w:t>
            </w:r>
          </w:p>
          <w:p w:rsidR="00000000" w:rsidRPr="006C602B" w:rsidP="006C602B">
            <w:pPr>
              <w:pStyle w:val="BodyText"/>
            </w:pPr>
            <w:r w:rsidRPr="006C602B">
              <w:t>These should be used in the formal learning</w:t>
            </w:r>
            <w:r w:rsidRPr="006C602B">
              <w:t>/assessment environment.</w:t>
            </w:r>
          </w:p>
          <w:p w:rsidR="00000000" w:rsidRPr="006C602B" w:rsidP="006C602B">
            <w:pPr>
              <w:pStyle w:val="BodyText"/>
            </w:pPr>
            <w:r w:rsidRPr="006C602B">
              <w:t>Note:</w:t>
            </w:r>
          </w:p>
          <w:p w:rsidR="00000000" w:rsidP="006C602B">
            <w:pPr>
              <w:pStyle w:val="BodyText"/>
              <w:rPr>
                <w:lang w:val="en-NZ"/>
              </w:rPr>
            </w:pPr>
            <w:r w:rsidRPr="006C602B">
              <w:t>Where simulation is considered a suitable strategy for assessment, conditions for assessment must be authentic and as far as possible reproduce and replicate the workplace and be consistent with the approved industry simulation policy.</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The resources us</w:t>
            </w:r>
            <w:r w:rsidRPr="006C602B">
              <w:t>ed for assessment should reflect current industry practices in relation to dismantling, assembling and fabricating utilities industry components.</w:t>
            </w:r>
          </w:p>
        </w:tc>
      </w:tr>
      <w:tr w:rsidTr="005A69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Method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9</w:t>
            </w:r>
            <w:r w:rsidRPr="006C602B">
              <w:t>.</w:t>
            </w:r>
            <w:r w:rsidRPr="006C602B">
              <w:rPr>
                <w:rStyle w:val="SpecialBold"/>
              </w:rPr>
              <w:t>4</w:t>
            </w:r>
            <w:r w:rsidRPr="006C602B">
              <w:t xml:space="preserve">) </w:t>
            </w:r>
          </w:p>
          <w:p w:rsidR="00000000" w:rsidRPr="006C602B" w:rsidP="006C602B">
            <w:pPr>
              <w:pStyle w:val="BodyText"/>
            </w:pPr>
            <w:r w:rsidRPr="006C602B">
              <w:t>This unit shall be assessed by methods given in Volume 1, Part 3 'Assessment Gui</w:t>
            </w:r>
            <w:r w:rsidRPr="006C602B">
              <w:t>delines'.</w:t>
            </w:r>
          </w:p>
          <w:p w:rsidR="00000000" w:rsidP="006C602B">
            <w:pPr>
              <w:pStyle w:val="BodyText"/>
              <w:rPr>
                <w:lang w:val="en-NZ"/>
              </w:rPr>
            </w:pPr>
            <w:r w:rsidRPr="006C602B">
              <w:t xml:space="preserve">Note: </w:t>
            </w:r>
            <w:r w:rsidRPr="006C602B">
              <w:br/>
              <w:t>Competent performance with inherent safe working practices is expected in the Industry to which this unit applies. This requires that the specified essential knowledge and associated skills are assessed in a structured environment which is</w:t>
            </w:r>
            <w:r w:rsidRPr="006C602B">
              <w:t xml:space="preserve"> primarily intended for learning/assessment and incorporates all necessary equipment and facilities for learners to develop and demonstrate the essential knowledge and skills described in this unit.</w:t>
            </w:r>
          </w:p>
        </w:tc>
      </w:tr>
      <w:tr w:rsidTr="005A69C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Concurrent assessment and relationship with other unit</w:t>
            </w:r>
            <w:r w:rsidRPr="006C602B">
              <w:rPr>
                <w:rStyle w:val="SpecialBold"/>
              </w:rPr>
              <w:t>s</w:t>
            </w:r>
          </w:p>
        </w:tc>
        <w:tc>
          <w:tcPr>
            <w:tcW w:w="6489" w:type="dxa"/>
            <w:gridSpan w:val="3"/>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9</w:t>
            </w:r>
            <w:r w:rsidRPr="006C602B">
              <w:t>.</w:t>
            </w:r>
            <w:r w:rsidRPr="006C602B">
              <w:rPr>
                <w:rStyle w:val="SpecialBold"/>
              </w:rPr>
              <w:t>5</w:t>
            </w:r>
            <w:r w:rsidRPr="006C602B">
              <w:t>)</w:t>
            </w:r>
          </w:p>
        </w:tc>
      </w:tr>
      <w:tr w:rsidTr="005A69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t>For optimisation of training and assessment effort, competency development in this unit may be arranged concurrently with unit:</w:t>
            </w:r>
          </w:p>
        </w:tc>
      </w:tr>
    </w:tbl>
    <w:p w:rsidR="005A69C3" w:rsidP="006C602B">
      <w:pPr>
        <w:pStyle w:val="BodyText"/>
      </w:pPr>
    </w:p>
    <w:p w:rsidR="005A69C3" w:rsidP="006C602B">
      <w:pPr>
        <w:pStyle w:val="BodyText"/>
      </w:pPr>
    </w:p>
    <w:p w:rsidR="00000000" w:rsidRPr="006C602B" w:rsidP="006C602B">
      <w:pPr>
        <w:pStyle w:val="Heading1"/>
      </w:pPr>
      <w:bookmarkStart w:id="11" w:name="O_584335"/>
      <w:bookmarkEnd w:id="11"/>
      <w:r w:rsidRPr="006C602B">
        <w:t>Range Statement</w:t>
      </w:r>
    </w:p>
    <w:tbl>
      <w:tblPr>
        <w:tblW w:w="0" w:type="auto"/>
        <w:tblLayout w:type="fixed"/>
        <w:tblCellMar>
          <w:left w:w="62" w:type="dxa"/>
          <w:right w:w="62" w:type="dxa"/>
        </w:tblCellMar>
        <w:tblLook w:val="0000"/>
      </w:tblPr>
      <w:tblGrid>
        <w:gridCol w:w="1418"/>
        <w:gridCol w:w="7231"/>
      </w:tblGrid>
      <w:tr w:rsidTr="005A69C3">
        <w:tblPrEx>
          <w:tblW w:w="0" w:type="auto"/>
          <w:tblLayout w:type="fixed"/>
          <w:tblCellMar>
            <w:left w:w="62" w:type="dxa"/>
            <w:right w:w="62" w:type="dxa"/>
          </w:tblCellMar>
          <w:tblLook w:val="0000"/>
        </w:tblPrEx>
        <w:trPr>
          <w:tblHeader/>
        </w:trPr>
        <w:tc>
          <w:tcPr>
            <w:tcW w:w="8649" w:type="dxa"/>
            <w:gridSpan w:val="2"/>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RANGE STATEMENT</w:t>
            </w:r>
          </w:p>
        </w:tc>
      </w:tr>
      <w:tr w:rsidTr="005A69C3">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8</w:t>
            </w:r>
            <w:r w:rsidRPr="006C602B">
              <w:t>) This relates to the unit as a whole providing the range of contexts and conditions to which the performance criteria apply. It allows for different work environments and situations that will affect performance.</w:t>
            </w:r>
          </w:p>
        </w:tc>
      </w:tr>
      <w:tr w:rsidTr="005A69C3">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This unit shall be demonstrated in relati</w:t>
            </w:r>
            <w:r w:rsidRPr="006C602B">
              <w:t>on to installation, fault finding, maintenance, repair or development work functions in any of the following disciplines:</w:t>
            </w:r>
          </w:p>
        </w:tc>
      </w:tr>
      <w:tr w:rsidTr="005A69C3">
        <w:tblPrEx>
          <w:tblW w:w="0" w:type="auto"/>
          <w:tblLayout w:type="fixed"/>
          <w:tblCellMar>
            <w:left w:w="62" w:type="dxa"/>
            <w:right w:w="62" w:type="dxa"/>
          </w:tblCellMar>
          <w:tblLook w:val="0000"/>
        </w:tblPrEx>
        <w:tc>
          <w:tcPr>
            <w:tcW w:w="1418"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p>
        </w:tc>
        <w:tc>
          <w:tcPr>
            <w:tcW w:w="7231" w:type="dxa"/>
            <w:tcBorders>
              <w:top w:val="nil"/>
              <w:left w:val="nil"/>
              <w:bottom w:val="nil"/>
              <w:right w:val="nil"/>
            </w:tcBorders>
            <w:tcMar>
              <w:top w:w="0" w:type="dxa"/>
              <w:left w:w="62" w:type="dxa"/>
              <w:bottom w:w="0" w:type="dxa"/>
              <w:right w:w="62" w:type="dxa"/>
            </w:tcMar>
          </w:tcPr>
          <w:p w:rsidR="00000000" w:rsidRPr="006C602B" w:rsidP="006C602B">
            <w:pPr>
              <w:pStyle w:val="ListBullet"/>
            </w:pPr>
            <w:r w:rsidRPr="006C602B">
              <w:t>Electrotechnology Disciplines</w:t>
            </w:r>
          </w:p>
          <w:p w:rsidR="00000000" w:rsidRPr="006C602B" w:rsidP="006C602B">
            <w:pPr>
              <w:pStyle w:val="ListBullet"/>
            </w:pPr>
            <w:r w:rsidRPr="006C602B">
              <w:t>Gas industry Disciplines</w:t>
            </w:r>
          </w:p>
          <w:p w:rsidR="00000000" w:rsidRPr="006C602B" w:rsidP="006C602B">
            <w:pPr>
              <w:pStyle w:val="ListBullet"/>
            </w:pPr>
            <w:r w:rsidRPr="006C602B">
              <w:t xml:space="preserve">ESI Transmission, Distribution and Rail Disciplines </w:t>
            </w:r>
          </w:p>
          <w:p w:rsidR="00000000" w:rsidP="006C602B">
            <w:pPr>
              <w:pStyle w:val="ListBullet"/>
              <w:rPr>
                <w:lang w:val="en-NZ"/>
              </w:rPr>
            </w:pPr>
            <w:r w:rsidRPr="006C602B">
              <w:t>ESI Generation Disciplines</w:t>
            </w:r>
          </w:p>
        </w:tc>
      </w:tr>
      <w:tr w:rsidTr="005A69C3">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t>Generic terms used throughout this Vocational Standard shall be regarded as part of the Range Statement in which competency is demonstrated. The definition of these and other terms that apply are given in Volume 2, Part 2.1.</w:t>
            </w:r>
          </w:p>
        </w:tc>
      </w:tr>
    </w:tbl>
    <w:p w:rsidR="005A69C3" w:rsidP="006C602B">
      <w:pPr>
        <w:pStyle w:val="BodyText"/>
      </w:pPr>
    </w:p>
    <w:p w:rsidR="005A69C3" w:rsidP="006C602B">
      <w:pPr>
        <w:pStyle w:val="BodyText"/>
      </w:pPr>
    </w:p>
    <w:p w:rsidR="00000000" w:rsidRPr="006C602B" w:rsidP="006C602B">
      <w:pPr>
        <w:pStyle w:val="Heading1"/>
      </w:pPr>
      <w:bookmarkStart w:id="12" w:name="O_584334"/>
      <w:bookmarkEnd w:id="12"/>
      <w:r w:rsidRPr="006C602B">
        <w:t>Unit Sector(s)</w:t>
      </w:r>
    </w:p>
    <w:p w:rsidR="00000000" w:rsidRPr="006C602B" w:rsidP="006C602B">
      <w:pPr>
        <w:pStyle w:val="BodyText"/>
      </w:pPr>
      <w:r w:rsidRPr="006C602B">
        <w:t>Not Applicable</w:t>
      </w:r>
    </w:p>
    <w:p w:rsidR="00000000" w:rsidRPr="006C602B" w:rsidP="006C602B">
      <w:pPr>
        <w:pStyle w:val="AllowPageBreak"/>
      </w:pPr>
    </w:p>
    <w:p w:rsidR="00000000" w:rsidRPr="006C602B" w:rsidP="006C602B">
      <w:pPr>
        <w:pStyle w:val="Heading1"/>
      </w:pPr>
      <w:bookmarkStart w:id="13" w:name="O_584333"/>
      <w:bookmarkEnd w:id="13"/>
      <w:r w:rsidRPr="006C602B">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5A69C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2</w:t>
            </w:r>
            <w:r w:rsidRPr="006C602B">
              <w:t>.</w:t>
            </w:r>
            <w:r w:rsidRPr="006C602B">
              <w:rPr>
                <w:rStyle w:val="SpecialBold"/>
              </w:rPr>
              <w:t>3</w:t>
            </w:r>
            <w:r w:rsidRPr="006C602B">
              <w:t xml:space="preserve">) </w:t>
            </w:r>
            <w:r w:rsidRPr="006C602B">
              <w:rPr>
                <w:rStyle w:val="SpecialBold"/>
              </w:rPr>
              <w:t>Literacy and numeracy skills</w:t>
            </w:r>
          </w:p>
          <w:p w:rsidR="00000000" w:rsidP="006C602B">
            <w:pPr>
              <w:pStyle w:val="BodyText"/>
              <w:rPr>
                <w:lang w:val="en-NZ"/>
              </w:rPr>
            </w:pPr>
            <w:r w:rsidRPr="006C602B">
              <w:t>Participants are best equipped to achieve competency in this unit if they have reading, writing and numeracy skills indicated by the following scales. Description of each scale is given in Volume 2, Part 3 'Literacy and Numeracy'</w:t>
            </w:r>
          </w:p>
        </w:tc>
      </w:tr>
      <w:tr w:rsidTr="005A69C3">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Reading</w:t>
            </w:r>
          </w:p>
        </w:tc>
        <w:tc>
          <w:tcPr>
            <w:tcW w:w="1182"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w:t>
            </w:r>
          </w:p>
        </w:tc>
        <w:tc>
          <w:tcPr>
            <w:tcW w:w="1738"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Writing</w:t>
            </w:r>
          </w:p>
        </w:tc>
        <w:tc>
          <w:tcPr>
            <w:tcW w:w="1182"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3</w:t>
            </w:r>
          </w:p>
        </w:tc>
        <w:tc>
          <w:tcPr>
            <w:tcW w:w="1720"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t>Numeracy</w:t>
            </w:r>
          </w:p>
        </w:tc>
        <w:tc>
          <w:tcPr>
            <w:tcW w:w="1186"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t>3</w:t>
            </w:r>
          </w:p>
        </w:tc>
      </w:tr>
    </w:tbl>
    <w:p w:rsidR="005A69C3" w:rsidP="006C602B">
      <w:pPr>
        <w:pStyle w:val="BodyText"/>
      </w:pPr>
    </w:p>
    <w:p w:rsidR="005A69C3" w:rsidP="006C602B">
      <w:pPr>
        <w:pStyle w:val="BodyText"/>
      </w:pPr>
    </w:p>
    <w:p w:rsidR="00000000" w:rsidRPr="006C602B" w:rsidP="006C602B">
      <w:pPr>
        <w:pStyle w:val="Heading1"/>
      </w:pPr>
      <w:bookmarkStart w:id="14" w:name="O_584332"/>
      <w:bookmarkEnd w:id="14"/>
      <w:r w:rsidRPr="006C602B">
        <w:t>2.3) Literacy and numeracy skills</w:t>
      </w:r>
    </w:p>
    <w:tbl>
      <w:tblPr>
        <w:tblW w:w="0" w:type="auto"/>
        <w:tblLayout w:type="fixed"/>
        <w:tblCellMar>
          <w:left w:w="62" w:type="dxa"/>
          <w:right w:w="62" w:type="dxa"/>
        </w:tblCellMar>
        <w:tblLook w:val="0000"/>
      </w:tblPr>
      <w:tblGrid>
        <w:gridCol w:w="2697"/>
        <w:gridCol w:w="5763"/>
      </w:tblGrid>
      <w:tr w:rsidTr="005A69C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6C602B">
            <w:pPr>
              <w:pStyle w:val="BodyText"/>
              <w:rPr>
                <w:lang w:val="en-NZ"/>
              </w:rPr>
            </w:pPr>
            <w:r w:rsidRPr="006C602B">
              <w:rPr>
                <w:rStyle w:val="SpecialBold"/>
              </w:rPr>
              <w:t>5</w:t>
            </w:r>
            <w:r w:rsidRPr="006C602B">
              <w:t>)</w:t>
            </w:r>
          </w:p>
        </w:tc>
      </w:tr>
      <w:tr w:rsidTr="005A69C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6C602B" w:rsidP="006C602B">
            <w:pPr>
              <w:pStyle w:val="BodyText"/>
            </w:pPr>
            <w:r w:rsidRPr="006C602B">
              <w:t>Utilities industry</w:t>
            </w:r>
          </w:p>
        </w:tc>
      </w:tr>
    </w:tbl>
    <w:p w:rsidR="005A69C3" w:rsidP="006C602B">
      <w:pPr>
        <w:pStyle w:val="BodyText"/>
      </w:pPr>
    </w:p>
    <w:p w:rsidR="005A69C3" w:rsidP="006C602B">
      <w:pPr>
        <w:pStyle w:val="BodyText"/>
      </w:pPr>
    </w:p>
    <w:p w:rsidR="00000000" w:rsidRPr="006C602B" w:rsidP="006C602B"/>
    <w:sectPr w:rsidSect="006C60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2B" w:rsidRPr="005A69C3" w:rsidP="005A69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C3" w:rsidP="006C6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A69C3" w:rsidP="006C60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A69C3" w:rsidP="006C60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2B" w:rsidRPr="005A69C3" w:rsidP="005A69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C3" w:rsidRPr="002D2AF8" w:rsidP="006C602B">
    <w:pPr>
      <w:pStyle w:val="Header"/>
      <w:framePr w:wrap="around"/>
    </w:pPr>
    <w:r>
      <w:fldChar w:fldCharType="begin"/>
    </w:r>
    <w:r>
      <w:instrText xml:space="preserve"> TITLE   \* MERGEFORMAT </w:instrText>
    </w:r>
    <w:r>
      <w:fldChar w:fldCharType="separate"/>
    </w:r>
    <w:r>
      <w:t>UEENEEE102A Fabricate, assemble and dismantle utilities industry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A69C3" w:rsidP="006C60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4C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EF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F62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0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02B"/>
    <w:pPr>
      <w:spacing w:before="360" w:after="60"/>
      <w:outlineLvl w:val="0"/>
    </w:pPr>
    <w:rPr>
      <w:sz w:val="32"/>
    </w:rPr>
  </w:style>
  <w:style w:type="paragraph" w:styleId="Heading2">
    <w:name w:val="heading 2"/>
    <w:basedOn w:val="HeadingBase"/>
    <w:next w:val="BodyText"/>
    <w:link w:val="Heading2Char"/>
    <w:qFormat/>
    <w:rsid w:val="006C602B"/>
    <w:pPr>
      <w:keepLines/>
      <w:spacing w:before="240" w:after="120"/>
      <w:outlineLvl w:val="1"/>
    </w:pPr>
    <w:rPr>
      <w:sz w:val="28"/>
      <w:szCs w:val="40"/>
    </w:rPr>
  </w:style>
  <w:style w:type="paragraph" w:styleId="Heading3">
    <w:name w:val="heading 3"/>
    <w:basedOn w:val="HeadingBase"/>
    <w:next w:val="BodyText"/>
    <w:link w:val="Heading3Char"/>
    <w:qFormat/>
    <w:rsid w:val="006C602B"/>
    <w:pPr>
      <w:spacing w:before="180" w:after="120"/>
      <w:outlineLvl w:val="2"/>
    </w:pPr>
    <w:rPr>
      <w:spacing w:val="-10"/>
      <w:kern w:val="32"/>
    </w:rPr>
  </w:style>
  <w:style w:type="paragraph" w:styleId="Heading4">
    <w:name w:val="heading 4"/>
    <w:basedOn w:val="HeadingBase"/>
    <w:next w:val="BodyText"/>
    <w:link w:val="Heading4Char"/>
    <w:qFormat/>
    <w:rsid w:val="006C602B"/>
    <w:pPr>
      <w:spacing w:before="160" w:after="120"/>
      <w:outlineLvl w:val="3"/>
    </w:pPr>
    <w:rPr>
      <w:sz w:val="22"/>
    </w:rPr>
  </w:style>
  <w:style w:type="paragraph" w:styleId="Heading5">
    <w:name w:val="heading 5"/>
    <w:basedOn w:val="HeadingBase"/>
    <w:next w:val="Normal"/>
    <w:link w:val="Heading5Char"/>
    <w:qFormat/>
    <w:rsid w:val="006C602B"/>
    <w:pPr>
      <w:spacing w:before="80"/>
      <w:outlineLvl w:val="4"/>
    </w:pPr>
    <w:rPr>
      <w:color w:val="918585"/>
      <w:sz w:val="20"/>
    </w:rPr>
  </w:style>
  <w:style w:type="paragraph" w:styleId="Heading6">
    <w:name w:val="heading 6"/>
    <w:basedOn w:val="HeadingBase"/>
    <w:next w:val="Normal"/>
    <w:link w:val="Heading6Char"/>
    <w:qFormat/>
    <w:rsid w:val="006C602B"/>
    <w:pPr>
      <w:spacing w:before="60"/>
      <w:outlineLvl w:val="5"/>
    </w:pPr>
    <w:rPr>
      <w:color w:val="918585"/>
      <w:sz w:val="20"/>
    </w:rPr>
  </w:style>
  <w:style w:type="paragraph" w:styleId="Heading7">
    <w:name w:val="heading 7"/>
    <w:basedOn w:val="Normal"/>
    <w:next w:val="Normal"/>
    <w:link w:val="Heading7Char"/>
    <w:qFormat/>
    <w:rsid w:val="006C602B"/>
    <w:pPr>
      <w:ind w:left="720"/>
      <w:outlineLvl w:val="6"/>
    </w:pPr>
    <w:rPr>
      <w:i/>
    </w:rPr>
  </w:style>
  <w:style w:type="paragraph" w:styleId="Heading8">
    <w:name w:val="heading 8"/>
    <w:basedOn w:val="Normal"/>
    <w:next w:val="Normal"/>
    <w:link w:val="Heading8Char"/>
    <w:qFormat/>
    <w:rsid w:val="006C602B"/>
    <w:pPr>
      <w:ind w:left="720"/>
      <w:outlineLvl w:val="7"/>
    </w:pPr>
    <w:rPr>
      <w:i/>
    </w:rPr>
  </w:style>
  <w:style w:type="paragraph" w:styleId="Heading9">
    <w:name w:val="heading 9"/>
    <w:basedOn w:val="Normal"/>
    <w:next w:val="Normal"/>
    <w:link w:val="Heading9Char"/>
    <w:qFormat/>
    <w:rsid w:val="006C602B"/>
    <w:pPr>
      <w:ind w:left="720"/>
      <w:outlineLvl w:val="8"/>
    </w:pPr>
    <w:rPr>
      <w:i/>
    </w:rPr>
  </w:style>
  <w:style w:type="character" w:default="1" w:styleId="DefaultParagraphFont">
    <w:name w:val="Default Paragraph Font"/>
    <w:uiPriority w:val="1"/>
    <w:unhideWhenUsed/>
    <w:rsid w:val="006C6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02B"/>
  </w:style>
  <w:style w:type="character" w:customStyle="1" w:styleId="Heading1Char">
    <w:name w:val="Heading 1 Char"/>
    <w:basedOn w:val="DefaultParagraphFont"/>
    <w:link w:val="Heading1"/>
    <w:rsid w:val="006C602B"/>
    <w:rPr>
      <w:rFonts w:ascii="Times New Roman" w:eastAsia="Times New Roman" w:hAnsi="Times New Roman" w:cs="Times New Roman"/>
      <w:b/>
      <w:sz w:val="32"/>
      <w:szCs w:val="20"/>
      <w:lang w:eastAsia="en-US"/>
    </w:rPr>
  </w:style>
  <w:style w:type="paragraph" w:styleId="BodyText">
    <w:name w:val="Body Text"/>
    <w:basedOn w:val="Normal"/>
    <w:link w:val="BodyTextChar"/>
    <w:rsid w:val="006C60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02B"/>
    <w:rPr>
      <w:rFonts w:ascii="Times New Roman" w:eastAsia="Times New Roman" w:hAnsi="Times New Roman" w:cs="Times New Roman"/>
      <w:sz w:val="24"/>
      <w:lang w:eastAsia="en-US"/>
    </w:rPr>
  </w:style>
  <w:style w:type="paragraph" w:styleId="ListBullet">
    <w:name w:val="List Bullet"/>
    <w:basedOn w:val="List"/>
    <w:rsid w:val="006C602B"/>
    <w:pPr>
      <w:numPr>
        <w:numId w:val="13"/>
      </w:numPr>
      <w:tabs>
        <w:tab w:val="clear" w:pos="340"/>
      </w:tabs>
      <w:spacing w:before="40" w:after="40"/>
    </w:pPr>
  </w:style>
  <w:style w:type="character" w:customStyle="1" w:styleId="SpecialBold">
    <w:name w:val="Special Bold"/>
    <w:basedOn w:val="DefaultParagraphFont"/>
    <w:rsid w:val="006C602B"/>
    <w:rPr>
      <w:b/>
      <w:spacing w:val="0"/>
    </w:rPr>
  </w:style>
  <w:style w:type="paragraph" w:styleId="ListBullet2">
    <w:name w:val="List Bullet 2"/>
    <w:basedOn w:val="List2"/>
    <w:rsid w:val="006C602B"/>
    <w:pPr>
      <w:numPr>
        <w:numId w:val="14"/>
      </w:numPr>
      <w:tabs>
        <w:tab w:val="clear" w:pos="680"/>
      </w:tabs>
    </w:pPr>
  </w:style>
  <w:style w:type="paragraph" w:customStyle="1" w:styleId="SuperHeading">
    <w:name w:val="SuperHeading"/>
    <w:basedOn w:val="Normal"/>
    <w:rsid w:val="006C602B"/>
    <w:pPr>
      <w:spacing w:before="240" w:after="120"/>
      <w:outlineLvl w:val="0"/>
    </w:pPr>
    <w:rPr>
      <w:rFonts w:ascii="Times New Roman" w:hAnsi="Times New Roman"/>
      <w:b/>
      <w:sz w:val="32"/>
    </w:rPr>
  </w:style>
  <w:style w:type="paragraph" w:customStyle="1" w:styleId="AllowPageBreak">
    <w:name w:val="AllowPageBreak"/>
    <w:rsid w:val="006C60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0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0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02B"/>
    <w:rPr>
      <w:rFonts w:ascii="Courier New" w:eastAsia="Times New Roman" w:hAnsi="Courier New" w:cs="Times New Roman"/>
      <w:i/>
      <w:szCs w:val="20"/>
      <w:lang w:eastAsia="en-US"/>
    </w:rPr>
  </w:style>
  <w:style w:type="paragraph" w:customStyle="1" w:styleId="HeadingBase">
    <w:name w:val="Heading Base"/>
    <w:rsid w:val="006C6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02B"/>
    <w:pPr>
      <w:tabs>
        <w:tab w:val="right" w:leader="dot" w:pos="9072"/>
      </w:tabs>
      <w:ind w:left="567"/>
    </w:pPr>
    <w:rPr>
      <w:szCs w:val="22"/>
    </w:rPr>
  </w:style>
  <w:style w:type="paragraph" w:customStyle="1" w:styleId="TOCBase">
    <w:name w:val="TOC Base"/>
    <w:rsid w:val="006C6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02B"/>
    <w:pPr>
      <w:tabs>
        <w:tab w:val="right" w:leader="dot" w:pos="9072"/>
      </w:tabs>
      <w:spacing w:before="40" w:after="40"/>
      <w:ind w:left="284"/>
    </w:pPr>
    <w:rPr>
      <w:rFonts w:ascii="Times New Roman" w:hAnsi="Times New Roman"/>
    </w:rPr>
  </w:style>
  <w:style w:type="paragraph" w:styleId="TOC1">
    <w:name w:val="toc 1"/>
    <w:basedOn w:val="TOCBase"/>
    <w:next w:val="Normal"/>
    <w:rsid w:val="006C60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02B"/>
    <w:rPr>
      <w:rFonts w:ascii="Times New Roman" w:eastAsia="Times New Roman" w:hAnsi="Times New Roman" w:cs="Times New Roman"/>
      <w:sz w:val="16"/>
      <w:lang w:eastAsia="en-US"/>
    </w:rPr>
  </w:style>
  <w:style w:type="paragraph" w:styleId="Title">
    <w:name w:val="Title"/>
    <w:basedOn w:val="HeadingBase"/>
    <w:link w:val="TitleChar"/>
    <w:qFormat/>
    <w:rsid w:val="006C602B"/>
    <w:pPr>
      <w:spacing w:before="5040"/>
      <w:jc w:val="center"/>
    </w:pPr>
    <w:rPr>
      <w:sz w:val="48"/>
      <w:szCs w:val="72"/>
      <w:lang w:val="en-US"/>
    </w:rPr>
  </w:style>
  <w:style w:type="character" w:customStyle="1" w:styleId="TitleChar">
    <w:name w:val="Title Char"/>
    <w:basedOn w:val="DefaultParagraphFont"/>
    <w:link w:val="Title"/>
    <w:rsid w:val="006C6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02B"/>
    <w:pPr>
      <w:tabs>
        <w:tab w:val="left" w:pos="3600"/>
        <w:tab w:val="left" w:pos="3958"/>
      </w:tabs>
    </w:pPr>
  </w:style>
  <w:style w:type="paragraph" w:styleId="List">
    <w:name w:val="List"/>
    <w:basedOn w:val="BodyText"/>
    <w:next w:val="BodyText"/>
    <w:rsid w:val="006C602B"/>
    <w:pPr>
      <w:tabs>
        <w:tab w:val="left" w:pos="340"/>
      </w:tabs>
      <w:spacing w:before="60" w:after="60"/>
      <w:ind w:left="340" w:hanging="340"/>
    </w:pPr>
  </w:style>
  <w:style w:type="paragraph" w:customStyle="1" w:styleId="Note">
    <w:name w:val="Note"/>
    <w:basedOn w:val="BodyText"/>
    <w:rsid w:val="006C6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02B"/>
    <w:pPr>
      <w:framePr w:wrap="auto" w:hAnchor="text" w:y="6049"/>
    </w:pPr>
    <w:rPr>
      <w:color w:val="000000"/>
      <w:sz w:val="40"/>
    </w:rPr>
  </w:style>
  <w:style w:type="paragraph" w:customStyle="1" w:styleId="TOCTitle">
    <w:name w:val="TOCTitle"/>
    <w:basedOn w:val="Heading1"/>
    <w:rsid w:val="006C602B"/>
    <w:pPr>
      <w:spacing w:after="240"/>
      <w:jc w:val="center"/>
      <w:outlineLvl w:val="9"/>
    </w:pPr>
    <w:rPr>
      <w:caps/>
    </w:rPr>
  </w:style>
  <w:style w:type="paragraph" w:customStyle="1" w:styleId="Version">
    <w:name w:val="Version"/>
    <w:rsid w:val="006C60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02B"/>
    <w:pPr>
      <w:keepNext w:val="0"/>
      <w:tabs>
        <w:tab w:val="right" w:pos="4176"/>
      </w:tabs>
      <w:ind w:left="198" w:hanging="198"/>
    </w:pPr>
    <w:rPr>
      <w:rFonts w:ascii="Garamond" w:hAnsi="Garamond"/>
    </w:rPr>
  </w:style>
  <w:style w:type="paragraph" w:styleId="IndexHeading">
    <w:name w:val="index heading"/>
    <w:basedOn w:val="Normal"/>
    <w:next w:val="Index1"/>
    <w:semiHidden/>
    <w:rsid w:val="006C602B"/>
    <w:pPr>
      <w:spacing w:before="120" w:after="120"/>
    </w:pPr>
    <w:rPr>
      <w:rFonts w:ascii="Arial" w:hAnsi="Arial"/>
      <w:b/>
      <w:color w:val="918585"/>
      <w:sz w:val="24"/>
    </w:rPr>
  </w:style>
  <w:style w:type="paragraph" w:styleId="Header">
    <w:name w:val="header"/>
    <w:basedOn w:val="Normal"/>
    <w:link w:val="HeaderChar"/>
    <w:rsid w:val="006C6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02B"/>
    <w:rPr>
      <w:rFonts w:ascii="Times New Roman" w:eastAsia="Times New Roman" w:hAnsi="Times New Roman" w:cs="Times New Roman"/>
      <w:sz w:val="16"/>
      <w:szCs w:val="20"/>
      <w:lang w:val="en-GB" w:eastAsia="en-US"/>
    </w:rPr>
  </w:style>
  <w:style w:type="paragraph" w:customStyle="1" w:styleId="Chapter">
    <w:name w:val="Chapter"/>
    <w:basedOn w:val="Normal"/>
    <w:rsid w:val="006C602B"/>
    <w:pPr>
      <w:spacing w:before="240"/>
    </w:pPr>
    <w:rPr>
      <w:rFonts w:ascii="Times New Roman" w:hAnsi="Times New Roman"/>
      <w:smallCaps/>
      <w:spacing w:val="80"/>
      <w:sz w:val="28"/>
    </w:rPr>
  </w:style>
  <w:style w:type="paragraph" w:customStyle="1" w:styleId="InChapter">
    <w:name w:val="InChapter"/>
    <w:basedOn w:val="Heading3"/>
    <w:rsid w:val="006C602B"/>
    <w:pPr>
      <w:spacing w:after="240"/>
      <w:outlineLvl w:val="9"/>
    </w:pPr>
    <w:rPr>
      <w:noProof/>
    </w:rPr>
  </w:style>
  <w:style w:type="paragraph" w:styleId="Index2">
    <w:name w:val="index 2"/>
    <w:basedOn w:val="Normal"/>
    <w:next w:val="Normal"/>
    <w:semiHidden/>
    <w:rsid w:val="006C602B"/>
    <w:pPr>
      <w:tabs>
        <w:tab w:val="right" w:pos="4176"/>
      </w:tabs>
      <w:ind w:left="568" w:hanging="284"/>
    </w:pPr>
    <w:rPr>
      <w:rFonts w:ascii="Garamond" w:hAnsi="Garamond"/>
    </w:rPr>
  </w:style>
  <w:style w:type="paragraph" w:customStyle="1" w:styleId="Byline">
    <w:name w:val="Byline"/>
    <w:rsid w:val="006C6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02B"/>
    <w:pPr>
      <w:tabs>
        <w:tab w:val="clear" w:pos="3600"/>
        <w:tab w:val="clear" w:pos="3958"/>
      </w:tabs>
      <w:jc w:val="right"/>
    </w:pPr>
  </w:style>
  <w:style w:type="character" w:styleId="Emphasis">
    <w:name w:val="Emphasis"/>
    <w:basedOn w:val="DefaultParagraphFont"/>
    <w:qFormat/>
    <w:rsid w:val="006C602B"/>
    <w:rPr>
      <w:i/>
    </w:rPr>
  </w:style>
  <w:style w:type="paragraph" w:styleId="Caption">
    <w:name w:val="caption"/>
    <w:basedOn w:val="BodyText"/>
    <w:next w:val="Normal"/>
    <w:qFormat/>
    <w:rsid w:val="006C602B"/>
    <w:pPr>
      <w:framePr w:w="2268" w:hSpace="181" w:vSpace="181" w:wrap="around" w:vAnchor="text" w:hAnchor="page" w:x="1135" w:y="285" w:anchorLock="1"/>
    </w:pPr>
    <w:rPr>
      <w:i/>
    </w:rPr>
  </w:style>
  <w:style w:type="paragraph" w:customStyle="1" w:styleId="MiniTOCTitle">
    <w:name w:val="MiniTOCTitle"/>
    <w:basedOn w:val="Heading4"/>
    <w:rsid w:val="006C602B"/>
    <w:pPr>
      <w:spacing w:before="240"/>
      <w:outlineLvl w:val="9"/>
    </w:pPr>
    <w:rPr>
      <w:noProof/>
      <w:sz w:val="24"/>
    </w:rPr>
  </w:style>
  <w:style w:type="paragraph" w:customStyle="1" w:styleId="MiniTOCItem">
    <w:name w:val="MiniTOCItem"/>
    <w:basedOn w:val="ListBullet"/>
    <w:rsid w:val="006C602B"/>
    <w:pPr>
      <w:numPr>
        <w:numId w:val="0"/>
      </w:numPr>
      <w:tabs>
        <w:tab w:val="right" w:leader="dot" w:pos="6521"/>
      </w:tabs>
      <w:spacing w:before="0" w:after="0"/>
    </w:pPr>
  </w:style>
  <w:style w:type="paragraph" w:customStyle="1" w:styleId="TOFTitle">
    <w:name w:val="TOFTitle"/>
    <w:basedOn w:val="TOCTitle"/>
    <w:rsid w:val="006C602B"/>
  </w:style>
  <w:style w:type="paragraph" w:styleId="TableofFigures">
    <w:name w:val="table of figures"/>
    <w:basedOn w:val="Normal"/>
    <w:next w:val="Normal"/>
    <w:semiHidden/>
    <w:rsid w:val="006C602B"/>
    <w:pPr>
      <w:tabs>
        <w:tab w:val="right" w:leader="dot" w:pos="9072"/>
      </w:tabs>
      <w:ind w:left="970" w:hanging="403"/>
    </w:pPr>
    <w:rPr>
      <w:rFonts w:ascii="Times New Roman" w:hAnsi="Times New Roman"/>
      <w:b/>
    </w:rPr>
  </w:style>
  <w:style w:type="paragraph" w:styleId="ListNumber">
    <w:name w:val="List Number"/>
    <w:basedOn w:val="List"/>
    <w:rsid w:val="006C602B"/>
    <w:pPr>
      <w:numPr>
        <w:numId w:val="11"/>
      </w:numPr>
    </w:pPr>
  </w:style>
  <w:style w:type="character" w:customStyle="1" w:styleId="WingdingSymbols">
    <w:name w:val="Wingding Symbols"/>
    <w:rsid w:val="006C602B"/>
    <w:rPr>
      <w:rFonts w:ascii="Wingdings" w:hAnsi="Wingdings"/>
    </w:rPr>
  </w:style>
  <w:style w:type="paragraph" w:customStyle="1" w:styleId="TableHeading">
    <w:name w:val="Table Heading"/>
    <w:basedOn w:val="HeadingBase"/>
    <w:rsid w:val="006C602B"/>
    <w:pPr>
      <w:keepLines/>
      <w:pBdr>
        <w:bottom w:val="single" w:sz="6" w:space="1" w:color="918585"/>
      </w:pBdr>
      <w:spacing w:before="240"/>
    </w:pPr>
  </w:style>
  <w:style w:type="character" w:customStyle="1" w:styleId="HotSpot">
    <w:name w:val="HotSpot"/>
    <w:rsid w:val="006C602B"/>
    <w:rPr>
      <w:color w:val="0033CC"/>
      <w:u w:val="none"/>
    </w:rPr>
  </w:style>
  <w:style w:type="paragraph" w:customStyle="1" w:styleId="BodyTextRight">
    <w:name w:val="Body Text Right"/>
    <w:basedOn w:val="BodyText"/>
    <w:rsid w:val="006C602B"/>
    <w:pPr>
      <w:spacing w:before="0" w:after="0"/>
      <w:jc w:val="right"/>
    </w:pPr>
  </w:style>
  <w:style w:type="paragraph" w:styleId="Index3">
    <w:name w:val="index 3"/>
    <w:basedOn w:val="ListNumber2"/>
    <w:next w:val="Normal"/>
    <w:semiHidden/>
    <w:rsid w:val="006C602B"/>
    <w:pPr>
      <w:numPr>
        <w:numId w:val="0"/>
      </w:numPr>
      <w:tabs>
        <w:tab w:val="right" w:leader="dot" w:pos="4176"/>
      </w:tabs>
    </w:pPr>
  </w:style>
  <w:style w:type="paragraph" w:styleId="ListNumber2">
    <w:name w:val="List Number 2"/>
    <w:basedOn w:val="List2"/>
    <w:rsid w:val="006C602B"/>
    <w:pPr>
      <w:numPr>
        <w:numId w:val="10"/>
      </w:numPr>
      <w:tabs>
        <w:tab w:val="clear" w:pos="1060"/>
      </w:tabs>
    </w:pPr>
  </w:style>
  <w:style w:type="paragraph" w:customStyle="1" w:styleId="MarginNote">
    <w:name w:val="Margin Note"/>
    <w:basedOn w:val="BodyText"/>
    <w:rsid w:val="006C6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0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02B"/>
    <w:rPr>
      <w:sz w:val="32"/>
    </w:rPr>
  </w:style>
  <w:style w:type="paragraph" w:customStyle="1" w:styleId="HeadingProcedure">
    <w:name w:val="Heading Procedure"/>
    <w:basedOn w:val="HeadingBase"/>
    <w:next w:val="Normal"/>
    <w:rsid w:val="006C602B"/>
    <w:pPr>
      <w:tabs>
        <w:tab w:val="left" w:pos="0"/>
      </w:tabs>
      <w:spacing w:before="120" w:after="60"/>
    </w:pPr>
    <w:rPr>
      <w:i/>
      <w:color w:val="918585"/>
      <w:sz w:val="22"/>
    </w:rPr>
  </w:style>
  <w:style w:type="paragraph" w:customStyle="1" w:styleId="TableBodyText">
    <w:name w:val="Table Body Text"/>
    <w:basedOn w:val="BodyText"/>
    <w:rsid w:val="006C602B"/>
    <w:pPr>
      <w:spacing w:before="60" w:after="60"/>
    </w:pPr>
  </w:style>
  <w:style w:type="paragraph" w:styleId="ListContinue">
    <w:name w:val="List Continue"/>
    <w:basedOn w:val="List"/>
    <w:rsid w:val="006C602B"/>
    <w:pPr>
      <w:ind w:firstLine="0"/>
    </w:pPr>
  </w:style>
  <w:style w:type="paragraph" w:customStyle="1" w:styleId="ListNote">
    <w:name w:val="List Note"/>
    <w:basedOn w:val="List"/>
    <w:rsid w:val="006C602B"/>
    <w:pPr>
      <w:pBdr>
        <w:top w:val="single" w:sz="6" w:space="2" w:color="918585"/>
        <w:bottom w:val="single" w:sz="6" w:space="2" w:color="918585"/>
      </w:pBdr>
      <w:tabs>
        <w:tab w:val="left" w:pos="1021"/>
      </w:tabs>
      <w:ind w:firstLine="0"/>
    </w:pPr>
  </w:style>
  <w:style w:type="paragraph" w:customStyle="1" w:styleId="Warning">
    <w:name w:val="Warning"/>
    <w:basedOn w:val="BodyText"/>
    <w:rsid w:val="006C602B"/>
    <w:pPr>
      <w:shd w:val="clear" w:color="auto" w:fill="D9D9D9"/>
      <w:tabs>
        <w:tab w:val="left" w:pos="992"/>
      </w:tabs>
      <w:ind w:left="119" w:right="119"/>
    </w:pPr>
    <w:rPr>
      <w:sz w:val="20"/>
    </w:rPr>
  </w:style>
  <w:style w:type="paragraph" w:customStyle="1" w:styleId="MarginIcons">
    <w:name w:val="Margin Icons"/>
    <w:basedOn w:val="BodyText"/>
    <w:rsid w:val="006C6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02B"/>
    <w:rPr>
      <w:rFonts w:ascii="Courier New" w:hAnsi="Courier New"/>
    </w:rPr>
  </w:style>
  <w:style w:type="paragraph" w:customStyle="1" w:styleId="NoteBullet">
    <w:name w:val="Note Bullet"/>
    <w:basedOn w:val="Note"/>
    <w:rsid w:val="006C602B"/>
    <w:pPr>
      <w:tabs>
        <w:tab w:val="clear" w:pos="680"/>
      </w:tabs>
      <w:spacing w:before="60" w:after="60"/>
    </w:pPr>
  </w:style>
  <w:style w:type="paragraph" w:customStyle="1" w:styleId="SubHeading2">
    <w:name w:val="SubHeading2"/>
    <w:basedOn w:val="HeadingBase"/>
    <w:rsid w:val="006C602B"/>
    <w:pPr>
      <w:spacing w:before="240" w:after="60"/>
    </w:pPr>
    <w:rPr>
      <w:sz w:val="20"/>
    </w:rPr>
  </w:style>
  <w:style w:type="paragraph" w:customStyle="1" w:styleId="SubHeading1">
    <w:name w:val="SubHeading1"/>
    <w:basedOn w:val="HeadingBase"/>
    <w:rsid w:val="006C602B"/>
    <w:pPr>
      <w:spacing w:before="240" w:after="60"/>
    </w:pPr>
    <w:rPr>
      <w:color w:val="918585"/>
      <w:sz w:val="22"/>
    </w:rPr>
  </w:style>
  <w:style w:type="paragraph" w:customStyle="1" w:styleId="SideHeading">
    <w:name w:val="Side Heading"/>
    <w:basedOn w:val="HeadingBase"/>
    <w:rsid w:val="006C6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02B"/>
    <w:pPr>
      <w:numPr>
        <w:numId w:val="12"/>
      </w:numPr>
    </w:pPr>
  </w:style>
  <w:style w:type="paragraph" w:styleId="PlainText">
    <w:name w:val="Plain Text"/>
    <w:basedOn w:val="Normal"/>
    <w:link w:val="PlainTextChar"/>
    <w:rsid w:val="006C602B"/>
    <w:rPr>
      <w:sz w:val="20"/>
    </w:rPr>
  </w:style>
  <w:style w:type="character" w:customStyle="1" w:styleId="PlainTextChar">
    <w:name w:val="Plain Text Char"/>
    <w:basedOn w:val="DefaultParagraphFont"/>
    <w:link w:val="PlainText"/>
    <w:rsid w:val="006C602B"/>
    <w:rPr>
      <w:rFonts w:ascii="Courier New" w:eastAsia="Times New Roman" w:hAnsi="Courier New" w:cs="Times New Roman"/>
      <w:sz w:val="20"/>
      <w:szCs w:val="20"/>
      <w:lang w:eastAsia="en-US"/>
    </w:rPr>
  </w:style>
  <w:style w:type="character" w:customStyle="1" w:styleId="MenuOption">
    <w:name w:val="Menu Option"/>
    <w:basedOn w:val="DefaultParagraphFont"/>
    <w:rsid w:val="006C602B"/>
    <w:rPr>
      <w:b/>
      <w:smallCaps/>
    </w:rPr>
  </w:style>
  <w:style w:type="paragraph" w:customStyle="1" w:styleId="TableListNumber">
    <w:name w:val="Table List Number"/>
    <w:basedOn w:val="ListNumber"/>
    <w:rsid w:val="006C602B"/>
    <w:pPr>
      <w:numPr>
        <w:numId w:val="0"/>
      </w:numPr>
    </w:pPr>
  </w:style>
  <w:style w:type="paragraph" w:styleId="TOC4">
    <w:name w:val="toc 4"/>
    <w:basedOn w:val="TOCBase"/>
    <w:next w:val="Normal"/>
    <w:semiHidden/>
    <w:rsid w:val="006C602B"/>
    <w:pPr>
      <w:tabs>
        <w:tab w:val="right" w:leader="dot" w:pos="9071"/>
      </w:tabs>
      <w:ind w:left="1701"/>
    </w:pPr>
  </w:style>
  <w:style w:type="paragraph" w:customStyle="1" w:styleId="ListAlpha">
    <w:name w:val="List Alpha"/>
    <w:basedOn w:val="List"/>
    <w:rsid w:val="006C602B"/>
    <w:pPr>
      <w:numPr>
        <w:numId w:val="9"/>
      </w:numPr>
    </w:pPr>
  </w:style>
  <w:style w:type="paragraph" w:customStyle="1" w:styleId="ListAlpha2">
    <w:name w:val="List Alpha 2"/>
    <w:basedOn w:val="List2"/>
    <w:rsid w:val="006C602B"/>
    <w:pPr>
      <w:numPr>
        <w:numId w:val="8"/>
      </w:numPr>
    </w:pPr>
  </w:style>
  <w:style w:type="paragraph" w:styleId="List2">
    <w:name w:val="List 2"/>
    <w:basedOn w:val="BodyText"/>
    <w:rsid w:val="006C602B"/>
    <w:pPr>
      <w:tabs>
        <w:tab w:val="left" w:pos="680"/>
      </w:tabs>
      <w:spacing w:before="60" w:after="60"/>
      <w:ind w:left="680" w:hanging="340"/>
    </w:pPr>
  </w:style>
  <w:style w:type="paragraph" w:styleId="List3">
    <w:name w:val="List 3"/>
    <w:basedOn w:val="BodyText"/>
    <w:rsid w:val="006C602B"/>
    <w:pPr>
      <w:tabs>
        <w:tab w:val="left" w:pos="1021"/>
      </w:tabs>
      <w:spacing w:before="60" w:after="60"/>
      <w:ind w:left="1020" w:hanging="340"/>
    </w:pPr>
  </w:style>
  <w:style w:type="paragraph" w:styleId="List4">
    <w:name w:val="List 4"/>
    <w:basedOn w:val="BodyText"/>
    <w:rsid w:val="006C602B"/>
    <w:pPr>
      <w:tabs>
        <w:tab w:val="left" w:pos="1361"/>
      </w:tabs>
      <w:spacing w:before="60" w:after="60"/>
      <w:ind w:left="1361" w:hanging="340"/>
    </w:pPr>
  </w:style>
  <w:style w:type="paragraph" w:styleId="List5">
    <w:name w:val="List 5"/>
    <w:basedOn w:val="BodyText"/>
    <w:rsid w:val="006C602B"/>
    <w:pPr>
      <w:tabs>
        <w:tab w:val="left" w:pos="1701"/>
      </w:tabs>
      <w:spacing w:before="60" w:after="60"/>
      <w:ind w:left="1701" w:hanging="340"/>
    </w:pPr>
  </w:style>
  <w:style w:type="paragraph" w:styleId="ListBullet3">
    <w:name w:val="List Bullet 3"/>
    <w:basedOn w:val="List3"/>
    <w:rsid w:val="006C602B"/>
    <w:pPr>
      <w:numPr>
        <w:numId w:val="15"/>
      </w:numPr>
      <w:tabs>
        <w:tab w:val="clear" w:pos="1021"/>
      </w:tabs>
      <w:ind w:left="1037" w:hanging="357"/>
    </w:pPr>
  </w:style>
  <w:style w:type="paragraph" w:styleId="ListBullet4">
    <w:name w:val="List Bullet 4"/>
    <w:basedOn w:val="List4"/>
    <w:rsid w:val="006C602B"/>
    <w:pPr>
      <w:numPr>
        <w:numId w:val="3"/>
      </w:numPr>
    </w:pPr>
  </w:style>
  <w:style w:type="paragraph" w:styleId="ListBullet5">
    <w:name w:val="List Bullet 5"/>
    <w:basedOn w:val="List5"/>
    <w:rsid w:val="006C602B"/>
    <w:pPr>
      <w:numPr>
        <w:numId w:val="4"/>
      </w:numPr>
    </w:pPr>
  </w:style>
  <w:style w:type="paragraph" w:styleId="ListContinue2">
    <w:name w:val="List Continue 2"/>
    <w:basedOn w:val="List2"/>
    <w:rsid w:val="006C602B"/>
    <w:pPr>
      <w:ind w:firstLine="0"/>
    </w:pPr>
  </w:style>
  <w:style w:type="paragraph" w:styleId="ListContinue3">
    <w:name w:val="List Continue 3"/>
    <w:basedOn w:val="List3"/>
    <w:rsid w:val="006C602B"/>
    <w:pPr>
      <w:ind w:left="1021" w:firstLine="0"/>
    </w:pPr>
  </w:style>
  <w:style w:type="paragraph" w:styleId="ListContinue4">
    <w:name w:val="List Continue 4"/>
    <w:basedOn w:val="List4"/>
    <w:rsid w:val="006C602B"/>
    <w:pPr>
      <w:ind w:firstLine="0"/>
    </w:pPr>
  </w:style>
  <w:style w:type="paragraph" w:styleId="ListContinue5">
    <w:name w:val="List Continue 5"/>
    <w:basedOn w:val="List5"/>
    <w:rsid w:val="006C602B"/>
    <w:pPr>
      <w:ind w:firstLine="0"/>
    </w:pPr>
  </w:style>
  <w:style w:type="paragraph" w:styleId="ListNumber3">
    <w:name w:val="List Number 3"/>
    <w:basedOn w:val="List3"/>
    <w:rsid w:val="006C602B"/>
    <w:pPr>
      <w:numPr>
        <w:numId w:val="5"/>
      </w:numPr>
    </w:pPr>
  </w:style>
  <w:style w:type="paragraph" w:styleId="ListNumber4">
    <w:name w:val="List Number 4"/>
    <w:basedOn w:val="List4"/>
    <w:rsid w:val="006C602B"/>
    <w:pPr>
      <w:numPr>
        <w:numId w:val="6"/>
      </w:numPr>
    </w:pPr>
  </w:style>
  <w:style w:type="paragraph" w:styleId="ListNumber5">
    <w:name w:val="List Number 5"/>
    <w:basedOn w:val="List5"/>
    <w:rsid w:val="006C602B"/>
    <w:pPr>
      <w:numPr>
        <w:numId w:val="7"/>
      </w:numPr>
    </w:pPr>
  </w:style>
  <w:style w:type="paragraph" w:styleId="BlockText">
    <w:name w:val="Block Text"/>
    <w:basedOn w:val="Normal"/>
    <w:rsid w:val="006C602B"/>
    <w:pPr>
      <w:spacing w:after="120"/>
      <w:ind w:left="1440" w:right="1440"/>
    </w:pPr>
  </w:style>
  <w:style w:type="character" w:customStyle="1" w:styleId="Subscript">
    <w:name w:val="Subscript"/>
    <w:basedOn w:val="DefaultParagraphFont"/>
    <w:rsid w:val="006C602B"/>
    <w:rPr>
      <w:sz w:val="16"/>
      <w:vertAlign w:val="subscript"/>
    </w:rPr>
  </w:style>
  <w:style w:type="character" w:customStyle="1" w:styleId="Superscript">
    <w:name w:val="Superscript"/>
    <w:basedOn w:val="DefaultParagraphFont"/>
    <w:rsid w:val="006C602B"/>
    <w:rPr>
      <w:sz w:val="16"/>
      <w:vertAlign w:val="superscript"/>
    </w:rPr>
  </w:style>
  <w:style w:type="character" w:customStyle="1" w:styleId="Symbols">
    <w:name w:val="Symbols"/>
    <w:basedOn w:val="DefaultParagraphFont"/>
    <w:rsid w:val="006C602B"/>
    <w:rPr>
      <w:rFonts w:ascii="Symbol" w:hAnsi="Symbol"/>
    </w:rPr>
  </w:style>
  <w:style w:type="character" w:customStyle="1" w:styleId="MenuOptions">
    <w:name w:val="Menu Options"/>
    <w:basedOn w:val="DefaultParagraphFont"/>
    <w:rsid w:val="006C602B"/>
    <w:rPr>
      <w:rFonts w:ascii="Arial Narrow" w:hAnsi="Arial Narrow"/>
      <w:smallCaps/>
    </w:rPr>
  </w:style>
  <w:style w:type="character" w:customStyle="1" w:styleId="Buttons">
    <w:name w:val="Buttons"/>
    <w:basedOn w:val="DefaultParagraphFont"/>
    <w:rsid w:val="006C602B"/>
    <w:rPr>
      <w:b/>
    </w:rPr>
  </w:style>
  <w:style w:type="character" w:customStyle="1" w:styleId="Underlined">
    <w:name w:val="Underlined"/>
    <w:basedOn w:val="DefaultParagraphFont"/>
    <w:rsid w:val="006C602B"/>
    <w:rPr>
      <w:u w:val="single"/>
    </w:rPr>
  </w:style>
  <w:style w:type="paragraph" w:customStyle="1" w:styleId="TableBodyTextRight">
    <w:name w:val="Table Body Text Right"/>
    <w:basedOn w:val="TableBodyText"/>
    <w:rsid w:val="006C602B"/>
    <w:pPr>
      <w:widowControl w:val="0"/>
      <w:autoSpaceDE w:val="0"/>
      <w:autoSpaceDN w:val="0"/>
      <w:adjustRightInd w:val="0"/>
      <w:jc w:val="right"/>
    </w:pPr>
    <w:rPr>
      <w:rFonts w:cs="Arial"/>
      <w:szCs w:val="18"/>
    </w:rPr>
  </w:style>
  <w:style w:type="paragraph" w:customStyle="1" w:styleId="CopyrightText">
    <w:name w:val="Copyright Text"/>
    <w:basedOn w:val="BodyText"/>
    <w:rsid w:val="006C602B"/>
    <w:rPr>
      <w:sz w:val="18"/>
    </w:rPr>
  </w:style>
  <w:style w:type="paragraph" w:customStyle="1" w:styleId="BodySmallRight">
    <w:name w:val="Body Small Right"/>
    <w:basedOn w:val="BodyTextRight"/>
    <w:rsid w:val="006C602B"/>
    <w:rPr>
      <w:sz w:val="18"/>
      <w:szCs w:val="18"/>
    </w:rPr>
  </w:style>
  <w:style w:type="paragraph" w:customStyle="1" w:styleId="MarginEdition">
    <w:name w:val="Margin Edition"/>
    <w:basedOn w:val="MarginNote"/>
    <w:rsid w:val="006C602B"/>
    <w:pPr>
      <w:spacing w:before="0" w:after="0"/>
    </w:pPr>
    <w:rPr>
      <w:rFonts w:ascii="Times New Roman" w:hAnsi="Times New Roman"/>
      <w:color w:val="999999"/>
    </w:rPr>
  </w:style>
  <w:style w:type="paragraph" w:customStyle="1" w:styleId="Spacer">
    <w:name w:val="Spacer"/>
    <w:basedOn w:val="Normal"/>
    <w:rsid w:val="006C602B"/>
    <w:rPr>
      <w:sz w:val="2"/>
      <w:szCs w:val="2"/>
    </w:rPr>
  </w:style>
  <w:style w:type="character" w:customStyle="1" w:styleId="Small">
    <w:name w:val="Small"/>
    <w:basedOn w:val="DefaultParagraphFont"/>
    <w:rsid w:val="006C602B"/>
    <w:rPr>
      <w:sz w:val="16"/>
    </w:rPr>
  </w:style>
  <w:style w:type="paragraph" w:customStyle="1" w:styleId="WideTable">
    <w:name w:val="Wide Table"/>
    <w:basedOn w:val="Normal"/>
    <w:rsid w:val="006C602B"/>
    <w:pPr>
      <w:ind w:left="-1418"/>
    </w:pPr>
    <w:rPr>
      <w:sz w:val="2"/>
      <w:szCs w:val="2"/>
    </w:rPr>
  </w:style>
  <w:style w:type="character" w:styleId="PageNumber">
    <w:name w:val="page number"/>
    <w:basedOn w:val="DefaultParagraphFont"/>
    <w:rsid w:val="006C602B"/>
  </w:style>
  <w:style w:type="paragraph" w:styleId="Quote">
    <w:name w:val="Quote"/>
    <w:basedOn w:val="Heading1"/>
    <w:link w:val="QuoteChar"/>
    <w:qFormat/>
    <w:rsid w:val="006C602B"/>
    <w:rPr>
      <w:b w:val="0"/>
      <w:sz w:val="72"/>
      <w:szCs w:val="72"/>
      <w:lang w:val="en-NZ"/>
    </w:rPr>
  </w:style>
  <w:style w:type="character" w:customStyle="1" w:styleId="QuoteChar">
    <w:name w:val="Quote Char"/>
    <w:basedOn w:val="DefaultParagraphFont"/>
    <w:link w:val="Quote"/>
    <w:rsid w:val="006C6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02B"/>
    <w:pPr>
      <w:pageBreakBefore/>
    </w:pPr>
  </w:style>
  <w:style w:type="paragraph" w:customStyle="1" w:styleId="Border">
    <w:name w:val="Border"/>
    <w:basedOn w:val="Normal"/>
    <w:qFormat/>
    <w:rsid w:val="006C6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02B"/>
    <w:rPr>
      <w:b/>
      <w:bCs/>
      <w:i/>
      <w:iCs/>
      <w:color w:val="auto"/>
    </w:rPr>
  </w:style>
  <w:style w:type="paragraph" w:styleId="IntenseQuote">
    <w:name w:val="Intense Quote"/>
    <w:basedOn w:val="Normal"/>
    <w:next w:val="Normal"/>
    <w:link w:val="IntenseQuoteChar"/>
    <w:uiPriority w:val="30"/>
    <w:qFormat/>
    <w:rsid w:val="006C6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0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02B"/>
    <w:rPr>
      <w:smallCaps/>
      <w:color w:val="auto"/>
      <w:u w:val="single"/>
    </w:rPr>
  </w:style>
  <w:style w:type="character" w:styleId="IntenseReference">
    <w:name w:val="Intense Reference"/>
    <w:basedOn w:val="DefaultParagraphFont"/>
    <w:uiPriority w:val="32"/>
    <w:qFormat/>
    <w:rsid w:val="006C602B"/>
    <w:rPr>
      <w:b/>
      <w:bCs/>
      <w:smallCaps/>
      <w:color w:val="auto"/>
      <w:spacing w:val="5"/>
      <w:u w:val="single"/>
    </w:rPr>
  </w:style>
  <w:style w:type="paragraph" w:customStyle="1" w:styleId="2ColumnHeading">
    <w:name w:val="2Column Heading"/>
    <w:basedOn w:val="BodyText"/>
    <w:qFormat/>
    <w:rsid w:val="006C602B"/>
    <w:pPr>
      <w:spacing w:after="60"/>
      <w:ind w:left="-2268"/>
    </w:pPr>
    <w:rPr>
      <w:b/>
    </w:rPr>
  </w:style>
  <w:style w:type="paragraph" w:customStyle="1" w:styleId="Heading1TOC">
    <w:name w:val="Heading1 TOC"/>
    <w:basedOn w:val="Normal"/>
    <w:qFormat/>
    <w:rsid w:val="006C602B"/>
    <w:pPr>
      <w:spacing w:before="240" w:after="120"/>
    </w:pPr>
    <w:rPr>
      <w:rFonts w:ascii="Times New Roman" w:hAnsi="Times New Roman"/>
      <w:b/>
      <w:sz w:val="32"/>
    </w:rPr>
  </w:style>
  <w:style w:type="paragraph" w:customStyle="1" w:styleId="Heading2TOC">
    <w:name w:val="Heading2 TOC"/>
    <w:basedOn w:val="Normal"/>
    <w:qFormat/>
    <w:rsid w:val="006C602B"/>
    <w:pPr>
      <w:spacing w:before="240" w:after="60"/>
    </w:pPr>
    <w:rPr>
      <w:rFonts w:ascii="Times New Roman" w:hAnsi="Times New Roman"/>
      <w:b/>
      <w:sz w:val="28"/>
    </w:rPr>
  </w:style>
  <w:style w:type="character" w:customStyle="1" w:styleId="Underline">
    <w:name w:val="Underline"/>
    <w:basedOn w:val="DefaultParagraphFont"/>
    <w:qFormat/>
    <w:rsid w:val="006C602B"/>
    <w:rPr>
      <w:u w:val="single"/>
    </w:rPr>
  </w:style>
  <w:style w:type="character" w:customStyle="1" w:styleId="BoldandItalics">
    <w:name w:val="Bold and Italics"/>
    <w:qFormat/>
    <w:rsid w:val="006C602B"/>
    <w:rPr>
      <w:b/>
      <w:i/>
      <w:u w:val="none"/>
    </w:rPr>
  </w:style>
  <w:style w:type="paragraph" w:styleId="BalloonText">
    <w:name w:val="Balloon Text"/>
    <w:basedOn w:val="Normal"/>
    <w:link w:val="BalloonTextChar"/>
    <w:rsid w:val="006C602B"/>
    <w:rPr>
      <w:rFonts w:ascii="Tahoma" w:hAnsi="Tahoma" w:cs="Tahoma"/>
      <w:sz w:val="16"/>
      <w:szCs w:val="16"/>
    </w:rPr>
  </w:style>
  <w:style w:type="character" w:customStyle="1" w:styleId="BalloonTextChar">
    <w:name w:val="Balloon Text Char"/>
    <w:basedOn w:val="DefaultParagraphFont"/>
    <w:link w:val="BalloonText"/>
    <w:rsid w:val="006C60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0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0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02B"/>
    <w:rPr>
      <w:b/>
      <w:color w:val="660033"/>
      <w:spacing w:val="0"/>
    </w:rPr>
  </w:style>
  <w:style w:type="paragraph" w:customStyle="1" w:styleId="Nameditemlist">
    <w:name w:val="Named item list"/>
    <w:basedOn w:val="BodyText"/>
    <w:qFormat/>
    <w:rsid w:val="006C60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2575</Words>
  <Characters>15811</Characters>
  <Application>Microsoft Office Word</Application>
  <DocSecurity>0</DocSecurity>
  <Lines>568</Lines>
  <Paragraphs>263</Paragraphs>
  <ScaleCrop>false</ScaleCrop>
  <Company>Author-it Software Corporation Ltd.</Company>
  <LinksUpToDate>false</LinksUpToDate>
  <CharactersWithSpaces>18239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UEENEEE102A Fabricate, assemble and dismantle utilities industry components</dc:title>
  <dc:subject>Approved</dc:subject>
  <dc:creator>E-OZ Training Standards</dc:creator>
  <cp:keywords>Release 3</cp:keywords>
  <dc:description>Review Date: 12 April 2008</dc:description>
  <cp:lastModifiedBy>HSD_TPCMSd.prod</cp:lastModifiedBy>
  <cp:revision>3</cp:revision>
  <dcterms:created xsi:type="dcterms:W3CDTF">2013-08-14T00:52:00Z</dcterms:created>
  <dcterms:modified xsi:type="dcterms:W3CDTF">2013-08-14T00:52:00Z</dcterms:modified>
</cp:coreProperties>
</file>