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26458" w:rsidP="00A26458">
      <w:pPr>
        <w:pStyle w:val="Title"/>
      </w:pPr>
      <w:r>
        <w:fldChar w:fldCharType="begin"/>
      </w:r>
      <w:r>
        <w:instrText xml:space="preserve"> TITLE   \* MERGEFORMAT </w:instrText>
      </w:r>
      <w:r>
        <w:fldChar w:fldCharType="separate"/>
      </w:r>
      <w:r>
        <w:t>UEENEEE078B Contribute to risk management in electrotechnology systems</w:t>
      </w:r>
      <w:r>
        <w:fldChar w:fldCharType="end"/>
      </w:r>
    </w:p>
    <w:p w:rsidR="00A26458" w:rsidP="00A26458">
      <w:pPr>
        <w:pStyle w:val="Version"/>
        <w:sectPr w:rsidSect="00BC62F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C62F4" w:rsidP="00BC62F4">
      <w:pPr>
        <w:pStyle w:val="SuperHeading"/>
      </w:pPr>
      <w:r w:rsidRPr="00BC62F4">
        <w:t>UEENEEE078B Contribute to risk management in electrotechnology systems</w:t>
      </w:r>
    </w:p>
    <w:p w:rsidR="00000000" w:rsidRPr="00BC62F4" w:rsidP="00BC62F4">
      <w:pPr>
        <w:pStyle w:val="Heading1"/>
      </w:pPr>
      <w:bookmarkStart w:id="1" w:name="O_437770"/>
      <w:bookmarkEnd w:id="1"/>
      <w:r w:rsidRPr="00BC62F4">
        <w:t>Modification History</w:t>
      </w:r>
    </w:p>
    <w:p w:rsidR="00000000" w:rsidRPr="00BC62F4" w:rsidP="00BC62F4">
      <w:pPr>
        <w:pStyle w:val="BodyText"/>
      </w:pPr>
      <w:r w:rsidRPr="00BC62F4">
        <w:t>Not Applicable</w:t>
      </w:r>
    </w:p>
    <w:p w:rsidR="00000000" w:rsidRPr="00BC62F4" w:rsidP="00BC62F4">
      <w:pPr>
        <w:pStyle w:val="AllowPageBreak"/>
      </w:pPr>
    </w:p>
    <w:p w:rsidR="00000000" w:rsidRPr="00BC62F4" w:rsidP="00BC62F4">
      <w:pPr>
        <w:pStyle w:val="Heading1"/>
      </w:pPr>
      <w:bookmarkStart w:id="2" w:name="O_437766"/>
      <w:bookmarkEnd w:id="2"/>
      <w:r w:rsidRPr="00BC62F4">
        <w:t>Unit Descriptor</w:t>
      </w:r>
    </w:p>
    <w:tbl>
      <w:tblPr>
        <w:tblW w:w="0" w:type="auto"/>
        <w:tblLayout w:type="fixed"/>
        <w:tblCellMar>
          <w:left w:w="62" w:type="dxa"/>
          <w:right w:w="62" w:type="dxa"/>
        </w:tblCellMar>
        <w:tblLook w:val="0000"/>
      </w:tblPr>
      <w:tblGrid>
        <w:gridCol w:w="2700"/>
        <w:gridCol w:w="5760"/>
      </w:tblGrid>
      <w:tr w:rsidTr="00A2645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C62F4" w:rsidP="00BC62F4">
            <w:pPr>
              <w:pStyle w:val="BodyText"/>
            </w:pPr>
            <w:r w:rsidRPr="00BC62F4">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BC62F4" w:rsidP="00BC62F4">
            <w:pPr>
              <w:pStyle w:val="BodyText"/>
            </w:pPr>
            <w:r w:rsidRPr="00BC62F4">
              <w:rPr>
                <w:rStyle w:val="SpecialBold"/>
              </w:rPr>
              <w:t>1</w:t>
            </w:r>
            <w:r w:rsidRPr="00BC62F4">
              <w:t>)</w:t>
            </w:r>
          </w:p>
          <w:p w:rsidR="00000000" w:rsidP="00BC62F4">
            <w:pPr>
              <w:pStyle w:val="BodyText"/>
              <w:rPr>
                <w:lang w:val="en-NZ"/>
              </w:rPr>
            </w:pPr>
            <w:r w:rsidRPr="00BC62F4">
              <w:rPr>
                <w:rStyle w:val="SpecialBold"/>
              </w:rPr>
              <w:t>1</w:t>
            </w:r>
            <w:r w:rsidRPr="00BC62F4">
              <w:t>.</w:t>
            </w:r>
            <w:r w:rsidRPr="00BC62F4">
              <w:rPr>
                <w:rStyle w:val="SpecialBold"/>
              </w:rPr>
              <w:t>1</w:t>
            </w:r>
            <w:r w:rsidRPr="00BC62F4">
              <w:t xml:space="preserve">) </w:t>
            </w:r>
            <w:r w:rsidRPr="00BC62F4">
              <w:rPr>
                <w:rStyle w:val="SpecialBold"/>
              </w:rPr>
              <w:t>Descriptor</w:t>
            </w:r>
          </w:p>
        </w:tc>
      </w:tr>
      <w:tr w:rsidTr="00A2645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C62F4" w:rsidP="00BC62F4">
            <w:pPr>
              <w:pStyle w:val="BodyText"/>
            </w:pPr>
            <w:r w:rsidRPr="00BC62F4">
              <w:t xml:space="preserve">This unit covers contributing to the management of risk in electrotechnology systems related to OHS, environment, resources and financial viability. It encompasses contributing to the identification of electrotechnology systems risks; and risk events, the </w:t>
            </w:r>
            <w:r w:rsidRPr="00BC62F4">
              <w:t>likelihood and consequences of such events, evaluating risk, risk management planning and mitigation of risk.</w:t>
            </w:r>
          </w:p>
        </w:tc>
      </w:tr>
    </w:tbl>
    <w:p w:rsidR="00A26458" w:rsidP="00BC62F4">
      <w:pPr>
        <w:pStyle w:val="BodyText"/>
      </w:pPr>
    </w:p>
    <w:p w:rsidR="00A26458" w:rsidP="00BC62F4">
      <w:pPr>
        <w:pStyle w:val="BodyText"/>
      </w:pPr>
    </w:p>
    <w:p w:rsidR="00000000" w:rsidRPr="00BC62F4" w:rsidP="00BC62F4">
      <w:pPr>
        <w:pStyle w:val="Heading1"/>
      </w:pPr>
      <w:bookmarkStart w:id="3" w:name="O_437779"/>
      <w:bookmarkEnd w:id="3"/>
      <w:r w:rsidRPr="00BC62F4">
        <w:t>Application of the Unit</w:t>
      </w:r>
    </w:p>
    <w:tbl>
      <w:tblPr>
        <w:tblW w:w="0" w:type="auto"/>
        <w:tblLayout w:type="fixed"/>
        <w:tblCellMar>
          <w:left w:w="62" w:type="dxa"/>
          <w:right w:w="62" w:type="dxa"/>
        </w:tblCellMar>
        <w:tblLook w:val="0000"/>
      </w:tblPr>
      <w:tblGrid>
        <w:gridCol w:w="2700"/>
        <w:gridCol w:w="5760"/>
      </w:tblGrid>
      <w:tr w:rsidTr="00A2645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C62F4" w:rsidP="00BC62F4">
            <w:pPr>
              <w:pStyle w:val="BodyText"/>
            </w:pPr>
            <w:r w:rsidRPr="00BC62F4">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BC62F4">
            <w:pPr>
              <w:pStyle w:val="BodyText"/>
              <w:rPr>
                <w:lang w:val="en-NZ"/>
              </w:rPr>
            </w:pPr>
            <w:r w:rsidRPr="00BC62F4">
              <w:rPr>
                <w:rStyle w:val="SpecialBold"/>
              </w:rPr>
              <w:t>4</w:t>
            </w:r>
            <w:r w:rsidRPr="00BC62F4">
              <w:t>)</w:t>
            </w:r>
          </w:p>
        </w:tc>
      </w:tr>
      <w:tr w:rsidTr="00A2645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C62F4" w:rsidP="00BC62F4">
            <w:pPr>
              <w:pStyle w:val="BodyText"/>
            </w:pPr>
            <w:r w:rsidRPr="00BC62F4">
              <w:t>This unit is intended for competency development entry-level employment based programs incorporated in approved contracts of training. It is intended to apply to any formal recognition for this standard at the aligned AQF 5 level or higher.</w:t>
            </w:r>
          </w:p>
        </w:tc>
      </w:tr>
    </w:tbl>
    <w:p w:rsidR="00A26458" w:rsidP="00BC62F4">
      <w:pPr>
        <w:pStyle w:val="BodyText"/>
      </w:pPr>
    </w:p>
    <w:p w:rsidR="00A26458" w:rsidP="00BC62F4">
      <w:pPr>
        <w:pStyle w:val="BodyText"/>
      </w:pPr>
    </w:p>
    <w:p w:rsidR="00000000" w:rsidRPr="00BC62F4" w:rsidP="00BC62F4">
      <w:pPr>
        <w:pStyle w:val="Heading1"/>
      </w:pPr>
      <w:bookmarkStart w:id="4" w:name="O_437771"/>
      <w:bookmarkEnd w:id="4"/>
      <w:r w:rsidRPr="00BC62F4">
        <w:t>Licensing/Regulatory Information</w:t>
      </w:r>
    </w:p>
    <w:tbl>
      <w:tblPr>
        <w:tblW w:w="0" w:type="auto"/>
        <w:tblLayout w:type="fixed"/>
        <w:tblCellMar>
          <w:left w:w="62" w:type="dxa"/>
          <w:right w:w="62" w:type="dxa"/>
        </w:tblCellMar>
        <w:tblLook w:val="0000"/>
      </w:tblPr>
      <w:tblGrid>
        <w:gridCol w:w="8460"/>
      </w:tblGrid>
      <w:tr w:rsidTr="00A2645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C62F4">
            <w:pPr>
              <w:pStyle w:val="BodyText"/>
              <w:rPr>
                <w:lang w:val="en-NZ"/>
              </w:rPr>
            </w:pPr>
            <w:r w:rsidRPr="00BC62F4">
              <w:rPr>
                <w:rStyle w:val="SpecialBold"/>
              </w:rPr>
              <w:t>1</w:t>
            </w:r>
            <w:r w:rsidRPr="00BC62F4">
              <w:t>.</w:t>
            </w:r>
            <w:r w:rsidRPr="00BC62F4">
              <w:rPr>
                <w:rStyle w:val="SpecialBold"/>
              </w:rPr>
              <w:t>2</w:t>
            </w:r>
            <w:r w:rsidRPr="00BC62F4">
              <w:t xml:space="preserve">) </w:t>
            </w:r>
            <w:r w:rsidRPr="00BC62F4">
              <w:rPr>
                <w:rStyle w:val="SpecialBold"/>
              </w:rPr>
              <w:t>License to practice</w:t>
            </w:r>
          </w:p>
        </w:tc>
      </w:tr>
      <w:tr w:rsidTr="00A2645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C62F4" w:rsidP="00BC62F4">
            <w:pPr>
              <w:pStyle w:val="BodyText"/>
            </w:pPr>
            <w:r w:rsidRPr="00BC62F4">
              <w:t>The skills and knowledge described in this unit do not require a license to practice in the workplace. However, practice in this unit is subject to regulations directly related to occupatio</w:t>
            </w:r>
            <w:r w:rsidRPr="00BC62F4">
              <w:t>nal health and safety and, where applicable contracts of training such as apprenticeships or approved competency development programs.</w:t>
            </w:r>
          </w:p>
        </w:tc>
      </w:tr>
    </w:tbl>
    <w:p w:rsidR="00A26458" w:rsidP="00BC62F4">
      <w:pPr>
        <w:pStyle w:val="BodyText"/>
      </w:pPr>
    </w:p>
    <w:p w:rsidR="00A26458" w:rsidP="00BC62F4">
      <w:pPr>
        <w:pStyle w:val="BodyText"/>
      </w:pPr>
    </w:p>
    <w:p w:rsidR="00000000" w:rsidRPr="00BC62F4" w:rsidP="00BC62F4">
      <w:pPr>
        <w:pStyle w:val="Heading1"/>
      </w:pPr>
      <w:bookmarkStart w:id="5" w:name="O_437769"/>
      <w:bookmarkEnd w:id="5"/>
      <w:r w:rsidRPr="00BC62F4">
        <w:t>Pre-Requisites</w:t>
      </w:r>
    </w:p>
    <w:tbl>
      <w:tblPr>
        <w:tblW w:w="0" w:type="auto"/>
        <w:tblLayout w:type="fixed"/>
        <w:tblCellMar>
          <w:left w:w="62" w:type="dxa"/>
          <w:right w:w="62" w:type="dxa"/>
        </w:tblCellMar>
        <w:tblLook w:val="0000"/>
      </w:tblPr>
      <w:tblGrid>
        <w:gridCol w:w="2700"/>
        <w:gridCol w:w="5760"/>
      </w:tblGrid>
      <w:tr w:rsidTr="00A2645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C62F4" w:rsidP="00BC62F4">
            <w:pPr>
              <w:pStyle w:val="BodyText"/>
            </w:pPr>
            <w:r w:rsidRPr="00BC62F4">
              <w:rPr>
                <w:rStyle w:val="SpecialBold"/>
              </w:rPr>
              <w:t>Prerequisite Unit</w:t>
            </w:r>
            <w:r w:rsidRPr="00BC62F4">
              <w:t>(</w:t>
            </w:r>
            <w:r w:rsidRPr="00BC62F4">
              <w:rPr>
                <w:rStyle w:val="SpecialBold"/>
              </w:rPr>
              <w:t>s</w:t>
            </w:r>
            <w:r w:rsidRPr="00BC62F4">
              <w:t>)</w:t>
            </w:r>
          </w:p>
        </w:tc>
        <w:tc>
          <w:tcPr>
            <w:tcW w:w="5760" w:type="dxa"/>
            <w:tcBorders>
              <w:top w:val="nil"/>
              <w:left w:val="nil"/>
              <w:bottom w:val="nil"/>
              <w:right w:val="nil"/>
            </w:tcBorders>
            <w:tcMar>
              <w:top w:w="0" w:type="dxa"/>
              <w:left w:w="62" w:type="dxa"/>
              <w:bottom w:w="0" w:type="dxa"/>
              <w:right w:w="62" w:type="dxa"/>
            </w:tcMar>
          </w:tcPr>
          <w:p w:rsidR="00000000" w:rsidP="00BC62F4">
            <w:pPr>
              <w:pStyle w:val="BodyText"/>
              <w:rPr>
                <w:lang w:val="en-NZ"/>
              </w:rPr>
            </w:pPr>
            <w:r w:rsidRPr="00BC62F4">
              <w:rPr>
                <w:rStyle w:val="SpecialBold"/>
              </w:rPr>
              <w:t>2</w:t>
            </w:r>
            <w:r w:rsidRPr="00BC62F4">
              <w:t>)</w:t>
            </w:r>
          </w:p>
        </w:tc>
      </w:tr>
      <w:tr w:rsidTr="00A2645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C62F4">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BC62F4">
            <w:pPr>
              <w:pStyle w:val="BodyText"/>
              <w:rPr>
                <w:lang w:val="en-NZ"/>
              </w:rPr>
            </w:pPr>
            <w:r w:rsidRPr="00BC62F4">
              <w:rPr>
                <w:rStyle w:val="SpecialBold"/>
              </w:rPr>
              <w:t>2</w:t>
            </w:r>
            <w:r w:rsidRPr="00BC62F4">
              <w:t>.</w:t>
            </w:r>
            <w:r w:rsidRPr="00BC62F4">
              <w:rPr>
                <w:rStyle w:val="SpecialBold"/>
              </w:rPr>
              <w:t>1</w:t>
            </w:r>
            <w:r w:rsidRPr="00BC62F4">
              <w:t xml:space="preserve">) </w:t>
            </w:r>
            <w:r w:rsidRPr="00BC62F4">
              <w:rPr>
                <w:rStyle w:val="SpecialBold"/>
              </w:rPr>
              <w:t>Competencies</w:t>
            </w:r>
          </w:p>
        </w:tc>
      </w:tr>
      <w:tr w:rsidTr="00A2645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C62F4" w:rsidP="00BC62F4">
            <w:pPr>
              <w:pStyle w:val="BodyText"/>
            </w:pPr>
            <w:r w:rsidRPr="00BC62F4">
              <w:t>There are no prerequisite competencies for this unit.</w:t>
            </w:r>
          </w:p>
        </w:tc>
      </w:tr>
    </w:tbl>
    <w:p w:rsidR="00A26458" w:rsidP="00BC62F4">
      <w:pPr>
        <w:pStyle w:val="BodyText"/>
      </w:pPr>
    </w:p>
    <w:p w:rsidR="00A26458" w:rsidP="00BC62F4">
      <w:pPr>
        <w:pStyle w:val="BodyText"/>
      </w:pPr>
    </w:p>
    <w:p w:rsidR="00000000" w:rsidRPr="00BC62F4" w:rsidP="00BC62F4">
      <w:pPr>
        <w:pStyle w:val="Heading1"/>
      </w:pPr>
      <w:bookmarkStart w:id="6" w:name="O_437774"/>
      <w:bookmarkEnd w:id="6"/>
      <w:r w:rsidRPr="00BC62F4">
        <w:t>Employability Skills Information</w:t>
      </w:r>
    </w:p>
    <w:tbl>
      <w:tblPr>
        <w:tblW w:w="0" w:type="auto"/>
        <w:tblLayout w:type="fixed"/>
        <w:tblCellMar>
          <w:left w:w="62" w:type="dxa"/>
          <w:right w:w="62" w:type="dxa"/>
        </w:tblCellMar>
        <w:tblLook w:val="0000"/>
      </w:tblPr>
      <w:tblGrid>
        <w:gridCol w:w="2700"/>
        <w:gridCol w:w="5760"/>
      </w:tblGrid>
      <w:tr w:rsidTr="00A2645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C62F4" w:rsidP="00BC62F4">
            <w:pPr>
              <w:pStyle w:val="BodyText"/>
            </w:pPr>
            <w:r w:rsidRPr="00BC62F4">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BC62F4" w:rsidP="00BC62F4">
            <w:pPr>
              <w:pStyle w:val="BodyText"/>
            </w:pPr>
            <w:r w:rsidRPr="00BC62F4">
              <w:rPr>
                <w:rStyle w:val="SpecialBold"/>
              </w:rPr>
              <w:t>3</w:t>
            </w:r>
            <w:r w:rsidRPr="00BC62F4">
              <w:t>)</w:t>
            </w:r>
          </w:p>
          <w:p w:rsidR="00000000" w:rsidRPr="00BC62F4" w:rsidP="00BC62F4">
            <w:pPr>
              <w:pStyle w:val="BodyText"/>
            </w:pPr>
            <w:r w:rsidRPr="00BC62F4">
              <w:t>This unit contains Employability Skills</w:t>
            </w:r>
          </w:p>
          <w:p w:rsidR="00000000" w:rsidRPr="00BC62F4" w:rsidP="00BC62F4">
            <w:pPr>
              <w:pStyle w:val="BodyText"/>
            </w:pPr>
            <w:r w:rsidRPr="00BC62F4">
              <w:t xml:space="preserve">The required outcomes described in this unit of competency contain applicable facets </w:t>
            </w:r>
            <w:r w:rsidRPr="00BC62F4">
              <w:t>of Employability Skills. The Employability Skills Summary of the qualification in which this unit of competency is packaged will assist in identifying Employability Skill requirements.</w:t>
            </w:r>
          </w:p>
        </w:tc>
      </w:tr>
    </w:tbl>
    <w:p w:rsidR="00A26458" w:rsidP="00BC62F4">
      <w:pPr>
        <w:pStyle w:val="BodyText"/>
      </w:pPr>
    </w:p>
    <w:p w:rsidR="00A26458" w:rsidP="00BC62F4">
      <w:pPr>
        <w:pStyle w:val="BodyText"/>
      </w:pPr>
    </w:p>
    <w:p w:rsidR="00000000" w:rsidRPr="00BC62F4" w:rsidP="00BC62F4">
      <w:pPr>
        <w:pStyle w:val="Heading1"/>
      </w:pPr>
      <w:bookmarkStart w:id="7" w:name="O_437775"/>
      <w:bookmarkEnd w:id="7"/>
      <w:r w:rsidRPr="00BC62F4">
        <w:t>Elements and Performance Criteria Pre-Content</w:t>
      </w:r>
    </w:p>
    <w:tbl>
      <w:tblPr>
        <w:tblW w:w="0" w:type="auto"/>
        <w:tblLayout w:type="fixed"/>
        <w:tblCellMar>
          <w:left w:w="62" w:type="dxa"/>
          <w:right w:w="62" w:type="dxa"/>
        </w:tblCellMar>
        <w:tblLook w:val="0000"/>
      </w:tblPr>
      <w:tblGrid>
        <w:gridCol w:w="2700"/>
        <w:gridCol w:w="5760"/>
      </w:tblGrid>
      <w:tr w:rsidTr="00A2645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C62F4">
            <w:pPr>
              <w:pStyle w:val="BodyText"/>
              <w:rPr>
                <w:lang w:val="en-NZ"/>
              </w:rPr>
            </w:pPr>
            <w:r w:rsidRPr="00BC62F4">
              <w:rPr>
                <w:rStyle w:val="SpecialBold"/>
              </w:rPr>
              <w:t>6</w:t>
            </w:r>
            <w:r w:rsidRPr="00BC62F4">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BC62F4" w:rsidP="00BC62F4">
            <w:pPr>
              <w:pStyle w:val="BodyText"/>
            </w:pPr>
            <w:r w:rsidRPr="00BC62F4">
              <w:t>Performance criteria describe the required performance needed to demonstrate achievement of the Element. Assessment of performance is to be consistent with the evidence guide.</w:t>
            </w:r>
          </w:p>
        </w:tc>
      </w:tr>
    </w:tbl>
    <w:p w:rsidR="00000000" w:rsidRPr="00BC62F4" w:rsidP="00BC62F4">
      <w:pPr>
        <w:pStyle w:val="BodyText"/>
      </w:pPr>
    </w:p>
    <w:p w:rsidR="00000000" w:rsidRPr="00BC62F4" w:rsidP="00BC62F4">
      <w:pPr>
        <w:pStyle w:val="AllowPageBreak"/>
      </w:pPr>
    </w:p>
    <w:p w:rsidR="00000000" w:rsidRPr="00BC62F4" w:rsidP="00BC62F4">
      <w:pPr>
        <w:pStyle w:val="Heading1"/>
      </w:pPr>
      <w:bookmarkStart w:id="8" w:name="O_437776"/>
      <w:bookmarkEnd w:id="8"/>
      <w:r w:rsidRPr="00BC62F4">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A26458">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BC62F4" w:rsidP="00BC62F4">
            <w:pPr>
              <w:pStyle w:val="BodyText"/>
            </w:pPr>
            <w:r w:rsidRPr="00BC62F4">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BC62F4">
            <w:pPr>
              <w:pStyle w:val="BodyText"/>
              <w:rPr>
                <w:lang w:val="en-NZ"/>
              </w:rPr>
            </w:pPr>
            <w:r w:rsidRPr="00BC62F4">
              <w:rPr>
                <w:rStyle w:val="SpecialBold"/>
              </w:rPr>
              <w:t>PERFORMANCE CRITERIA</w:t>
            </w:r>
          </w:p>
        </w:tc>
      </w:tr>
      <w:tr w:rsidTr="00A2645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C62F4">
            <w:pPr>
              <w:pStyle w:val="BodyText"/>
              <w:rPr>
                <w:lang w:val="en-NZ"/>
              </w:rPr>
            </w:pPr>
            <w:r w:rsidRPr="00BC62F4">
              <w:t>1</w:t>
            </w:r>
          </w:p>
        </w:tc>
        <w:tc>
          <w:tcPr>
            <w:tcW w:w="2296" w:type="dxa"/>
            <w:vMerge w:val="restart"/>
            <w:tcBorders>
              <w:top w:val="nil"/>
              <w:left w:val="nil"/>
              <w:bottom w:val="nil"/>
              <w:right w:val="nil"/>
            </w:tcBorders>
            <w:tcMar>
              <w:top w:w="0" w:type="dxa"/>
              <w:left w:w="62" w:type="dxa"/>
              <w:bottom w:w="0" w:type="dxa"/>
              <w:right w:w="62" w:type="dxa"/>
            </w:tcMar>
          </w:tcPr>
          <w:p w:rsidR="00000000" w:rsidP="00BC62F4">
            <w:pPr>
              <w:pStyle w:val="BodyText"/>
              <w:rPr>
                <w:lang w:val="en-NZ"/>
              </w:rPr>
            </w:pPr>
            <w:r w:rsidRPr="00BC62F4">
              <w:t>Contribute to the identification of risks and development of management strategies</w:t>
            </w:r>
          </w:p>
        </w:tc>
        <w:tc>
          <w:tcPr>
            <w:tcW w:w="900" w:type="dxa"/>
            <w:tcBorders>
              <w:top w:val="nil"/>
              <w:left w:val="nil"/>
              <w:bottom w:val="nil"/>
              <w:right w:val="nil"/>
            </w:tcBorders>
            <w:tcMar>
              <w:top w:w="0" w:type="dxa"/>
              <w:left w:w="62" w:type="dxa"/>
              <w:bottom w:w="0" w:type="dxa"/>
              <w:right w:w="62" w:type="dxa"/>
            </w:tcMar>
          </w:tcPr>
          <w:p w:rsidR="00000000" w:rsidP="00BC62F4">
            <w:pPr>
              <w:pStyle w:val="BodyText"/>
              <w:rPr>
                <w:lang w:val="en-NZ"/>
              </w:rPr>
            </w:pPr>
            <w:r w:rsidRPr="00BC62F4">
              <w:t>1.1</w:t>
            </w:r>
          </w:p>
        </w:tc>
        <w:tc>
          <w:tcPr>
            <w:tcW w:w="4860" w:type="dxa"/>
            <w:tcBorders>
              <w:top w:val="nil"/>
              <w:left w:val="nil"/>
              <w:bottom w:val="nil"/>
              <w:right w:val="nil"/>
            </w:tcBorders>
            <w:tcMar>
              <w:top w:w="0" w:type="dxa"/>
              <w:left w:w="62" w:type="dxa"/>
              <w:bottom w:w="0" w:type="dxa"/>
              <w:right w:w="62" w:type="dxa"/>
            </w:tcMar>
          </w:tcPr>
          <w:p w:rsidR="00000000" w:rsidP="00BC62F4">
            <w:pPr>
              <w:pStyle w:val="BodyText"/>
              <w:rPr>
                <w:lang w:val="en-NZ"/>
              </w:rPr>
            </w:pPr>
            <w:r w:rsidRPr="00BC62F4">
              <w:t>OHS policies, processes and procedures for a given work area are identified, obtained and understood.</w:t>
            </w:r>
          </w:p>
        </w:tc>
      </w:tr>
      <w:tr w:rsidTr="00A2645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C62F4">
            <w:pPr>
              <w:pStyle w:val="BodyText"/>
              <w:rPr>
                <w:lang w:val="en-NZ"/>
              </w:rPr>
            </w:pPr>
            <w:r w:rsidRPr="00BC62F4">
              <w:t>1.2</w:t>
            </w:r>
          </w:p>
        </w:tc>
        <w:tc>
          <w:tcPr>
            <w:tcW w:w="4860" w:type="dxa"/>
            <w:tcBorders>
              <w:top w:val="nil"/>
              <w:left w:val="nil"/>
              <w:bottom w:val="nil"/>
              <w:right w:val="nil"/>
            </w:tcBorders>
            <w:tcMar>
              <w:top w:w="0" w:type="dxa"/>
              <w:left w:w="62" w:type="dxa"/>
              <w:bottom w:w="0" w:type="dxa"/>
              <w:right w:w="62" w:type="dxa"/>
            </w:tcMar>
          </w:tcPr>
          <w:p w:rsidR="00000000" w:rsidP="00BC62F4">
            <w:pPr>
              <w:pStyle w:val="BodyText"/>
              <w:rPr>
                <w:lang w:val="en-NZ"/>
              </w:rPr>
            </w:pPr>
            <w:r w:rsidRPr="00BC62F4">
              <w:t>The extent of a program or project is established from design brief, specification and/or other relevant documentation and from discussions with ap</w:t>
            </w:r>
            <w:r w:rsidRPr="00BC62F4">
              <w:t>propriate person(s).</w:t>
            </w:r>
          </w:p>
        </w:tc>
      </w:tr>
      <w:tr w:rsidTr="00A2645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C62F4">
            <w:pPr>
              <w:pStyle w:val="BodyText"/>
              <w:rPr>
                <w:lang w:val="en-NZ"/>
              </w:rPr>
            </w:pPr>
            <w:r w:rsidRPr="00BC62F4">
              <w:t>1.3</w:t>
            </w:r>
          </w:p>
        </w:tc>
        <w:tc>
          <w:tcPr>
            <w:tcW w:w="4860" w:type="dxa"/>
            <w:tcBorders>
              <w:top w:val="nil"/>
              <w:left w:val="nil"/>
              <w:bottom w:val="nil"/>
              <w:right w:val="nil"/>
            </w:tcBorders>
            <w:tcMar>
              <w:top w:w="0" w:type="dxa"/>
              <w:left w:w="62" w:type="dxa"/>
              <w:bottom w:w="0" w:type="dxa"/>
              <w:right w:w="62" w:type="dxa"/>
            </w:tcMar>
          </w:tcPr>
          <w:p w:rsidR="00000000" w:rsidP="00BC62F4">
            <w:pPr>
              <w:pStyle w:val="BodyText"/>
              <w:rPr>
                <w:lang w:val="en-NZ"/>
              </w:rPr>
            </w:pPr>
            <w:r w:rsidRPr="00BC62F4">
              <w:t>Potential, perceived and actual risk events and electrotechnology systems risks are identified, documented and analysed, in consultation with appropriate other person(s) in accordance with organisation policies and procedures.</w:t>
            </w:r>
          </w:p>
        </w:tc>
      </w:tr>
      <w:tr w:rsidTr="00A2645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C62F4">
            <w:pPr>
              <w:pStyle w:val="BodyText"/>
              <w:rPr>
                <w:lang w:val="en-NZ"/>
              </w:rPr>
            </w:pPr>
            <w:r w:rsidRPr="00BC62F4">
              <w:t>1.4</w:t>
            </w:r>
          </w:p>
        </w:tc>
        <w:tc>
          <w:tcPr>
            <w:tcW w:w="4860" w:type="dxa"/>
            <w:tcBorders>
              <w:top w:val="nil"/>
              <w:left w:val="nil"/>
              <w:bottom w:val="nil"/>
              <w:right w:val="nil"/>
            </w:tcBorders>
            <w:tcMar>
              <w:top w:w="0" w:type="dxa"/>
              <w:left w:w="62" w:type="dxa"/>
              <w:bottom w:w="0" w:type="dxa"/>
              <w:right w:w="62" w:type="dxa"/>
            </w:tcMar>
          </w:tcPr>
          <w:p w:rsidR="00000000" w:rsidP="00BC62F4">
            <w:pPr>
              <w:pStyle w:val="BodyText"/>
              <w:rPr>
                <w:lang w:val="en-NZ"/>
              </w:rPr>
            </w:pPr>
            <w:r w:rsidRPr="00BC62F4">
              <w:t>Risk management methods, tools and techniques are used to assist in the analysis and reporting of identified risk events.</w:t>
            </w:r>
          </w:p>
        </w:tc>
      </w:tr>
      <w:tr w:rsidTr="00A2645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C62F4">
            <w:pPr>
              <w:pStyle w:val="BodyText"/>
              <w:rPr>
                <w:lang w:val="en-NZ"/>
              </w:rPr>
            </w:pPr>
            <w:r w:rsidRPr="00BC62F4">
              <w:t>1.5</w:t>
            </w:r>
          </w:p>
        </w:tc>
        <w:tc>
          <w:tcPr>
            <w:tcW w:w="4860" w:type="dxa"/>
            <w:tcBorders>
              <w:top w:val="nil"/>
              <w:left w:val="nil"/>
              <w:bottom w:val="nil"/>
              <w:right w:val="nil"/>
            </w:tcBorders>
            <w:tcMar>
              <w:top w:w="0" w:type="dxa"/>
              <w:left w:w="62" w:type="dxa"/>
              <w:bottom w:w="0" w:type="dxa"/>
              <w:right w:w="62" w:type="dxa"/>
            </w:tcMar>
          </w:tcPr>
          <w:p w:rsidR="00000000" w:rsidP="00BC62F4">
            <w:pPr>
              <w:pStyle w:val="BodyText"/>
              <w:rPr>
                <w:lang w:val="en-NZ"/>
              </w:rPr>
            </w:pPr>
            <w:r w:rsidRPr="00BC62F4">
              <w:t>Risk management techniques are used to analyse electrotechnology systems risks and risk events, assess options and recomm</w:t>
            </w:r>
            <w:r w:rsidRPr="00BC62F4">
              <w:t>end risk approaches to appropriate person(s) for approval.</w:t>
            </w:r>
          </w:p>
        </w:tc>
      </w:tr>
      <w:tr w:rsidTr="00A2645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C62F4">
            <w:pPr>
              <w:pStyle w:val="BodyText"/>
              <w:rPr>
                <w:lang w:val="en-NZ"/>
              </w:rPr>
            </w:pPr>
            <w:r w:rsidRPr="00BC62F4">
              <w:t>1.6</w:t>
            </w:r>
          </w:p>
        </w:tc>
        <w:tc>
          <w:tcPr>
            <w:tcW w:w="4860" w:type="dxa"/>
            <w:tcBorders>
              <w:top w:val="nil"/>
              <w:left w:val="nil"/>
              <w:bottom w:val="nil"/>
              <w:right w:val="nil"/>
            </w:tcBorders>
            <w:tcMar>
              <w:top w:w="0" w:type="dxa"/>
              <w:left w:w="62" w:type="dxa"/>
              <w:bottom w:w="0" w:type="dxa"/>
              <w:right w:w="62" w:type="dxa"/>
            </w:tcMar>
          </w:tcPr>
          <w:p w:rsidR="00000000" w:rsidP="00BC62F4">
            <w:pPr>
              <w:pStyle w:val="BodyText"/>
              <w:rPr>
                <w:lang w:val="en-NZ"/>
              </w:rPr>
            </w:pPr>
            <w:r w:rsidRPr="00BC62F4">
              <w:t>Draft risk management processes and procedures are developed and communicated with all stakeholders to ensure understanding of management of risk factors.</w:t>
            </w:r>
          </w:p>
        </w:tc>
      </w:tr>
      <w:tr w:rsidTr="00A2645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C62F4">
            <w:pPr>
              <w:pStyle w:val="BodyText"/>
              <w:rPr>
                <w:lang w:val="en-NZ"/>
              </w:rPr>
            </w:pPr>
            <w:r w:rsidRPr="00BC62F4">
              <w:t>1.7</w:t>
            </w:r>
          </w:p>
        </w:tc>
        <w:tc>
          <w:tcPr>
            <w:tcW w:w="4860" w:type="dxa"/>
            <w:tcBorders>
              <w:top w:val="nil"/>
              <w:left w:val="nil"/>
              <w:bottom w:val="nil"/>
              <w:right w:val="nil"/>
            </w:tcBorders>
            <w:tcMar>
              <w:top w:w="0" w:type="dxa"/>
              <w:left w:w="62" w:type="dxa"/>
              <w:bottom w:w="0" w:type="dxa"/>
              <w:right w:w="62" w:type="dxa"/>
            </w:tcMar>
          </w:tcPr>
          <w:p w:rsidR="00000000" w:rsidP="00BC62F4">
            <w:pPr>
              <w:pStyle w:val="BodyText"/>
              <w:rPr>
                <w:lang w:val="en-NZ"/>
              </w:rPr>
            </w:pPr>
            <w:r w:rsidRPr="00BC62F4">
              <w:t>Risk management processes and procedures are submitted to appropriate person(s) for approval in accordance with established procedures.</w:t>
            </w:r>
          </w:p>
        </w:tc>
      </w:tr>
      <w:tr w:rsidTr="00A2645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C62F4">
            <w:pPr>
              <w:pStyle w:val="BodyText"/>
              <w:rPr>
                <w:lang w:val="en-NZ"/>
              </w:rPr>
            </w:pPr>
            <w:r w:rsidRPr="00BC62F4">
              <w:t>1.8</w:t>
            </w:r>
          </w:p>
        </w:tc>
        <w:tc>
          <w:tcPr>
            <w:tcW w:w="4860" w:type="dxa"/>
            <w:tcBorders>
              <w:top w:val="nil"/>
              <w:left w:val="nil"/>
              <w:bottom w:val="nil"/>
              <w:right w:val="nil"/>
            </w:tcBorders>
            <w:tcMar>
              <w:top w:w="0" w:type="dxa"/>
              <w:left w:w="62" w:type="dxa"/>
              <w:bottom w:w="0" w:type="dxa"/>
              <w:right w:w="62" w:type="dxa"/>
            </w:tcMar>
          </w:tcPr>
          <w:p w:rsidR="00000000" w:rsidP="00BC62F4">
            <w:pPr>
              <w:pStyle w:val="BodyText"/>
              <w:rPr>
                <w:lang w:val="en-NZ"/>
              </w:rPr>
            </w:pPr>
            <w:r w:rsidRPr="00BC62F4">
              <w:t>OHS risk control measures are submitted for incorporation in the risk management strategies in compliance with or</w:t>
            </w:r>
            <w:r w:rsidRPr="00BC62F4">
              <w:t>ganisation's OHS policy and regulations.</w:t>
            </w:r>
          </w:p>
        </w:tc>
      </w:tr>
      <w:tr w:rsidTr="00A2645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C62F4">
            <w:pPr>
              <w:pStyle w:val="BodyText"/>
              <w:rPr>
                <w:lang w:val="en-NZ"/>
              </w:rPr>
            </w:pPr>
            <w:r w:rsidRPr="00BC62F4">
              <w:t>2</w:t>
            </w:r>
          </w:p>
        </w:tc>
        <w:tc>
          <w:tcPr>
            <w:tcW w:w="2296" w:type="dxa"/>
            <w:tcBorders>
              <w:top w:val="nil"/>
              <w:left w:val="nil"/>
              <w:bottom w:val="nil"/>
              <w:right w:val="nil"/>
            </w:tcBorders>
            <w:tcMar>
              <w:top w:w="0" w:type="dxa"/>
              <w:left w:w="62" w:type="dxa"/>
              <w:bottom w:w="0" w:type="dxa"/>
              <w:right w:w="62" w:type="dxa"/>
            </w:tcMar>
          </w:tcPr>
          <w:p w:rsidR="00000000" w:rsidP="00BC62F4">
            <w:pPr>
              <w:pStyle w:val="BodyText"/>
              <w:rPr>
                <w:lang w:val="en-NZ"/>
              </w:rPr>
            </w:pPr>
            <w:r w:rsidRPr="00BC62F4">
              <w:t>Contribute to the implementation and monitoring of risk management strategies.</w:t>
            </w:r>
          </w:p>
        </w:tc>
        <w:tc>
          <w:tcPr>
            <w:tcW w:w="900" w:type="dxa"/>
            <w:tcBorders>
              <w:top w:val="nil"/>
              <w:left w:val="nil"/>
              <w:bottom w:val="nil"/>
              <w:right w:val="nil"/>
            </w:tcBorders>
            <w:tcMar>
              <w:top w:w="0" w:type="dxa"/>
              <w:left w:w="62" w:type="dxa"/>
              <w:bottom w:w="0" w:type="dxa"/>
              <w:right w:w="62" w:type="dxa"/>
            </w:tcMar>
          </w:tcPr>
          <w:p w:rsidR="00000000" w:rsidP="00BC62F4">
            <w:pPr>
              <w:pStyle w:val="BodyText"/>
              <w:rPr>
                <w:lang w:val="en-NZ"/>
              </w:rPr>
            </w:pPr>
            <w:r w:rsidRPr="00BC62F4">
              <w:t>2.1</w:t>
            </w:r>
          </w:p>
        </w:tc>
        <w:tc>
          <w:tcPr>
            <w:tcW w:w="4860" w:type="dxa"/>
            <w:tcBorders>
              <w:top w:val="nil"/>
              <w:left w:val="nil"/>
              <w:bottom w:val="nil"/>
              <w:right w:val="nil"/>
            </w:tcBorders>
            <w:tcMar>
              <w:top w:w="0" w:type="dxa"/>
              <w:left w:w="62" w:type="dxa"/>
              <w:bottom w:w="0" w:type="dxa"/>
              <w:right w:w="62" w:type="dxa"/>
            </w:tcMar>
          </w:tcPr>
          <w:p w:rsidR="00000000" w:rsidP="00BC62F4">
            <w:pPr>
              <w:pStyle w:val="BodyText"/>
              <w:rPr>
                <w:lang w:val="en-NZ"/>
              </w:rPr>
            </w:pPr>
            <w:r w:rsidRPr="00BC62F4">
              <w:t>Risk management processes and procedures are produced and submitted for incorporation into work and project plans to ensure commo</w:t>
            </w:r>
            <w:r w:rsidRPr="00BC62F4">
              <w:t>n approach achieving outcomes.</w:t>
            </w:r>
          </w:p>
        </w:tc>
      </w:tr>
      <w:tr w:rsidTr="00A2645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C62F4">
            <w:pPr>
              <w:pStyle w:val="BodyText"/>
              <w:rPr>
                <w:lang w:val="en-NZ"/>
              </w:rPr>
            </w:pPr>
            <w:r w:rsidRPr="00BC62F4">
              <w:t>2.2</w:t>
            </w:r>
          </w:p>
        </w:tc>
        <w:tc>
          <w:tcPr>
            <w:tcW w:w="4860" w:type="dxa"/>
            <w:tcBorders>
              <w:top w:val="nil"/>
              <w:left w:val="nil"/>
              <w:bottom w:val="nil"/>
              <w:right w:val="nil"/>
            </w:tcBorders>
            <w:tcMar>
              <w:top w:w="0" w:type="dxa"/>
              <w:left w:w="62" w:type="dxa"/>
              <w:bottom w:w="0" w:type="dxa"/>
              <w:right w:w="62" w:type="dxa"/>
            </w:tcMar>
          </w:tcPr>
          <w:p w:rsidR="00000000" w:rsidP="00BC62F4">
            <w:pPr>
              <w:pStyle w:val="BodyText"/>
              <w:rPr>
                <w:lang w:val="en-NZ"/>
              </w:rPr>
            </w:pPr>
            <w:r w:rsidRPr="00BC62F4">
              <w:t xml:space="preserve">Activities are monitored against programs and </w:t>
            </w:r>
            <w:r w:rsidRPr="00BC62F4">
              <w:t xml:space="preserve">projects plans to identify and responses submitted to appropriate person(s) for approval for </w:t>
            </w:r>
            <w:r w:rsidRPr="00BC62F4">
              <w:t>variations in accordance with risk management processes and established procedures.</w:t>
            </w:r>
          </w:p>
        </w:tc>
      </w:tr>
      <w:tr w:rsidTr="00A2645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C62F4">
            <w:pPr>
              <w:pStyle w:val="BodyText"/>
              <w:rPr>
                <w:lang w:val="en-NZ"/>
              </w:rPr>
            </w:pPr>
            <w:r w:rsidRPr="00BC62F4">
              <w:t>2.3</w:t>
            </w:r>
          </w:p>
        </w:tc>
        <w:tc>
          <w:tcPr>
            <w:tcW w:w="4860" w:type="dxa"/>
            <w:tcBorders>
              <w:top w:val="nil"/>
              <w:left w:val="nil"/>
              <w:bottom w:val="nil"/>
              <w:right w:val="nil"/>
            </w:tcBorders>
            <w:tcMar>
              <w:top w:w="0" w:type="dxa"/>
              <w:left w:w="62" w:type="dxa"/>
              <w:bottom w:w="0" w:type="dxa"/>
              <w:right w:w="62" w:type="dxa"/>
            </w:tcMar>
          </w:tcPr>
          <w:p w:rsidR="00000000" w:rsidP="00BC62F4">
            <w:pPr>
              <w:pStyle w:val="BodyText"/>
              <w:rPr>
                <w:lang w:val="en-NZ"/>
              </w:rPr>
            </w:pPr>
            <w:r w:rsidRPr="00BC62F4">
              <w:t>Agreed risk responses are revised for implementation and plans modified following approval to reflect changing project objectives in an environment of uncertainty, i</w:t>
            </w:r>
            <w:r w:rsidRPr="00BC62F4">
              <w:t>n accordance with risk management processes and established procedures..</w:t>
            </w:r>
          </w:p>
        </w:tc>
      </w:tr>
      <w:tr w:rsidTr="00A2645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C62F4">
            <w:pPr>
              <w:pStyle w:val="BodyText"/>
              <w:rPr>
                <w:lang w:val="en-NZ"/>
              </w:rPr>
            </w:pPr>
            <w:r w:rsidRPr="00BC62F4">
              <w:t>3</w:t>
            </w:r>
          </w:p>
        </w:tc>
        <w:tc>
          <w:tcPr>
            <w:tcW w:w="2296" w:type="dxa"/>
            <w:vMerge w:val="restart"/>
            <w:tcBorders>
              <w:top w:val="nil"/>
              <w:left w:val="nil"/>
              <w:bottom w:val="nil"/>
              <w:right w:val="nil"/>
            </w:tcBorders>
            <w:tcMar>
              <w:top w:w="0" w:type="dxa"/>
              <w:left w:w="62" w:type="dxa"/>
              <w:bottom w:w="0" w:type="dxa"/>
              <w:right w:w="62" w:type="dxa"/>
            </w:tcMar>
          </w:tcPr>
          <w:p w:rsidR="00000000" w:rsidP="00BC62F4">
            <w:pPr>
              <w:pStyle w:val="BodyText"/>
              <w:rPr>
                <w:lang w:val="en-NZ"/>
              </w:rPr>
            </w:pPr>
            <w:r w:rsidRPr="00BC62F4">
              <w:t>Contribute to the evaluation of risk management strategies.</w:t>
            </w:r>
          </w:p>
        </w:tc>
        <w:tc>
          <w:tcPr>
            <w:tcW w:w="900" w:type="dxa"/>
            <w:tcBorders>
              <w:top w:val="nil"/>
              <w:left w:val="nil"/>
              <w:bottom w:val="nil"/>
              <w:right w:val="nil"/>
            </w:tcBorders>
            <w:tcMar>
              <w:top w:w="0" w:type="dxa"/>
              <w:left w:w="62" w:type="dxa"/>
              <w:bottom w:w="0" w:type="dxa"/>
              <w:right w:w="62" w:type="dxa"/>
            </w:tcMar>
          </w:tcPr>
          <w:p w:rsidR="00000000" w:rsidP="00BC62F4">
            <w:pPr>
              <w:pStyle w:val="BodyText"/>
              <w:rPr>
                <w:lang w:val="en-NZ"/>
              </w:rPr>
            </w:pPr>
            <w:r w:rsidRPr="00BC62F4">
              <w:t>3.1</w:t>
            </w:r>
          </w:p>
        </w:tc>
        <w:tc>
          <w:tcPr>
            <w:tcW w:w="4860" w:type="dxa"/>
            <w:tcBorders>
              <w:top w:val="nil"/>
              <w:left w:val="nil"/>
              <w:bottom w:val="nil"/>
              <w:right w:val="nil"/>
            </w:tcBorders>
            <w:tcMar>
              <w:top w:w="0" w:type="dxa"/>
              <w:left w:w="62" w:type="dxa"/>
              <w:bottom w:w="0" w:type="dxa"/>
              <w:right w:w="62" w:type="dxa"/>
            </w:tcMar>
          </w:tcPr>
          <w:p w:rsidR="00000000" w:rsidP="00BC62F4">
            <w:pPr>
              <w:pStyle w:val="BodyText"/>
              <w:rPr>
                <w:lang w:val="en-NZ"/>
              </w:rPr>
            </w:pPr>
            <w:r w:rsidRPr="00BC62F4">
              <w:t>Project outcomes are reviewed with appropriate person(s) to determine effectiveness of risk management processes and</w:t>
            </w:r>
            <w:r w:rsidRPr="00BC62F4">
              <w:t xml:space="preserve"> established procedures.</w:t>
            </w:r>
          </w:p>
        </w:tc>
      </w:tr>
      <w:tr w:rsidTr="00A2645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C62F4">
            <w:pPr>
              <w:pStyle w:val="BodyText"/>
              <w:rPr>
                <w:lang w:val="en-NZ"/>
              </w:rPr>
            </w:pPr>
            <w:r w:rsidRPr="00BC62F4">
              <w:t>3.2</w:t>
            </w:r>
          </w:p>
        </w:tc>
        <w:tc>
          <w:tcPr>
            <w:tcW w:w="4860" w:type="dxa"/>
            <w:tcBorders>
              <w:top w:val="nil"/>
              <w:left w:val="nil"/>
              <w:bottom w:val="nil"/>
              <w:right w:val="nil"/>
            </w:tcBorders>
            <w:tcMar>
              <w:top w:w="0" w:type="dxa"/>
              <w:left w:w="62" w:type="dxa"/>
              <w:bottom w:w="0" w:type="dxa"/>
              <w:right w:w="62" w:type="dxa"/>
            </w:tcMar>
          </w:tcPr>
          <w:p w:rsidR="00000000" w:rsidP="00BC62F4">
            <w:pPr>
              <w:pStyle w:val="BodyText"/>
              <w:rPr>
                <w:lang w:val="en-NZ"/>
              </w:rPr>
            </w:pPr>
            <w:r w:rsidRPr="00BC62F4">
              <w:t>Risk issues and recommended improvements are identified, documented and submitted to appropriate person(s) for approval to incorporate them into ongoing programs and future program and project and plans.</w:t>
            </w:r>
          </w:p>
        </w:tc>
      </w:tr>
      <w:tr w:rsidTr="00A2645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C62F4">
            <w:pPr>
              <w:pStyle w:val="BodyText"/>
              <w:rPr>
                <w:lang w:val="en-NZ"/>
              </w:rPr>
            </w:pPr>
            <w:r w:rsidRPr="00BC62F4">
              <w:t>3.3</w:t>
            </w:r>
          </w:p>
        </w:tc>
        <w:tc>
          <w:tcPr>
            <w:tcW w:w="4860" w:type="dxa"/>
            <w:tcBorders>
              <w:top w:val="nil"/>
              <w:left w:val="nil"/>
              <w:bottom w:val="nil"/>
              <w:right w:val="nil"/>
            </w:tcBorders>
            <w:tcMar>
              <w:top w:w="0" w:type="dxa"/>
              <w:left w:w="62" w:type="dxa"/>
              <w:bottom w:w="0" w:type="dxa"/>
              <w:right w:w="62" w:type="dxa"/>
            </w:tcMar>
          </w:tcPr>
          <w:p w:rsidR="00000000" w:rsidRPr="00BC62F4" w:rsidP="00BC62F4">
            <w:pPr>
              <w:pStyle w:val="BodyText"/>
            </w:pPr>
            <w:r w:rsidRPr="00BC62F4">
              <w:t>Outcomes are documented and recorded/stored in accordance established procedures.</w:t>
            </w:r>
          </w:p>
        </w:tc>
      </w:tr>
    </w:tbl>
    <w:p w:rsidR="00A26458" w:rsidP="00BC62F4">
      <w:pPr>
        <w:pStyle w:val="BodyText"/>
      </w:pPr>
    </w:p>
    <w:p w:rsidR="00A26458" w:rsidP="00BC62F4">
      <w:pPr>
        <w:pStyle w:val="BodyText"/>
      </w:pPr>
    </w:p>
    <w:p w:rsidR="00000000" w:rsidRPr="00BC62F4" w:rsidP="00BC62F4">
      <w:pPr>
        <w:pStyle w:val="Heading1"/>
      </w:pPr>
      <w:bookmarkStart w:id="9" w:name="O_437767"/>
      <w:bookmarkEnd w:id="9"/>
      <w:r w:rsidRPr="00BC62F4">
        <w:t>Required Skills and Knowledge</w:t>
      </w:r>
    </w:p>
    <w:tbl>
      <w:tblPr>
        <w:tblW w:w="0" w:type="auto"/>
        <w:tblLayout w:type="fixed"/>
        <w:tblCellMar>
          <w:left w:w="62" w:type="dxa"/>
          <w:right w:w="62" w:type="dxa"/>
        </w:tblCellMar>
        <w:tblLook w:val="0000"/>
      </w:tblPr>
      <w:tblGrid>
        <w:gridCol w:w="8460"/>
      </w:tblGrid>
      <w:tr w:rsidTr="00A2645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C62F4">
            <w:pPr>
              <w:pStyle w:val="BodyText"/>
              <w:rPr>
                <w:lang w:val="en-NZ"/>
              </w:rPr>
            </w:pPr>
            <w:r w:rsidRPr="00BC62F4">
              <w:rPr>
                <w:rStyle w:val="SpecialBold"/>
              </w:rPr>
              <w:t>REQUIRED SKILLS AND KNOWLEDGE</w:t>
            </w:r>
          </w:p>
        </w:tc>
      </w:tr>
      <w:tr w:rsidTr="00A2645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BC62F4">
            <w:pPr>
              <w:pStyle w:val="BodyText"/>
              <w:rPr>
                <w:lang w:val="en-NZ"/>
              </w:rPr>
            </w:pPr>
            <w:r w:rsidRPr="00BC62F4">
              <w:rPr>
                <w:rStyle w:val="SpecialBold"/>
              </w:rPr>
              <w:t xml:space="preserve">7) </w:t>
            </w:r>
            <w:r w:rsidRPr="00BC62F4">
              <w:t>This describes the essential skills and knowledge and their level, required for this unit.</w:t>
            </w:r>
          </w:p>
        </w:tc>
      </w:tr>
      <w:tr w:rsidTr="00A2645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C62F4" w:rsidP="00BC62F4">
            <w:pPr>
              <w:pStyle w:val="BodyText"/>
            </w:pPr>
            <w:r w:rsidRPr="00BC62F4">
              <w:t>Evidence shall show that knowledge has been acquired of safe working practices and contributing to the managing of risk in electrotechnology activities.</w:t>
            </w:r>
          </w:p>
          <w:p w:rsidR="00000000" w:rsidRPr="00BC62F4" w:rsidP="00BC62F4">
            <w:pPr>
              <w:pStyle w:val="BodyText"/>
            </w:pPr>
            <w:r w:rsidRPr="00BC62F4">
              <w:t>All knowledge and skills detailed in this unit should be contextualised to current industry practices</w:t>
            </w:r>
            <w:r w:rsidRPr="00BC62F4">
              <w:t xml:space="preserve"> and technologies.</w:t>
            </w:r>
          </w:p>
          <w:p w:rsidR="00000000" w:rsidRPr="00BC62F4" w:rsidP="00BC62F4">
            <w:pPr>
              <w:pStyle w:val="BodyText"/>
            </w:pPr>
            <w:r w:rsidRPr="00BC62F4">
              <w:rPr>
                <w:rStyle w:val="SpecialBold"/>
              </w:rPr>
              <w:t>KS01-EE078B</w:t>
            </w:r>
            <w:r w:rsidRPr="00BC62F4">
              <w:rPr>
                <w:rStyle w:val="SpecialBold"/>
              </w:rPr>
              <w:tab/>
              <w:t xml:space="preserve">              Principles of risk management, applications, practices and techniques</w:t>
            </w:r>
          </w:p>
          <w:p w:rsidR="00000000" w:rsidRPr="00BC62F4" w:rsidP="00BC62F4">
            <w:pPr>
              <w:pStyle w:val="BodyText"/>
            </w:pPr>
            <w:r w:rsidRPr="00BC62F4">
              <w:t>Evidence shall show an understanding of principles of risk management, applications, practices and techniques to an extent indicated by the f</w:t>
            </w:r>
            <w:r w:rsidRPr="00BC62F4">
              <w:t>ollowing aspects:</w:t>
            </w:r>
          </w:p>
          <w:p w:rsidR="00000000" w:rsidRPr="00BC62F4" w:rsidP="00BC62F4">
            <w:pPr>
              <w:pStyle w:val="BodyText"/>
            </w:pPr>
            <w:r w:rsidRPr="00BC62F4">
              <w:t>T1        Risk Management principles encompassing:</w:t>
            </w:r>
          </w:p>
          <w:p w:rsidR="00000000" w:rsidRPr="00BC62F4" w:rsidP="00BC62F4">
            <w:pPr>
              <w:pStyle w:val="ListBullet"/>
            </w:pPr>
            <w:r w:rsidRPr="00BC62F4">
              <w:t>models including reasonable and practicable</w:t>
            </w:r>
          </w:p>
          <w:p w:rsidR="00000000" w:rsidRPr="00BC62F4" w:rsidP="00BC62F4">
            <w:pPr>
              <w:pStyle w:val="ListBullet"/>
            </w:pPr>
            <w:r w:rsidRPr="00BC62F4">
              <w:t>hazard and risk</w:t>
            </w:r>
          </w:p>
          <w:p w:rsidR="00000000" w:rsidRPr="00BC62F4" w:rsidP="00BC62F4">
            <w:pPr>
              <w:pStyle w:val="ListBullet"/>
            </w:pPr>
            <w:r w:rsidRPr="00BC62F4">
              <w:t>safety and health</w:t>
            </w:r>
          </w:p>
          <w:p w:rsidR="00000000" w:rsidRPr="00BC62F4" w:rsidP="00BC62F4">
            <w:pPr>
              <w:pStyle w:val="ListBullet"/>
            </w:pPr>
            <w:r w:rsidRPr="00BC62F4">
              <w:t>safety risk including Injury Causation Model and Error Agencies</w:t>
            </w:r>
          </w:p>
          <w:p w:rsidR="00000000" w:rsidRPr="00BC62F4" w:rsidP="00BC62F4">
            <w:pPr>
              <w:pStyle w:val="ListBullet"/>
            </w:pPr>
            <w:r w:rsidRPr="00BC62F4">
              <w:t>health Risk including Occupat</w:t>
            </w:r>
            <w:r w:rsidRPr="00BC62F4">
              <w:t>ional Hygiene Model</w:t>
            </w:r>
          </w:p>
          <w:p w:rsidR="00000000" w:rsidRPr="00BC62F4" w:rsidP="00BC62F4">
            <w:pPr>
              <w:pStyle w:val="ListBullet"/>
            </w:pPr>
            <w:r w:rsidRPr="00BC62F4">
              <w:t>hierarchy of Controls (Engineering and Administrative)</w:t>
            </w:r>
          </w:p>
          <w:p w:rsidR="00000000" w:rsidRPr="00BC62F4" w:rsidP="00BC62F4">
            <w:pPr>
              <w:pStyle w:val="BodyText"/>
            </w:pPr>
            <w:r w:rsidRPr="00BC62F4">
              <w:t>T2        Principles of risk management planning</w:t>
            </w:r>
          </w:p>
          <w:p w:rsidR="00000000" w:rsidRPr="00BC62F4" w:rsidP="00BC62F4">
            <w:pPr>
              <w:pStyle w:val="BodyText"/>
            </w:pPr>
            <w:r w:rsidRPr="00BC62F4">
              <w:t>T3        Principles of risk Assessment - planning and prioritisation</w:t>
            </w:r>
          </w:p>
          <w:p w:rsidR="00000000" w:rsidRPr="00BC62F4" w:rsidP="00BC62F4">
            <w:pPr>
              <w:pStyle w:val="BodyText"/>
            </w:pPr>
            <w:r w:rsidRPr="00BC62F4">
              <w:t>T4        Principles of risk mitigation – handling and monitor</w:t>
            </w:r>
            <w:r w:rsidRPr="00BC62F4">
              <w:t>ing</w:t>
            </w:r>
          </w:p>
          <w:p w:rsidR="00000000" w:rsidRPr="00BC62F4" w:rsidP="00BC62F4">
            <w:pPr>
              <w:pStyle w:val="BodyText"/>
            </w:pPr>
            <w:r w:rsidRPr="00BC62F4">
              <w:t>T5        Principles of risk management procedures encompassing:</w:t>
            </w:r>
          </w:p>
          <w:p w:rsidR="00000000" w:rsidRPr="00BC62F4" w:rsidP="00BC62F4">
            <w:pPr>
              <w:pStyle w:val="ListBullet"/>
            </w:pPr>
            <w:r w:rsidRPr="00BC62F4">
              <w:t>OHS practices – general, training, manual handling, and specific technical/occupational, organisational procedures</w:t>
            </w:r>
          </w:p>
          <w:p w:rsidR="00000000" w:rsidRPr="00BC62F4" w:rsidP="00BC62F4">
            <w:pPr>
              <w:pStyle w:val="ListBullet"/>
            </w:pPr>
            <w:r w:rsidRPr="00BC62F4">
              <w:t>OHS networks</w:t>
            </w:r>
          </w:p>
          <w:p w:rsidR="00000000" w:rsidRPr="00BC62F4" w:rsidP="00BC62F4">
            <w:pPr>
              <w:pStyle w:val="ListBullet"/>
            </w:pPr>
            <w:r w:rsidRPr="00BC62F4">
              <w:t>Hazard control and reporting</w:t>
            </w:r>
          </w:p>
          <w:p w:rsidR="00000000" w:rsidRPr="00BC62F4" w:rsidP="00BC62F4">
            <w:pPr>
              <w:pStyle w:val="ListBullet"/>
            </w:pPr>
            <w:r w:rsidRPr="00BC62F4">
              <w:t>Incident notification</w:t>
            </w:r>
          </w:p>
          <w:p w:rsidR="00000000" w:rsidRPr="00BC62F4" w:rsidP="00BC62F4">
            <w:pPr>
              <w:pStyle w:val="ListBullet"/>
            </w:pPr>
            <w:r w:rsidRPr="00BC62F4">
              <w:t>Emergen</w:t>
            </w:r>
            <w:r w:rsidRPr="00BC62F4">
              <w:t>cy procedures and first aid</w:t>
            </w:r>
          </w:p>
        </w:tc>
      </w:tr>
    </w:tbl>
    <w:p w:rsidR="00A26458" w:rsidP="00BC62F4">
      <w:pPr>
        <w:pStyle w:val="BodyText"/>
      </w:pPr>
    </w:p>
    <w:p w:rsidR="00A26458" w:rsidP="00BC62F4">
      <w:pPr>
        <w:pStyle w:val="BodyText"/>
      </w:pPr>
    </w:p>
    <w:p w:rsidR="00000000" w:rsidRPr="00BC62F4" w:rsidP="00BC62F4">
      <w:pPr>
        <w:pStyle w:val="Heading1"/>
      </w:pPr>
      <w:bookmarkStart w:id="10" w:name="O_437773"/>
      <w:bookmarkEnd w:id="10"/>
      <w:r w:rsidRPr="00BC62F4">
        <w:t>Evidence Guide</w:t>
      </w:r>
    </w:p>
    <w:tbl>
      <w:tblPr>
        <w:tblW w:w="0" w:type="auto"/>
        <w:tblLayout w:type="fixed"/>
        <w:tblCellMar>
          <w:left w:w="62" w:type="dxa"/>
          <w:right w:w="62" w:type="dxa"/>
        </w:tblCellMar>
        <w:tblLook w:val="0000"/>
      </w:tblPr>
      <w:tblGrid>
        <w:gridCol w:w="2160"/>
        <w:gridCol w:w="720"/>
        <w:gridCol w:w="540"/>
        <w:gridCol w:w="540"/>
        <w:gridCol w:w="4500"/>
      </w:tblGrid>
      <w:tr w:rsidTr="00A26458">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BC62F4">
            <w:pPr>
              <w:pStyle w:val="BodyText"/>
              <w:rPr>
                <w:lang w:val="en-NZ"/>
              </w:rPr>
            </w:pPr>
            <w:r w:rsidRPr="00BC62F4">
              <w:rPr>
                <w:rStyle w:val="SpecialBold"/>
              </w:rPr>
              <w:t>EVIDENCE GUIDE</w:t>
            </w:r>
          </w:p>
        </w:tc>
      </w:tr>
      <w:tr w:rsidTr="00A26458">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BC62F4" w:rsidP="00BC62F4">
            <w:pPr>
              <w:pStyle w:val="BodyText"/>
            </w:pPr>
            <w:r w:rsidRPr="00BC62F4">
              <w:rPr>
                <w:rStyle w:val="SpecialBold"/>
              </w:rPr>
              <w:t>9</w:t>
            </w:r>
            <w:r w:rsidRPr="00BC62F4">
              <w:t xml:space="preserve">) The evidence guide provides advice on assessment and must be read in conjunction with the Performance </w:t>
            </w:r>
            <w:r w:rsidRPr="00BC62F4">
              <w:t xml:space="preserve">Criteria, Required Skills and Knowledge, the Range Statement and the Assessment Guidelines for this Training Package. </w:t>
            </w:r>
          </w:p>
          <w:p w:rsidR="00000000" w:rsidP="00BC62F4">
            <w:pPr>
              <w:pStyle w:val="BodyText"/>
              <w:rPr>
                <w:lang w:val="en-NZ"/>
              </w:rPr>
            </w:pPr>
            <w:r w:rsidRPr="00BC62F4">
              <w:t>The Evidence Guide forms an integral part of this unit. It must be used in conjunction with all parts of the unit and performed in accord</w:t>
            </w:r>
            <w:r w:rsidRPr="00BC62F4">
              <w:t>ance with the Assessment Guidelines of this Training Package.</w:t>
            </w:r>
          </w:p>
        </w:tc>
      </w:tr>
      <w:tr w:rsidTr="00A2645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BC62F4" w:rsidP="00BC62F4">
            <w:pPr>
              <w:pStyle w:val="BodyText"/>
            </w:pPr>
            <w:r w:rsidRPr="00BC62F4">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BC62F4" w:rsidP="00BC62F4">
            <w:pPr>
              <w:pStyle w:val="BodyText"/>
            </w:pPr>
            <w:r w:rsidRPr="00BC62F4">
              <w:rPr>
                <w:rStyle w:val="SpecialBold"/>
              </w:rPr>
              <w:t>9</w:t>
            </w:r>
            <w:r w:rsidRPr="00BC62F4">
              <w:t>.</w:t>
            </w:r>
            <w:r w:rsidRPr="00BC62F4">
              <w:rPr>
                <w:rStyle w:val="SpecialBold"/>
              </w:rPr>
              <w:t>1</w:t>
            </w:r>
            <w:r w:rsidRPr="00BC62F4">
              <w:t xml:space="preserve">) </w:t>
            </w:r>
          </w:p>
          <w:p w:rsidR="00000000" w:rsidRPr="00BC62F4" w:rsidP="00BC62F4">
            <w:pPr>
              <w:pStyle w:val="BodyText"/>
            </w:pPr>
            <w:r w:rsidRPr="00BC62F4">
              <w:t>Longitudinal competency development approaches to as</w:t>
            </w:r>
            <w:r w:rsidRPr="00BC62F4">
              <w:t>sessment, such as Profiling, require data to be reliably gathered in a form that can be consistently interpreted over time. This approach is best utilised in Apprenticeship programs and reduces assessment intervention. It is the industry-preferred model fo</w:t>
            </w:r>
            <w:r w:rsidRPr="00BC62F4">
              <w:t>r apprenticeships. However, where summative (or final) assessment is used it is to include the application of the competency in the normal work environment or, at a minimum, the application of the competency in a realistically simulated work environment. I</w:t>
            </w:r>
            <w:r w:rsidRPr="00BC62F4">
              <w:t>t is recognised that, in some circumstances, assessment in part or full can occur outside the workplace. However, it must be in accordance with industry and regulatory policy.</w:t>
            </w:r>
          </w:p>
          <w:p w:rsidR="00000000" w:rsidRPr="00BC62F4" w:rsidP="00BC62F4">
            <w:pPr>
              <w:pStyle w:val="BodyText"/>
            </w:pPr>
            <w:r w:rsidRPr="00BC62F4">
              <w:t>Methods chosen for a particular assessment will be influenced by various factors</w:t>
            </w:r>
            <w:r w:rsidRPr="00BC62F4">
              <w:t>. These include the extent of the assessment, the most effective locations for the assessment activities to take place, access to physical resources, additional safety measures that may be required and the critical nature of the competencies being assessed</w:t>
            </w:r>
            <w:r w:rsidRPr="00BC62F4">
              <w:t>.</w:t>
            </w:r>
          </w:p>
          <w:p w:rsidR="00000000" w:rsidRPr="00BC62F4" w:rsidP="00BC62F4">
            <w:pPr>
              <w:pStyle w:val="BodyText"/>
            </w:pPr>
            <w:r w:rsidRPr="00BC62F4">
              <w:t>The critical safety nature of working with electricity, electrical equipment, gas or any other hazardous substance/material carries risk in deeming a person competent. Sources of evidence need to be 'rich' in nature to minimise error in judgment.</w:t>
            </w:r>
          </w:p>
          <w:p w:rsidR="00000000" w:rsidP="00BC62F4">
            <w:pPr>
              <w:pStyle w:val="BodyText"/>
              <w:rPr>
                <w:lang w:val="en-NZ"/>
              </w:rPr>
            </w:pPr>
            <w:r w:rsidRPr="00BC62F4">
              <w:t>Activit</w:t>
            </w:r>
            <w:r w:rsidRPr="00BC62F4">
              <w:t>ies associated with normal everyday work have a bearing on the decision as to how much and how detailed the data gathered will contribute to its 'richness'. Some skills are more critical to safety and operational requirements while the same skills may be m</w:t>
            </w:r>
            <w:r w:rsidRPr="00BC62F4">
              <w:t xml:space="preserve">ore or less frequently practised. These points are raised for the assessors to consider when choosing an assessment method and developing assessment instruments. Sample assessment instruments are included for Assessors in the Assessment Guidelines of this </w:t>
            </w:r>
            <w:r w:rsidRPr="00BC62F4">
              <w:t>Training Package</w:t>
            </w:r>
          </w:p>
        </w:tc>
      </w:tr>
      <w:tr w:rsidTr="00A26458">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BC62F4" w:rsidP="00BC62F4">
            <w:pPr>
              <w:pStyle w:val="BodyText"/>
            </w:pPr>
            <w:r w:rsidRPr="00BC62F4">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BC62F4" w:rsidP="00BC62F4">
            <w:pPr>
              <w:pStyle w:val="BodyText"/>
            </w:pPr>
            <w:r w:rsidRPr="00BC62F4">
              <w:rPr>
                <w:rStyle w:val="SpecialBold"/>
              </w:rPr>
              <w:t>9</w:t>
            </w:r>
            <w:r w:rsidRPr="00BC62F4">
              <w:t>.</w:t>
            </w:r>
            <w:r w:rsidRPr="00BC62F4">
              <w:rPr>
                <w:rStyle w:val="SpecialBold"/>
              </w:rPr>
              <w:t>2</w:t>
            </w:r>
            <w:r w:rsidRPr="00BC62F4">
              <w:t xml:space="preserve">) </w:t>
            </w:r>
          </w:p>
          <w:p w:rsidR="00000000" w:rsidP="00BC62F4">
            <w:pPr>
              <w:pStyle w:val="BodyText"/>
              <w:rPr>
                <w:lang w:val="en-NZ"/>
              </w:rPr>
            </w:pPr>
            <w:r w:rsidRPr="00BC62F4">
              <w:t>Before the critical aspects of evidence are considered all prerequisites must be met.</w:t>
            </w:r>
          </w:p>
        </w:tc>
      </w:tr>
      <w:tr w:rsidTr="00A26458">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BC62F4" w:rsidP="00BC62F4">
            <w:pPr>
              <w:pStyle w:val="BodyText"/>
            </w:pPr>
            <w:r w:rsidRPr="00BC62F4">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BC62F4">
            <w:pPr>
              <w:pStyle w:val="ListBullet"/>
              <w:rPr>
                <w:lang w:val="en-NZ"/>
              </w:rPr>
            </w:pPr>
            <w:r w:rsidRPr="00BC62F4">
              <w:t>A representative body of work performance demonstrated within the timeframes typically expected of the discipline, work function and industrial environment. In particular this shall incorporate evidence that shows a candidate is able to:</w:t>
            </w:r>
          </w:p>
        </w:tc>
      </w:tr>
      <w:tr w:rsidTr="00A2645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C62F4">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BC62F4" w:rsidP="00BC62F4">
            <w:pPr>
              <w:pStyle w:val="ListBullet2"/>
            </w:pPr>
            <w:r w:rsidRPr="00BC62F4">
              <w:t>Implement Occupational Health and Safety workplace procedures and practices, including the use of risk control measures as specified in the performance criteria and range statement</w:t>
            </w:r>
          </w:p>
          <w:p w:rsidR="00000000" w:rsidRPr="00BC62F4" w:rsidP="00BC62F4">
            <w:pPr>
              <w:pStyle w:val="ListBullet2"/>
            </w:pPr>
            <w:r w:rsidRPr="00BC62F4">
              <w:t>Apply sustainable energy principles and practices as specified in the perfo</w:t>
            </w:r>
            <w:r w:rsidRPr="00BC62F4">
              <w:t>rmance criteria and range statement</w:t>
            </w:r>
          </w:p>
          <w:p w:rsidR="00000000" w:rsidRPr="00BC62F4" w:rsidP="00BC62F4">
            <w:pPr>
              <w:pStyle w:val="ListBullet2"/>
            </w:pPr>
            <w:r w:rsidRPr="00BC62F4">
              <w:t>Demonstrate an understanding of the essential knowledge and associated skills as described in this unit.  It may be required by some jurisdictions that RTOs provide a percentile graded result for the purpose of regulator</w:t>
            </w:r>
            <w:r w:rsidRPr="00BC62F4">
              <w:t xml:space="preserve">y or licensing requirements.   </w:t>
            </w:r>
          </w:p>
          <w:p w:rsidR="00000000" w:rsidRPr="00BC62F4" w:rsidP="00BC62F4">
            <w:pPr>
              <w:pStyle w:val="ListBullet2"/>
            </w:pPr>
            <w:r w:rsidRPr="00BC62F4">
              <w:t>Demonstrate an appropriate level of skills enabling employment</w:t>
            </w:r>
          </w:p>
          <w:p w:rsidR="00000000" w:rsidP="00BC62F4">
            <w:pPr>
              <w:pStyle w:val="ListBullet2"/>
              <w:rPr>
                <w:lang w:val="en-NZ"/>
              </w:rPr>
            </w:pPr>
            <w:r w:rsidRPr="00BC62F4">
              <w:t>Conduct work observing the relevant Anti Discrimination legislation, regulations, polices and workplace procedures</w:t>
            </w:r>
          </w:p>
        </w:tc>
      </w:tr>
      <w:tr w:rsidTr="00A2645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C62F4">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BC62F4">
            <w:pPr>
              <w:pStyle w:val="ListBullet"/>
              <w:rPr>
                <w:lang w:val="en-NZ"/>
              </w:rPr>
            </w:pPr>
            <w:r w:rsidRPr="00BC62F4">
              <w:t>Demonstrated consistent performance across a representative range of contexts from the prescribed items below:</w:t>
            </w:r>
          </w:p>
        </w:tc>
      </w:tr>
      <w:tr w:rsidTr="00A2645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C62F4">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BC62F4">
            <w:pPr>
              <w:pStyle w:val="ListBullet2"/>
              <w:rPr>
                <w:lang w:val="en-NZ"/>
              </w:rPr>
            </w:pPr>
            <w:r w:rsidRPr="00BC62F4">
              <w:t>Contribute to risk management in electrotechnology systems as described in 8) and including:</w:t>
            </w:r>
          </w:p>
        </w:tc>
      </w:tr>
      <w:tr w:rsidTr="00A2645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C62F4">
            <w:pPr>
              <w:pStyle w:val="BodyText"/>
              <w:rPr>
                <w:lang w:val="en-NZ"/>
              </w:rPr>
            </w:pPr>
            <w:r w:rsidRPr="00BC62F4">
              <w:t>A</w:t>
            </w:r>
          </w:p>
        </w:tc>
        <w:tc>
          <w:tcPr>
            <w:tcW w:w="5040" w:type="dxa"/>
            <w:gridSpan w:val="2"/>
            <w:tcBorders>
              <w:top w:val="nil"/>
              <w:left w:val="nil"/>
              <w:bottom w:val="nil"/>
              <w:right w:val="nil"/>
            </w:tcBorders>
            <w:tcMar>
              <w:top w:w="0" w:type="dxa"/>
              <w:left w:w="62" w:type="dxa"/>
              <w:bottom w:w="0" w:type="dxa"/>
              <w:right w:w="62" w:type="dxa"/>
            </w:tcMar>
          </w:tcPr>
          <w:p w:rsidR="00000000" w:rsidP="00BC62F4">
            <w:pPr>
              <w:pStyle w:val="BodyText"/>
              <w:rPr>
                <w:lang w:val="en-NZ"/>
              </w:rPr>
            </w:pPr>
            <w:r w:rsidRPr="00BC62F4">
              <w:t>Contributing to identifying potential, perceived and actual risk events.</w:t>
            </w:r>
          </w:p>
        </w:tc>
      </w:tr>
      <w:tr w:rsidTr="00A2645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C62F4">
            <w:pPr>
              <w:pStyle w:val="BodyText"/>
              <w:rPr>
                <w:lang w:val="en-NZ"/>
              </w:rPr>
            </w:pPr>
            <w:r w:rsidRPr="00BC62F4">
              <w:t>B</w:t>
            </w:r>
          </w:p>
        </w:tc>
        <w:tc>
          <w:tcPr>
            <w:tcW w:w="5040" w:type="dxa"/>
            <w:gridSpan w:val="2"/>
            <w:tcBorders>
              <w:top w:val="nil"/>
              <w:left w:val="nil"/>
              <w:bottom w:val="nil"/>
              <w:right w:val="nil"/>
            </w:tcBorders>
            <w:tcMar>
              <w:top w:w="0" w:type="dxa"/>
              <w:left w:w="62" w:type="dxa"/>
              <w:bottom w:w="0" w:type="dxa"/>
              <w:right w:w="62" w:type="dxa"/>
            </w:tcMar>
          </w:tcPr>
          <w:p w:rsidR="00000000" w:rsidP="00BC62F4">
            <w:pPr>
              <w:pStyle w:val="BodyText"/>
              <w:rPr>
                <w:lang w:val="en-NZ"/>
              </w:rPr>
            </w:pPr>
            <w:r w:rsidRPr="00BC62F4">
              <w:t>Using risk management methods, tools and techniques to assist in the analysis and reporting.</w:t>
            </w:r>
          </w:p>
        </w:tc>
      </w:tr>
      <w:tr w:rsidTr="00A2645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C62F4">
            <w:pPr>
              <w:pStyle w:val="BodyText"/>
              <w:rPr>
                <w:lang w:val="en-NZ"/>
              </w:rPr>
            </w:pPr>
            <w:r w:rsidRPr="00BC62F4">
              <w:t>C</w:t>
            </w:r>
          </w:p>
        </w:tc>
        <w:tc>
          <w:tcPr>
            <w:tcW w:w="5040" w:type="dxa"/>
            <w:gridSpan w:val="2"/>
            <w:tcBorders>
              <w:top w:val="nil"/>
              <w:left w:val="nil"/>
              <w:bottom w:val="nil"/>
              <w:right w:val="nil"/>
            </w:tcBorders>
            <w:tcMar>
              <w:top w:w="0" w:type="dxa"/>
              <w:left w:w="62" w:type="dxa"/>
              <w:bottom w:w="0" w:type="dxa"/>
              <w:right w:w="62" w:type="dxa"/>
            </w:tcMar>
          </w:tcPr>
          <w:p w:rsidR="00000000" w:rsidP="00BC62F4">
            <w:pPr>
              <w:pStyle w:val="BodyText"/>
              <w:rPr>
                <w:lang w:val="en-NZ"/>
              </w:rPr>
            </w:pPr>
            <w:r w:rsidRPr="00BC62F4">
              <w:t>Contributing to incorporation of risk management processes and procedures into program and project plans.</w:t>
            </w:r>
          </w:p>
        </w:tc>
      </w:tr>
      <w:tr w:rsidTr="00A2645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C62F4">
            <w:pPr>
              <w:pStyle w:val="BodyText"/>
              <w:rPr>
                <w:lang w:val="en-NZ"/>
              </w:rPr>
            </w:pPr>
            <w:r w:rsidRPr="00BC62F4">
              <w:t>D</w:t>
            </w:r>
          </w:p>
        </w:tc>
        <w:tc>
          <w:tcPr>
            <w:tcW w:w="5040" w:type="dxa"/>
            <w:gridSpan w:val="2"/>
            <w:tcBorders>
              <w:top w:val="nil"/>
              <w:left w:val="nil"/>
              <w:bottom w:val="nil"/>
              <w:right w:val="nil"/>
            </w:tcBorders>
            <w:tcMar>
              <w:top w:w="0" w:type="dxa"/>
              <w:left w:w="62" w:type="dxa"/>
              <w:bottom w:w="0" w:type="dxa"/>
              <w:right w:w="62" w:type="dxa"/>
            </w:tcMar>
          </w:tcPr>
          <w:p w:rsidR="00000000" w:rsidP="00BC62F4">
            <w:pPr>
              <w:pStyle w:val="BodyText"/>
              <w:rPr>
                <w:lang w:val="en-NZ"/>
              </w:rPr>
            </w:pPr>
            <w:r w:rsidRPr="00BC62F4">
              <w:t>Contributing to the monitoring and responding to electrotechnology systems and risk events effectively.</w:t>
            </w:r>
          </w:p>
        </w:tc>
      </w:tr>
      <w:tr w:rsidTr="00A2645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C62F4">
            <w:pPr>
              <w:pStyle w:val="BodyText"/>
              <w:rPr>
                <w:lang w:val="en-NZ"/>
              </w:rPr>
            </w:pPr>
            <w:r w:rsidRPr="00BC62F4">
              <w:t>E</w:t>
            </w:r>
          </w:p>
        </w:tc>
        <w:tc>
          <w:tcPr>
            <w:tcW w:w="5040" w:type="dxa"/>
            <w:gridSpan w:val="2"/>
            <w:tcBorders>
              <w:top w:val="nil"/>
              <w:left w:val="nil"/>
              <w:bottom w:val="nil"/>
              <w:right w:val="nil"/>
            </w:tcBorders>
            <w:tcMar>
              <w:top w:w="0" w:type="dxa"/>
              <w:left w:w="62" w:type="dxa"/>
              <w:bottom w:w="0" w:type="dxa"/>
              <w:right w:w="62" w:type="dxa"/>
            </w:tcMar>
          </w:tcPr>
          <w:p w:rsidR="00000000" w:rsidP="00BC62F4">
            <w:pPr>
              <w:pStyle w:val="BodyText"/>
              <w:rPr>
                <w:lang w:val="en-NZ"/>
              </w:rPr>
            </w:pPr>
            <w:r w:rsidRPr="00BC62F4">
              <w:t>Identifying improvements and documenting recommendation for their inclusion in ongoing or future programs and projects.</w:t>
            </w:r>
          </w:p>
        </w:tc>
      </w:tr>
      <w:tr w:rsidTr="00A2645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C62F4">
            <w:pPr>
              <w:pStyle w:val="BodyText"/>
              <w:rPr>
                <w:lang w:val="en-NZ"/>
              </w:rPr>
            </w:pPr>
            <w:r w:rsidRPr="00BC62F4">
              <w:t>F</w:t>
            </w:r>
          </w:p>
        </w:tc>
        <w:tc>
          <w:tcPr>
            <w:tcW w:w="5040" w:type="dxa"/>
            <w:gridSpan w:val="2"/>
            <w:tcBorders>
              <w:top w:val="nil"/>
              <w:left w:val="nil"/>
              <w:bottom w:val="nil"/>
              <w:right w:val="nil"/>
            </w:tcBorders>
            <w:tcMar>
              <w:top w:w="0" w:type="dxa"/>
              <w:left w:w="62" w:type="dxa"/>
              <w:bottom w:w="0" w:type="dxa"/>
              <w:right w:w="62" w:type="dxa"/>
            </w:tcMar>
          </w:tcPr>
          <w:p w:rsidR="00000000" w:rsidP="00BC62F4">
            <w:pPr>
              <w:pStyle w:val="BodyText"/>
              <w:rPr>
                <w:lang w:val="en-NZ"/>
              </w:rPr>
            </w:pPr>
            <w:r w:rsidRPr="00BC62F4">
              <w:t>Dealing with unplanned events by drawing on essential knowledge and skills to provide appropriate solutions incorporated in a holi</w:t>
            </w:r>
            <w:r w:rsidRPr="00BC62F4">
              <w:t>stic assessment with the above listed items.</w:t>
            </w:r>
          </w:p>
        </w:tc>
      </w:tr>
      <w:tr w:rsidTr="00A2645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BC62F4">
            <w:pPr>
              <w:pStyle w:val="BodyText"/>
              <w:rPr>
                <w:lang w:val="en-NZ"/>
              </w:rPr>
            </w:pPr>
            <w:r w:rsidRPr="00BC62F4">
              <w:t>Note:</w:t>
            </w:r>
            <w:r w:rsidRPr="00BC62F4">
              <w:br/>
              <w:t>Successful completion of relevant vendor training may be used to contribute to evidence on which competency is deemed. In these cases the alignment of outcomes of vendor training with performance criter</w:t>
            </w:r>
            <w:r w:rsidRPr="00BC62F4">
              <w:t>ia and critical aspects of evidence shall be clearly identified.</w:t>
            </w:r>
          </w:p>
        </w:tc>
      </w:tr>
      <w:tr w:rsidTr="00A2645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BC62F4" w:rsidP="00BC62F4">
            <w:pPr>
              <w:pStyle w:val="BodyText"/>
            </w:pPr>
            <w:r w:rsidRPr="00BC62F4">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BC62F4" w:rsidP="00BC62F4">
            <w:pPr>
              <w:pStyle w:val="BodyText"/>
            </w:pPr>
            <w:r w:rsidRPr="00BC62F4">
              <w:rPr>
                <w:rStyle w:val="SpecialBold"/>
              </w:rPr>
              <w:t>9</w:t>
            </w:r>
            <w:r w:rsidRPr="00BC62F4">
              <w:t>.</w:t>
            </w:r>
            <w:r w:rsidRPr="00BC62F4">
              <w:rPr>
                <w:rStyle w:val="SpecialBold"/>
              </w:rPr>
              <w:t>3</w:t>
            </w:r>
            <w:r w:rsidRPr="00BC62F4">
              <w:t xml:space="preserve">) </w:t>
            </w:r>
          </w:p>
          <w:p w:rsidR="00000000" w:rsidRPr="00BC62F4" w:rsidP="00BC62F4">
            <w:pPr>
              <w:pStyle w:val="BodyText"/>
            </w:pPr>
            <w:r w:rsidRPr="00BC62F4">
              <w:t>This unit should be assessed as it relates to normal work practice using procedures, information and resources typical of a workplace. This should include:</w:t>
            </w:r>
          </w:p>
          <w:p w:rsidR="00000000" w:rsidRPr="00BC62F4" w:rsidP="00BC62F4">
            <w:pPr>
              <w:pStyle w:val="ListBullet"/>
            </w:pPr>
            <w:r w:rsidRPr="00BC62F4">
              <w:t>OHS policy and work procedures and instructions.</w:t>
            </w:r>
          </w:p>
          <w:p w:rsidR="00000000" w:rsidRPr="00BC62F4" w:rsidP="00BC62F4">
            <w:pPr>
              <w:pStyle w:val="ListBullet"/>
            </w:pPr>
            <w:r w:rsidRPr="00BC62F4">
              <w:t>Suitable work environment, facilities, equipment a</w:t>
            </w:r>
            <w:r w:rsidRPr="00BC62F4">
              <w:t>nd materials to undertake actual work as prescribed in this unit.</w:t>
            </w:r>
          </w:p>
          <w:p w:rsidR="00000000" w:rsidRPr="00BC62F4" w:rsidP="00BC62F4">
            <w:pPr>
              <w:pStyle w:val="BodyText"/>
            </w:pPr>
            <w:r w:rsidRPr="00BC62F4">
              <w:t>These should be used in the formal learning/assessment environment.</w:t>
            </w:r>
          </w:p>
          <w:p w:rsidR="00000000" w:rsidRPr="00BC62F4" w:rsidP="00BC62F4">
            <w:pPr>
              <w:pStyle w:val="BodyText"/>
            </w:pPr>
            <w:r w:rsidRPr="00BC62F4">
              <w:t>Note:</w:t>
            </w:r>
          </w:p>
          <w:p w:rsidR="00000000" w:rsidP="00BC62F4">
            <w:pPr>
              <w:pStyle w:val="BodyText"/>
              <w:rPr>
                <w:lang w:val="en-NZ"/>
              </w:rPr>
            </w:pPr>
            <w:r w:rsidRPr="00BC62F4">
              <w:t>Where simulation is considered a suitable strategy for assessment, conditions for assessment must be authentic and a</w:t>
            </w:r>
            <w:r w:rsidRPr="00BC62F4">
              <w:t>s far as possible reproduce and replicate the workplace and be consistent with the approved industry simulation policy.</w:t>
            </w:r>
          </w:p>
        </w:tc>
      </w:tr>
      <w:tr w:rsidTr="00A2645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BC62F4">
            <w:pPr>
              <w:pStyle w:val="BodyText"/>
              <w:rPr>
                <w:lang w:val="en-NZ"/>
              </w:rPr>
            </w:pPr>
            <w:r w:rsidRPr="00BC62F4">
              <w:t>The resources used for assessment should reflect current industry practices in relation to contributing to risk management in elect</w:t>
            </w:r>
            <w:r w:rsidRPr="00BC62F4">
              <w:t>rotechnology systems.</w:t>
            </w:r>
          </w:p>
        </w:tc>
      </w:tr>
      <w:tr w:rsidTr="00A2645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BC62F4" w:rsidP="00BC62F4">
            <w:pPr>
              <w:pStyle w:val="BodyText"/>
            </w:pPr>
            <w:r w:rsidRPr="00BC62F4">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BC62F4" w:rsidP="00BC62F4">
            <w:pPr>
              <w:pStyle w:val="BodyText"/>
            </w:pPr>
            <w:r w:rsidRPr="00BC62F4">
              <w:rPr>
                <w:rStyle w:val="SpecialBold"/>
              </w:rPr>
              <w:t>9</w:t>
            </w:r>
            <w:r w:rsidRPr="00BC62F4">
              <w:t>.</w:t>
            </w:r>
            <w:r w:rsidRPr="00BC62F4">
              <w:rPr>
                <w:rStyle w:val="SpecialBold"/>
              </w:rPr>
              <w:t>4</w:t>
            </w:r>
            <w:r w:rsidRPr="00BC62F4">
              <w:t xml:space="preserve">) </w:t>
            </w:r>
          </w:p>
          <w:p w:rsidR="00000000" w:rsidRPr="00BC62F4" w:rsidP="00BC62F4">
            <w:pPr>
              <w:pStyle w:val="BodyText"/>
            </w:pPr>
            <w:r w:rsidRPr="00BC62F4">
              <w:t>This unit shall be assessed by methods given in Volume 1, Part 3 'Assessment Guidelines'.</w:t>
            </w:r>
          </w:p>
          <w:p w:rsidR="00000000" w:rsidP="00BC62F4">
            <w:pPr>
              <w:pStyle w:val="BodyText"/>
              <w:rPr>
                <w:lang w:val="en-NZ"/>
              </w:rPr>
            </w:pPr>
            <w:r w:rsidRPr="00BC62F4">
              <w:t>Note:</w:t>
            </w:r>
            <w:r w:rsidRPr="00BC62F4">
              <w:br/>
              <w:t>Competent performance with inherent safe working practices is expected in the Industry to which this u</w:t>
            </w:r>
            <w:r w:rsidRPr="00BC62F4">
              <w:t>nit applies. This requires that the specified essential knowledge and associated skills are assessed in a structured environment which is primarily intended for learning/assessment and incorporates all necessary equipment and facilities for learners to dev</w:t>
            </w:r>
            <w:r w:rsidRPr="00BC62F4">
              <w:t>elop and demonstrate the essential knowledge and skills described in this unit.</w:t>
            </w:r>
          </w:p>
        </w:tc>
      </w:tr>
      <w:tr w:rsidTr="00A26458">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BC62F4" w:rsidP="00BC62F4">
            <w:pPr>
              <w:pStyle w:val="BodyText"/>
            </w:pPr>
            <w:r w:rsidRPr="00BC62F4">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BC62F4">
            <w:pPr>
              <w:pStyle w:val="BodyText"/>
              <w:rPr>
                <w:lang w:val="en-NZ"/>
              </w:rPr>
            </w:pPr>
            <w:r w:rsidRPr="00BC62F4">
              <w:rPr>
                <w:rStyle w:val="SpecialBold"/>
              </w:rPr>
              <w:t>9</w:t>
            </w:r>
            <w:r w:rsidRPr="00BC62F4">
              <w:t>.</w:t>
            </w:r>
            <w:r w:rsidRPr="00BC62F4">
              <w:rPr>
                <w:rStyle w:val="SpecialBold"/>
              </w:rPr>
              <w:t>5</w:t>
            </w:r>
            <w:r w:rsidRPr="00BC62F4">
              <w:t>)</w:t>
            </w:r>
          </w:p>
        </w:tc>
      </w:tr>
      <w:tr w:rsidTr="00A26458">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BC62F4">
            <w:pPr>
              <w:pStyle w:val="BodyText"/>
              <w:rPr>
                <w:lang w:val="en-NZ"/>
              </w:rPr>
            </w:pPr>
            <w:r w:rsidRPr="00BC62F4">
              <w:t>For optimisation of training and assessment effort, competency development in this unit may be arranged concurrently with unit:</w:t>
            </w:r>
          </w:p>
        </w:tc>
      </w:tr>
      <w:tr w:rsidTr="00A26458">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BC62F4">
            <w:pPr>
              <w:pStyle w:val="BodyText"/>
              <w:rPr>
                <w:lang w:val="en-NZ"/>
              </w:rPr>
            </w:pPr>
            <w:r w:rsidRPr="00BC62F4">
              <w:t>UEENEEH041B</w:t>
            </w:r>
          </w:p>
        </w:tc>
        <w:tc>
          <w:tcPr>
            <w:tcW w:w="4500" w:type="dxa"/>
            <w:tcBorders>
              <w:top w:val="nil"/>
              <w:left w:val="nil"/>
              <w:bottom w:val="nil"/>
              <w:right w:val="nil"/>
            </w:tcBorders>
            <w:tcMar>
              <w:top w:w="0" w:type="dxa"/>
              <w:left w:w="62" w:type="dxa"/>
              <w:bottom w:w="0" w:type="dxa"/>
              <w:right w:w="62" w:type="dxa"/>
            </w:tcMar>
          </w:tcPr>
          <w:p w:rsidR="00000000" w:rsidRPr="00BC62F4" w:rsidP="00BC62F4">
            <w:pPr>
              <w:pStyle w:val="BodyText"/>
            </w:pPr>
            <w:r w:rsidRPr="00BC62F4">
              <w:t>Manage electronics/computer systems projects</w:t>
            </w:r>
          </w:p>
        </w:tc>
      </w:tr>
    </w:tbl>
    <w:p w:rsidR="00A26458" w:rsidP="00BC62F4">
      <w:pPr>
        <w:pStyle w:val="BodyText"/>
      </w:pPr>
    </w:p>
    <w:p w:rsidR="00A26458" w:rsidP="00BC62F4">
      <w:pPr>
        <w:pStyle w:val="BodyText"/>
      </w:pPr>
    </w:p>
    <w:p w:rsidR="00000000" w:rsidRPr="00BC62F4" w:rsidP="00BC62F4">
      <w:pPr>
        <w:pStyle w:val="Heading1"/>
      </w:pPr>
      <w:bookmarkStart w:id="11" w:name="O_437768"/>
      <w:bookmarkEnd w:id="11"/>
      <w:r w:rsidRPr="00BC62F4">
        <w:t>Range Statement</w:t>
      </w:r>
    </w:p>
    <w:tbl>
      <w:tblPr>
        <w:tblW w:w="0" w:type="auto"/>
        <w:tblLayout w:type="fixed"/>
        <w:tblCellMar>
          <w:left w:w="62" w:type="dxa"/>
          <w:right w:w="62" w:type="dxa"/>
        </w:tblCellMar>
        <w:tblLook w:val="0000"/>
      </w:tblPr>
      <w:tblGrid>
        <w:gridCol w:w="1983"/>
        <w:gridCol w:w="6477"/>
      </w:tblGrid>
      <w:tr w:rsidTr="00A26458">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BC62F4">
            <w:pPr>
              <w:pStyle w:val="BodyText"/>
              <w:rPr>
                <w:lang w:val="en-NZ"/>
              </w:rPr>
            </w:pPr>
            <w:r w:rsidRPr="00BC62F4">
              <w:rPr>
                <w:rStyle w:val="SpecialBold"/>
              </w:rPr>
              <w:t>RANGE STATEMENT</w:t>
            </w:r>
          </w:p>
        </w:tc>
      </w:tr>
      <w:tr w:rsidTr="00A26458">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BC62F4">
            <w:pPr>
              <w:pStyle w:val="BodyText"/>
              <w:rPr>
                <w:lang w:val="en-NZ"/>
              </w:rPr>
            </w:pPr>
            <w:r w:rsidRPr="00BC62F4">
              <w:rPr>
                <w:rStyle w:val="SpecialBold"/>
              </w:rPr>
              <w:t>8</w:t>
            </w:r>
            <w:r w:rsidRPr="00BC62F4">
              <w:t>) This relates to the unit as a whole providing the range of contexts and conditions to which the performance criteria apply. It allows for different work environments and situations that will affect performance.</w:t>
            </w:r>
          </w:p>
        </w:tc>
      </w:tr>
      <w:tr w:rsidTr="00A26458">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BC62F4">
            <w:pPr>
              <w:pStyle w:val="BodyText"/>
              <w:rPr>
                <w:lang w:val="en-NZ"/>
              </w:rPr>
            </w:pPr>
            <w:r w:rsidRPr="00BC62F4">
              <w:t>This unit shall be demonstrated in contributing to the management of risk in electrotechnology systems related to OHS, environment, resources and financial viability with the following attributes:</w:t>
            </w:r>
          </w:p>
        </w:tc>
      </w:tr>
      <w:tr w:rsidTr="00A26458">
        <w:tblPrEx>
          <w:tblW w:w="0" w:type="auto"/>
          <w:tblLayout w:type="fixed"/>
          <w:tblCellMar>
            <w:left w:w="62" w:type="dxa"/>
            <w:right w:w="62" w:type="dxa"/>
          </w:tblCellMar>
          <w:tblLook w:val="0000"/>
        </w:tblPrEx>
        <w:tc>
          <w:tcPr>
            <w:tcW w:w="1983" w:type="dxa"/>
            <w:tcBorders>
              <w:top w:val="nil"/>
              <w:left w:val="nil"/>
              <w:bottom w:val="nil"/>
              <w:right w:val="nil"/>
            </w:tcBorders>
            <w:tcMar>
              <w:top w:w="0" w:type="dxa"/>
              <w:left w:w="62" w:type="dxa"/>
              <w:bottom w:w="0" w:type="dxa"/>
              <w:right w:w="62" w:type="dxa"/>
            </w:tcMar>
          </w:tcPr>
          <w:p w:rsidR="00000000" w:rsidP="00BC62F4">
            <w:pPr>
              <w:pStyle w:val="BodyText"/>
              <w:rPr>
                <w:lang w:val="en-NZ"/>
              </w:rPr>
            </w:pPr>
          </w:p>
        </w:tc>
        <w:tc>
          <w:tcPr>
            <w:tcW w:w="6477" w:type="dxa"/>
            <w:tcBorders>
              <w:top w:val="nil"/>
              <w:left w:val="nil"/>
              <w:bottom w:val="nil"/>
              <w:right w:val="nil"/>
            </w:tcBorders>
            <w:tcMar>
              <w:top w:w="0" w:type="dxa"/>
              <w:left w:w="62" w:type="dxa"/>
              <w:bottom w:w="0" w:type="dxa"/>
              <w:right w:w="62" w:type="dxa"/>
            </w:tcMar>
          </w:tcPr>
          <w:p w:rsidR="00000000" w:rsidRPr="00BC62F4" w:rsidP="00BC62F4">
            <w:pPr>
              <w:pStyle w:val="ListBullet"/>
            </w:pPr>
            <w:r w:rsidRPr="00BC62F4">
              <w:t>electrotechnology systems risks identification</w:t>
            </w:r>
          </w:p>
          <w:p w:rsidR="00000000" w:rsidRPr="00BC62F4" w:rsidP="00BC62F4">
            <w:pPr>
              <w:pStyle w:val="ListBullet"/>
            </w:pPr>
            <w:r w:rsidRPr="00BC62F4">
              <w:t>risk eve</w:t>
            </w:r>
            <w:r w:rsidRPr="00BC62F4">
              <w:t>nts</w:t>
            </w:r>
          </w:p>
          <w:p w:rsidR="00000000" w:rsidRPr="00BC62F4" w:rsidP="00BC62F4">
            <w:pPr>
              <w:pStyle w:val="ListBullet"/>
            </w:pPr>
            <w:r w:rsidRPr="00BC62F4">
              <w:t>likelihood and consequences of risk events</w:t>
            </w:r>
          </w:p>
          <w:p w:rsidR="00000000" w:rsidRPr="00BC62F4" w:rsidP="00BC62F4">
            <w:pPr>
              <w:pStyle w:val="ListBullet"/>
            </w:pPr>
            <w:r w:rsidRPr="00BC62F4">
              <w:t>evaluating risk</w:t>
            </w:r>
          </w:p>
          <w:p w:rsidR="00000000" w:rsidRPr="00BC62F4" w:rsidP="00BC62F4">
            <w:pPr>
              <w:pStyle w:val="ListBullet"/>
            </w:pPr>
            <w:r w:rsidRPr="00BC62F4">
              <w:t>risk management planning</w:t>
            </w:r>
          </w:p>
          <w:p w:rsidR="00000000" w:rsidRPr="00BC62F4" w:rsidP="00BC62F4">
            <w:pPr>
              <w:pStyle w:val="ListBullet"/>
            </w:pPr>
            <w:r w:rsidRPr="00BC62F4">
              <w:t>mitigation of risk for a program or an individual project</w:t>
            </w:r>
          </w:p>
          <w:p w:rsidR="00000000" w:rsidP="00BC62F4">
            <w:pPr>
              <w:pStyle w:val="ListBullet"/>
              <w:rPr>
                <w:lang w:val="en-NZ"/>
              </w:rPr>
            </w:pPr>
            <w:r w:rsidRPr="00BC62F4">
              <w:t>technical requirements documentation</w:t>
            </w:r>
          </w:p>
        </w:tc>
      </w:tr>
      <w:tr w:rsidTr="00A26458">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BC62F4" w:rsidP="00BC62F4">
            <w:pPr>
              <w:pStyle w:val="BodyText"/>
            </w:pPr>
            <w:r w:rsidRPr="00BC62F4">
              <w:t>Generic terms used throughout this Vocational Standard shall be regarded as part of the Range Statement in which competency is demonstrated. The definition of these and other terms that apply are given in Volume 2, Part 2.1.</w:t>
            </w:r>
          </w:p>
        </w:tc>
      </w:tr>
    </w:tbl>
    <w:p w:rsidR="00A26458" w:rsidP="00BC62F4">
      <w:pPr>
        <w:pStyle w:val="BodyText"/>
      </w:pPr>
    </w:p>
    <w:p w:rsidR="00A26458" w:rsidP="00BC62F4">
      <w:pPr>
        <w:pStyle w:val="BodyText"/>
      </w:pPr>
    </w:p>
    <w:p w:rsidR="00000000" w:rsidRPr="00BC62F4" w:rsidP="00BC62F4">
      <w:pPr>
        <w:pStyle w:val="Heading1"/>
      </w:pPr>
      <w:bookmarkStart w:id="12" w:name="O_437765"/>
      <w:bookmarkEnd w:id="12"/>
      <w:r w:rsidRPr="00BC62F4">
        <w:t>Unit Secto</w:t>
      </w:r>
      <w:r w:rsidRPr="00BC62F4">
        <w:t>r(s)</w:t>
      </w:r>
    </w:p>
    <w:p w:rsidR="00000000" w:rsidRPr="00BC62F4" w:rsidP="00BC62F4">
      <w:pPr>
        <w:pStyle w:val="BodyText"/>
      </w:pPr>
      <w:r w:rsidRPr="00BC62F4">
        <w:t>Not Applicable</w:t>
      </w:r>
    </w:p>
    <w:p w:rsidR="00000000" w:rsidRPr="00BC62F4" w:rsidP="00BC62F4">
      <w:pPr>
        <w:pStyle w:val="AllowPageBreak"/>
      </w:pPr>
    </w:p>
    <w:p w:rsidR="00000000" w:rsidRPr="00BC62F4" w:rsidP="00BC62F4">
      <w:pPr>
        <w:pStyle w:val="Heading1"/>
      </w:pPr>
      <w:bookmarkStart w:id="13" w:name="O_437778"/>
      <w:bookmarkEnd w:id="13"/>
      <w:r w:rsidRPr="00BC62F4">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A26458">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BC62F4" w:rsidP="00BC62F4">
            <w:pPr>
              <w:pStyle w:val="BodyText"/>
            </w:pPr>
            <w:r w:rsidRPr="00BC62F4">
              <w:rPr>
                <w:rStyle w:val="SpecialBold"/>
              </w:rPr>
              <w:t>2</w:t>
            </w:r>
            <w:r w:rsidRPr="00BC62F4">
              <w:t>.</w:t>
            </w:r>
            <w:r w:rsidRPr="00BC62F4">
              <w:rPr>
                <w:rStyle w:val="SpecialBold"/>
              </w:rPr>
              <w:t>2</w:t>
            </w:r>
            <w:r w:rsidRPr="00BC62F4">
              <w:t xml:space="preserve">) </w:t>
            </w:r>
            <w:r w:rsidRPr="00BC62F4">
              <w:rPr>
                <w:rStyle w:val="SpecialBold"/>
              </w:rPr>
              <w:t>Literacy and numeracy skills</w:t>
            </w:r>
          </w:p>
          <w:p w:rsidR="00000000" w:rsidP="00BC62F4">
            <w:pPr>
              <w:pStyle w:val="BodyText"/>
              <w:rPr>
                <w:lang w:val="en-NZ"/>
              </w:rPr>
            </w:pPr>
            <w:r w:rsidRPr="00BC62F4">
              <w:t>Participants are best equipped to achieve competency in this unit if they have reading, writing and numeracy skills indicated by the following scales. Description of ea</w:t>
            </w:r>
            <w:r w:rsidRPr="00BC62F4">
              <w:t>ch scale is given in Volume 2, Part 3 'Literacy and Numeracy'</w:t>
            </w:r>
          </w:p>
        </w:tc>
      </w:tr>
      <w:tr w:rsidTr="00A26458">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BC62F4">
            <w:pPr>
              <w:pStyle w:val="BodyText"/>
              <w:rPr>
                <w:lang w:val="en-NZ"/>
              </w:rPr>
            </w:pPr>
            <w:r w:rsidRPr="00BC62F4">
              <w:t>Reading</w:t>
            </w:r>
          </w:p>
        </w:tc>
        <w:tc>
          <w:tcPr>
            <w:tcW w:w="1182" w:type="dxa"/>
            <w:tcBorders>
              <w:top w:val="nil"/>
              <w:left w:val="nil"/>
              <w:bottom w:val="nil"/>
              <w:right w:val="nil"/>
            </w:tcBorders>
            <w:tcMar>
              <w:top w:w="0" w:type="dxa"/>
              <w:left w:w="62" w:type="dxa"/>
              <w:bottom w:w="0" w:type="dxa"/>
              <w:right w:w="62" w:type="dxa"/>
            </w:tcMar>
          </w:tcPr>
          <w:p w:rsidR="00000000" w:rsidP="00BC62F4">
            <w:pPr>
              <w:pStyle w:val="BodyText"/>
              <w:rPr>
                <w:lang w:val="en-NZ"/>
              </w:rPr>
            </w:pPr>
            <w:r w:rsidRPr="00BC62F4">
              <w:t>5</w:t>
            </w:r>
          </w:p>
        </w:tc>
        <w:tc>
          <w:tcPr>
            <w:tcW w:w="1739" w:type="dxa"/>
            <w:tcBorders>
              <w:top w:val="nil"/>
              <w:left w:val="nil"/>
              <w:bottom w:val="nil"/>
              <w:right w:val="nil"/>
            </w:tcBorders>
            <w:tcMar>
              <w:top w:w="0" w:type="dxa"/>
              <w:left w:w="62" w:type="dxa"/>
              <w:bottom w:w="0" w:type="dxa"/>
              <w:right w:w="62" w:type="dxa"/>
            </w:tcMar>
          </w:tcPr>
          <w:p w:rsidR="00000000" w:rsidP="00BC62F4">
            <w:pPr>
              <w:pStyle w:val="BodyText"/>
              <w:rPr>
                <w:lang w:val="en-NZ"/>
              </w:rPr>
            </w:pPr>
            <w:r w:rsidRPr="00BC62F4">
              <w:t>Writing</w:t>
            </w:r>
          </w:p>
        </w:tc>
        <w:tc>
          <w:tcPr>
            <w:tcW w:w="1182" w:type="dxa"/>
            <w:tcBorders>
              <w:top w:val="nil"/>
              <w:left w:val="nil"/>
              <w:bottom w:val="nil"/>
              <w:right w:val="nil"/>
            </w:tcBorders>
            <w:tcMar>
              <w:top w:w="0" w:type="dxa"/>
              <w:left w:w="62" w:type="dxa"/>
              <w:bottom w:w="0" w:type="dxa"/>
              <w:right w:w="62" w:type="dxa"/>
            </w:tcMar>
          </w:tcPr>
          <w:p w:rsidR="00000000" w:rsidP="00BC62F4">
            <w:pPr>
              <w:pStyle w:val="BodyText"/>
              <w:rPr>
                <w:lang w:val="en-NZ"/>
              </w:rPr>
            </w:pPr>
            <w:r w:rsidRPr="00BC62F4">
              <w:t>5</w:t>
            </w:r>
          </w:p>
        </w:tc>
        <w:tc>
          <w:tcPr>
            <w:tcW w:w="1721" w:type="dxa"/>
            <w:tcBorders>
              <w:top w:val="nil"/>
              <w:left w:val="nil"/>
              <w:bottom w:val="nil"/>
              <w:right w:val="nil"/>
            </w:tcBorders>
            <w:tcMar>
              <w:top w:w="0" w:type="dxa"/>
              <w:left w:w="62" w:type="dxa"/>
              <w:bottom w:w="0" w:type="dxa"/>
              <w:right w:w="62" w:type="dxa"/>
            </w:tcMar>
          </w:tcPr>
          <w:p w:rsidR="00000000" w:rsidP="00BC62F4">
            <w:pPr>
              <w:pStyle w:val="BodyText"/>
              <w:rPr>
                <w:lang w:val="en-NZ"/>
              </w:rPr>
            </w:pPr>
            <w:r w:rsidRPr="00BC62F4">
              <w:t>Numeracy</w:t>
            </w:r>
          </w:p>
        </w:tc>
        <w:tc>
          <w:tcPr>
            <w:tcW w:w="1182" w:type="dxa"/>
            <w:tcBorders>
              <w:top w:val="nil"/>
              <w:left w:val="nil"/>
              <w:bottom w:val="nil"/>
              <w:right w:val="nil"/>
            </w:tcBorders>
            <w:tcMar>
              <w:top w:w="0" w:type="dxa"/>
              <w:left w:w="62" w:type="dxa"/>
              <w:bottom w:w="0" w:type="dxa"/>
              <w:right w:w="62" w:type="dxa"/>
            </w:tcMar>
          </w:tcPr>
          <w:p w:rsidR="00000000" w:rsidRPr="00BC62F4" w:rsidP="00BC62F4">
            <w:pPr>
              <w:pStyle w:val="BodyText"/>
            </w:pPr>
            <w:r w:rsidRPr="00BC62F4">
              <w:t>5</w:t>
            </w:r>
          </w:p>
        </w:tc>
      </w:tr>
    </w:tbl>
    <w:p w:rsidR="00A26458" w:rsidP="00BC62F4">
      <w:pPr>
        <w:pStyle w:val="BodyText"/>
      </w:pPr>
    </w:p>
    <w:p w:rsidR="00A26458" w:rsidP="00BC62F4">
      <w:pPr>
        <w:pStyle w:val="BodyText"/>
      </w:pPr>
    </w:p>
    <w:p w:rsidR="00000000" w:rsidRPr="00BC62F4" w:rsidP="00BC62F4">
      <w:pPr>
        <w:pStyle w:val="Heading1"/>
      </w:pPr>
      <w:bookmarkStart w:id="14" w:name="O_437777"/>
      <w:bookmarkEnd w:id="14"/>
      <w:r w:rsidRPr="00BC62F4">
        <w:t>Custom Content Section</w:t>
      </w:r>
    </w:p>
    <w:tbl>
      <w:tblPr>
        <w:tblW w:w="0" w:type="auto"/>
        <w:tblLayout w:type="fixed"/>
        <w:tblCellMar>
          <w:left w:w="62" w:type="dxa"/>
          <w:right w:w="62" w:type="dxa"/>
        </w:tblCellMar>
        <w:tblLook w:val="0000"/>
      </w:tblPr>
      <w:tblGrid>
        <w:gridCol w:w="2700"/>
        <w:gridCol w:w="5760"/>
      </w:tblGrid>
      <w:tr w:rsidTr="00A2645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C62F4" w:rsidP="00BC62F4">
            <w:pPr>
              <w:pStyle w:val="BodyText"/>
            </w:pPr>
            <w:r w:rsidRPr="00BC62F4">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BC62F4">
            <w:pPr>
              <w:pStyle w:val="BodyText"/>
              <w:rPr>
                <w:lang w:val="en-NZ"/>
              </w:rPr>
            </w:pPr>
            <w:r w:rsidRPr="00BC62F4">
              <w:rPr>
                <w:rStyle w:val="SpecialBold"/>
              </w:rPr>
              <w:t>5</w:t>
            </w:r>
            <w:r w:rsidRPr="00BC62F4">
              <w:t>)</w:t>
            </w:r>
          </w:p>
        </w:tc>
      </w:tr>
      <w:tr w:rsidTr="00A2645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C62F4" w:rsidP="00BC62F4">
            <w:pPr>
              <w:pStyle w:val="BodyText"/>
            </w:pPr>
            <w:r w:rsidRPr="00BC62F4">
              <w:t>Electrotechnology</w:t>
            </w:r>
          </w:p>
        </w:tc>
      </w:tr>
    </w:tbl>
    <w:p w:rsidR="00A26458" w:rsidP="00BC62F4">
      <w:pPr>
        <w:pStyle w:val="BodyText"/>
      </w:pPr>
    </w:p>
    <w:p w:rsidR="00A26458" w:rsidP="00BC62F4">
      <w:pPr>
        <w:pStyle w:val="BodyText"/>
      </w:pPr>
    </w:p>
    <w:p w:rsidR="00000000" w:rsidRPr="00BC62F4" w:rsidP="00BC62F4"/>
    <w:sectPr w:rsidSect="00BC62F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2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26458" w:rsidP="00A2645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2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6458" w:rsidP="00BC62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A26458" w:rsidP="00BC62F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A26458" w:rsidP="00BC62F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2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26458" w:rsidP="00A2645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2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6458" w:rsidP="00BC62F4">
    <w:pPr>
      <w:pStyle w:val="Header"/>
      <w:framePr w:wrap="around"/>
    </w:pPr>
    <w:r>
      <w:fldChar w:fldCharType="begin"/>
    </w:r>
    <w:r>
      <w:instrText xml:space="preserve"> TITLE   \* MERGEFORMAT </w:instrText>
    </w:r>
    <w:r>
      <w:fldChar w:fldCharType="separate"/>
    </w:r>
    <w:r>
      <w:t>UEENEEE078B Contribute to risk management in electrotechnology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26458" w:rsidP="00BC62F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D7A13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F1AB2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6D816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62F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C62F4"/>
    <w:pPr>
      <w:spacing w:before="360" w:after="60"/>
      <w:outlineLvl w:val="0"/>
    </w:pPr>
    <w:rPr>
      <w:sz w:val="32"/>
    </w:rPr>
  </w:style>
  <w:style w:type="paragraph" w:styleId="Heading2">
    <w:name w:val="heading 2"/>
    <w:basedOn w:val="HeadingBase"/>
    <w:next w:val="BodyText"/>
    <w:link w:val="Heading2Char"/>
    <w:qFormat/>
    <w:rsid w:val="00BC62F4"/>
    <w:pPr>
      <w:keepLines/>
      <w:spacing w:before="240" w:after="120"/>
      <w:outlineLvl w:val="1"/>
    </w:pPr>
    <w:rPr>
      <w:sz w:val="28"/>
      <w:szCs w:val="40"/>
    </w:rPr>
  </w:style>
  <w:style w:type="paragraph" w:styleId="Heading3">
    <w:name w:val="heading 3"/>
    <w:basedOn w:val="HeadingBase"/>
    <w:next w:val="BodyText"/>
    <w:link w:val="Heading3Char"/>
    <w:qFormat/>
    <w:rsid w:val="00BC62F4"/>
    <w:pPr>
      <w:spacing w:before="180" w:after="120"/>
      <w:outlineLvl w:val="2"/>
    </w:pPr>
    <w:rPr>
      <w:spacing w:val="-10"/>
      <w:kern w:val="32"/>
    </w:rPr>
  </w:style>
  <w:style w:type="paragraph" w:styleId="Heading4">
    <w:name w:val="heading 4"/>
    <w:basedOn w:val="HeadingBase"/>
    <w:next w:val="BodyText"/>
    <w:link w:val="Heading4Char"/>
    <w:qFormat/>
    <w:rsid w:val="00BC62F4"/>
    <w:pPr>
      <w:spacing w:before="160" w:after="120"/>
      <w:outlineLvl w:val="3"/>
    </w:pPr>
    <w:rPr>
      <w:sz w:val="22"/>
    </w:rPr>
  </w:style>
  <w:style w:type="paragraph" w:styleId="Heading5">
    <w:name w:val="heading 5"/>
    <w:basedOn w:val="HeadingBase"/>
    <w:next w:val="Normal"/>
    <w:link w:val="Heading5Char"/>
    <w:qFormat/>
    <w:rsid w:val="00BC62F4"/>
    <w:pPr>
      <w:spacing w:before="80"/>
      <w:outlineLvl w:val="4"/>
    </w:pPr>
    <w:rPr>
      <w:color w:val="918585"/>
      <w:sz w:val="20"/>
    </w:rPr>
  </w:style>
  <w:style w:type="paragraph" w:styleId="Heading6">
    <w:name w:val="heading 6"/>
    <w:basedOn w:val="HeadingBase"/>
    <w:next w:val="Normal"/>
    <w:link w:val="Heading6Char"/>
    <w:qFormat/>
    <w:rsid w:val="00BC62F4"/>
    <w:pPr>
      <w:spacing w:before="60"/>
      <w:outlineLvl w:val="5"/>
    </w:pPr>
    <w:rPr>
      <w:color w:val="918585"/>
      <w:sz w:val="20"/>
    </w:rPr>
  </w:style>
  <w:style w:type="paragraph" w:styleId="Heading7">
    <w:name w:val="heading 7"/>
    <w:basedOn w:val="Normal"/>
    <w:next w:val="Normal"/>
    <w:link w:val="Heading7Char"/>
    <w:qFormat/>
    <w:rsid w:val="00BC62F4"/>
    <w:pPr>
      <w:ind w:left="720"/>
      <w:outlineLvl w:val="6"/>
    </w:pPr>
    <w:rPr>
      <w:i/>
    </w:rPr>
  </w:style>
  <w:style w:type="paragraph" w:styleId="Heading8">
    <w:name w:val="heading 8"/>
    <w:basedOn w:val="Normal"/>
    <w:next w:val="Normal"/>
    <w:link w:val="Heading8Char"/>
    <w:qFormat/>
    <w:rsid w:val="00BC62F4"/>
    <w:pPr>
      <w:ind w:left="720"/>
      <w:outlineLvl w:val="7"/>
    </w:pPr>
    <w:rPr>
      <w:i/>
    </w:rPr>
  </w:style>
  <w:style w:type="paragraph" w:styleId="Heading9">
    <w:name w:val="heading 9"/>
    <w:basedOn w:val="Normal"/>
    <w:next w:val="Normal"/>
    <w:link w:val="Heading9Char"/>
    <w:qFormat/>
    <w:rsid w:val="00BC62F4"/>
    <w:pPr>
      <w:ind w:left="720"/>
      <w:outlineLvl w:val="8"/>
    </w:pPr>
    <w:rPr>
      <w:i/>
    </w:rPr>
  </w:style>
  <w:style w:type="character" w:default="1" w:styleId="DefaultParagraphFont">
    <w:name w:val="Default Paragraph Font"/>
    <w:uiPriority w:val="1"/>
    <w:unhideWhenUsed/>
    <w:rsid w:val="00BC62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62F4"/>
  </w:style>
  <w:style w:type="character" w:customStyle="1" w:styleId="Heading1Char">
    <w:name w:val="Heading 1 Char"/>
    <w:basedOn w:val="DefaultParagraphFont"/>
    <w:link w:val="Heading1"/>
    <w:rsid w:val="00BC62F4"/>
    <w:rPr>
      <w:rFonts w:ascii="Times New Roman" w:eastAsia="Times New Roman" w:hAnsi="Times New Roman" w:cs="Times New Roman"/>
      <w:b/>
      <w:sz w:val="32"/>
      <w:szCs w:val="20"/>
      <w:lang w:eastAsia="en-US"/>
    </w:rPr>
  </w:style>
  <w:style w:type="paragraph" w:styleId="BodyText">
    <w:name w:val="Body Text"/>
    <w:basedOn w:val="Normal"/>
    <w:link w:val="BodyTextChar"/>
    <w:rsid w:val="00BC62F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C62F4"/>
    <w:rPr>
      <w:rFonts w:ascii="Times New Roman" w:eastAsia="Times New Roman" w:hAnsi="Times New Roman" w:cs="Times New Roman"/>
      <w:sz w:val="24"/>
      <w:lang w:val="en-US" w:eastAsia="en-US"/>
    </w:rPr>
  </w:style>
  <w:style w:type="paragraph" w:styleId="Footer">
    <w:name w:val="footer"/>
    <w:basedOn w:val="Normal"/>
    <w:link w:val="FooterChar"/>
    <w:rsid w:val="00BC62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62F4"/>
    <w:rPr>
      <w:rFonts w:ascii="Times New Roman" w:eastAsia="Times New Roman" w:hAnsi="Times New Roman" w:cs="Times New Roman"/>
      <w:sz w:val="16"/>
      <w:lang w:val="en-US" w:eastAsia="en-US"/>
    </w:rPr>
  </w:style>
  <w:style w:type="paragraph" w:styleId="ListBullet">
    <w:name w:val="List Bullet"/>
    <w:basedOn w:val="List"/>
    <w:rsid w:val="00BC62F4"/>
    <w:pPr>
      <w:numPr>
        <w:numId w:val="13"/>
      </w:numPr>
      <w:tabs>
        <w:tab w:val="clear" w:pos="340"/>
      </w:tabs>
      <w:spacing w:before="40" w:after="40"/>
    </w:pPr>
  </w:style>
  <w:style w:type="character" w:customStyle="1" w:styleId="SpecialBold">
    <w:name w:val="Special Bold"/>
    <w:basedOn w:val="DefaultParagraphFont"/>
    <w:rsid w:val="00BC62F4"/>
    <w:rPr>
      <w:b/>
      <w:spacing w:val="0"/>
    </w:rPr>
  </w:style>
  <w:style w:type="paragraph" w:styleId="ListBullet2">
    <w:name w:val="List Bullet 2"/>
    <w:basedOn w:val="List2"/>
    <w:rsid w:val="00BC62F4"/>
    <w:pPr>
      <w:numPr>
        <w:numId w:val="14"/>
      </w:numPr>
      <w:tabs>
        <w:tab w:val="clear" w:pos="680"/>
      </w:tabs>
    </w:pPr>
  </w:style>
  <w:style w:type="paragraph" w:styleId="Header">
    <w:name w:val="header"/>
    <w:basedOn w:val="Normal"/>
    <w:link w:val="HeaderChar"/>
    <w:rsid w:val="00BC62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62F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C62F4"/>
    <w:pPr>
      <w:spacing w:before="240" w:after="120"/>
      <w:outlineLvl w:val="0"/>
    </w:pPr>
    <w:rPr>
      <w:rFonts w:ascii="Times New Roman" w:hAnsi="Times New Roman"/>
      <w:b/>
      <w:sz w:val="28"/>
    </w:rPr>
  </w:style>
  <w:style w:type="paragraph" w:customStyle="1" w:styleId="AllowPageBreak">
    <w:name w:val="AllowPageBreak"/>
    <w:rsid w:val="00BC62F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C62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62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C62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C62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62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62F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C62F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C62F4"/>
    <w:rPr>
      <w:rFonts w:ascii="Courier New" w:eastAsia="Times New Roman" w:hAnsi="Courier New" w:cs="Times New Roman"/>
      <w:i/>
      <w:szCs w:val="20"/>
      <w:lang w:val="en-US" w:eastAsia="en-US"/>
    </w:rPr>
  </w:style>
  <w:style w:type="paragraph" w:customStyle="1" w:styleId="HeadingBase">
    <w:name w:val="Heading Base"/>
    <w:rsid w:val="00BC62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62F4"/>
    <w:pPr>
      <w:tabs>
        <w:tab w:val="right" w:leader="dot" w:pos="9072"/>
      </w:tabs>
      <w:ind w:left="567"/>
    </w:pPr>
    <w:rPr>
      <w:szCs w:val="22"/>
    </w:rPr>
  </w:style>
  <w:style w:type="paragraph" w:customStyle="1" w:styleId="TOCBase">
    <w:name w:val="TOC Base"/>
    <w:rsid w:val="00BC62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62F4"/>
    <w:pPr>
      <w:tabs>
        <w:tab w:val="right" w:leader="dot" w:pos="9072"/>
      </w:tabs>
      <w:spacing w:before="40" w:after="40"/>
      <w:ind w:left="284"/>
    </w:pPr>
    <w:rPr>
      <w:rFonts w:ascii="Times New Roman" w:hAnsi="Times New Roman"/>
    </w:rPr>
  </w:style>
  <w:style w:type="paragraph" w:styleId="TOC1">
    <w:name w:val="toc 1"/>
    <w:basedOn w:val="TOCBase"/>
    <w:next w:val="Normal"/>
    <w:rsid w:val="00BC62F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C62F4"/>
    <w:pPr>
      <w:spacing w:before="5040"/>
      <w:jc w:val="center"/>
    </w:pPr>
    <w:rPr>
      <w:sz w:val="48"/>
      <w:szCs w:val="72"/>
      <w:lang w:val="en-US"/>
    </w:rPr>
  </w:style>
  <w:style w:type="character" w:customStyle="1" w:styleId="TitleChar">
    <w:name w:val="Title Char"/>
    <w:basedOn w:val="DefaultParagraphFont"/>
    <w:link w:val="Title"/>
    <w:rsid w:val="00BC62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62F4"/>
    <w:pPr>
      <w:tabs>
        <w:tab w:val="left" w:pos="3600"/>
        <w:tab w:val="left" w:pos="3958"/>
      </w:tabs>
    </w:pPr>
  </w:style>
  <w:style w:type="paragraph" w:styleId="List">
    <w:name w:val="List"/>
    <w:basedOn w:val="BodyText"/>
    <w:next w:val="BodyText"/>
    <w:rsid w:val="00BC62F4"/>
    <w:pPr>
      <w:tabs>
        <w:tab w:val="left" w:pos="340"/>
      </w:tabs>
      <w:spacing w:before="60" w:after="60"/>
      <w:ind w:left="340" w:hanging="340"/>
    </w:pPr>
  </w:style>
  <w:style w:type="paragraph" w:customStyle="1" w:styleId="Note">
    <w:name w:val="Note"/>
    <w:basedOn w:val="BodyText"/>
    <w:rsid w:val="00BC62F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C62F4"/>
    <w:pPr>
      <w:framePr w:wrap="auto" w:hAnchor="text" w:y="6049"/>
    </w:pPr>
    <w:rPr>
      <w:color w:val="000000"/>
      <w:sz w:val="40"/>
    </w:rPr>
  </w:style>
  <w:style w:type="paragraph" w:customStyle="1" w:styleId="TOCTitle">
    <w:name w:val="TOCTitle"/>
    <w:basedOn w:val="Heading1"/>
    <w:rsid w:val="00BC62F4"/>
    <w:pPr>
      <w:spacing w:after="240"/>
      <w:jc w:val="center"/>
      <w:outlineLvl w:val="9"/>
    </w:pPr>
    <w:rPr>
      <w:caps/>
    </w:rPr>
  </w:style>
  <w:style w:type="paragraph" w:customStyle="1" w:styleId="Version">
    <w:name w:val="Version"/>
    <w:rsid w:val="00BC62F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C62F4"/>
    <w:pPr>
      <w:keepNext w:val="0"/>
      <w:tabs>
        <w:tab w:val="right" w:pos="4176"/>
      </w:tabs>
      <w:ind w:left="198" w:hanging="198"/>
    </w:pPr>
    <w:rPr>
      <w:rFonts w:ascii="Garamond" w:hAnsi="Garamond"/>
    </w:rPr>
  </w:style>
  <w:style w:type="paragraph" w:styleId="IndexHeading">
    <w:name w:val="index heading"/>
    <w:basedOn w:val="Normal"/>
    <w:next w:val="Index1"/>
    <w:semiHidden/>
    <w:rsid w:val="00BC62F4"/>
    <w:pPr>
      <w:spacing w:before="120" w:after="120"/>
    </w:pPr>
    <w:rPr>
      <w:rFonts w:ascii="Arial" w:hAnsi="Arial"/>
      <w:b/>
      <w:color w:val="918585"/>
      <w:sz w:val="24"/>
    </w:rPr>
  </w:style>
  <w:style w:type="paragraph" w:customStyle="1" w:styleId="Chapter">
    <w:name w:val="Chapter"/>
    <w:basedOn w:val="Normal"/>
    <w:rsid w:val="00BC62F4"/>
    <w:pPr>
      <w:spacing w:before="240"/>
    </w:pPr>
    <w:rPr>
      <w:rFonts w:ascii="Times New Roman" w:hAnsi="Times New Roman"/>
      <w:smallCaps/>
      <w:spacing w:val="80"/>
      <w:sz w:val="28"/>
    </w:rPr>
  </w:style>
  <w:style w:type="paragraph" w:customStyle="1" w:styleId="InChapter">
    <w:name w:val="InChapter"/>
    <w:basedOn w:val="Heading3"/>
    <w:rsid w:val="00BC62F4"/>
    <w:pPr>
      <w:spacing w:after="240"/>
      <w:outlineLvl w:val="9"/>
    </w:pPr>
    <w:rPr>
      <w:noProof/>
    </w:rPr>
  </w:style>
  <w:style w:type="paragraph" w:styleId="Index2">
    <w:name w:val="index 2"/>
    <w:basedOn w:val="Normal"/>
    <w:next w:val="Normal"/>
    <w:semiHidden/>
    <w:rsid w:val="00BC62F4"/>
    <w:pPr>
      <w:tabs>
        <w:tab w:val="right" w:pos="4176"/>
      </w:tabs>
      <w:ind w:left="568" w:hanging="284"/>
    </w:pPr>
    <w:rPr>
      <w:rFonts w:ascii="Garamond" w:hAnsi="Garamond"/>
    </w:rPr>
  </w:style>
  <w:style w:type="paragraph" w:customStyle="1" w:styleId="Byline">
    <w:name w:val="Byline"/>
    <w:rsid w:val="00BC62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62F4"/>
    <w:pPr>
      <w:tabs>
        <w:tab w:val="clear" w:pos="3600"/>
        <w:tab w:val="clear" w:pos="3958"/>
      </w:tabs>
      <w:jc w:val="right"/>
    </w:pPr>
  </w:style>
  <w:style w:type="character" w:styleId="Emphasis">
    <w:name w:val="Emphasis"/>
    <w:basedOn w:val="DefaultParagraphFont"/>
    <w:qFormat/>
    <w:rsid w:val="00BC62F4"/>
    <w:rPr>
      <w:i/>
    </w:rPr>
  </w:style>
  <w:style w:type="paragraph" w:styleId="Caption">
    <w:name w:val="caption"/>
    <w:basedOn w:val="BodyText"/>
    <w:next w:val="Normal"/>
    <w:qFormat/>
    <w:rsid w:val="00BC62F4"/>
    <w:pPr>
      <w:framePr w:w="2268" w:hSpace="181" w:vSpace="181" w:wrap="around" w:vAnchor="text" w:hAnchor="page" w:x="1135" w:y="285" w:anchorLock="1"/>
    </w:pPr>
    <w:rPr>
      <w:i/>
    </w:rPr>
  </w:style>
  <w:style w:type="paragraph" w:customStyle="1" w:styleId="MiniTOCTitle">
    <w:name w:val="MiniTOCTitle"/>
    <w:basedOn w:val="Heading4"/>
    <w:rsid w:val="00BC62F4"/>
    <w:pPr>
      <w:spacing w:before="240"/>
      <w:outlineLvl w:val="9"/>
    </w:pPr>
    <w:rPr>
      <w:noProof/>
      <w:sz w:val="24"/>
    </w:rPr>
  </w:style>
  <w:style w:type="paragraph" w:customStyle="1" w:styleId="MiniTOCItem">
    <w:name w:val="MiniTOCItem"/>
    <w:basedOn w:val="ListBullet"/>
    <w:rsid w:val="00BC62F4"/>
    <w:pPr>
      <w:numPr>
        <w:numId w:val="0"/>
      </w:numPr>
      <w:tabs>
        <w:tab w:val="right" w:leader="dot" w:pos="6521"/>
      </w:tabs>
      <w:spacing w:before="0" w:after="0"/>
    </w:pPr>
  </w:style>
  <w:style w:type="paragraph" w:customStyle="1" w:styleId="TOFTitle">
    <w:name w:val="TOFTitle"/>
    <w:basedOn w:val="TOCTitle"/>
    <w:rsid w:val="00BC62F4"/>
  </w:style>
  <w:style w:type="paragraph" w:styleId="TableofFigures">
    <w:name w:val="table of figures"/>
    <w:basedOn w:val="Normal"/>
    <w:next w:val="Normal"/>
    <w:semiHidden/>
    <w:rsid w:val="00BC62F4"/>
    <w:pPr>
      <w:tabs>
        <w:tab w:val="right" w:leader="dot" w:pos="9072"/>
      </w:tabs>
      <w:ind w:left="970" w:hanging="403"/>
    </w:pPr>
    <w:rPr>
      <w:rFonts w:ascii="Times New Roman" w:hAnsi="Times New Roman"/>
      <w:b/>
    </w:rPr>
  </w:style>
  <w:style w:type="paragraph" w:styleId="ListNumber">
    <w:name w:val="List Number"/>
    <w:basedOn w:val="List"/>
    <w:rsid w:val="00BC62F4"/>
    <w:pPr>
      <w:numPr>
        <w:numId w:val="11"/>
      </w:numPr>
    </w:pPr>
  </w:style>
  <w:style w:type="character" w:customStyle="1" w:styleId="WingdingSymbols">
    <w:name w:val="Wingding Symbols"/>
    <w:rsid w:val="00BC62F4"/>
    <w:rPr>
      <w:rFonts w:ascii="Wingdings" w:hAnsi="Wingdings"/>
    </w:rPr>
  </w:style>
  <w:style w:type="paragraph" w:customStyle="1" w:styleId="TableHeading">
    <w:name w:val="Table Heading"/>
    <w:basedOn w:val="HeadingBase"/>
    <w:rsid w:val="00BC62F4"/>
    <w:pPr>
      <w:keepLines/>
      <w:pBdr>
        <w:bottom w:val="single" w:sz="6" w:space="1" w:color="918585"/>
      </w:pBdr>
      <w:spacing w:before="240"/>
    </w:pPr>
  </w:style>
  <w:style w:type="character" w:customStyle="1" w:styleId="HotSpot">
    <w:name w:val="HotSpot"/>
    <w:rsid w:val="00BC62F4"/>
    <w:rPr>
      <w:color w:val="0033CC"/>
      <w:u w:val="none"/>
    </w:rPr>
  </w:style>
  <w:style w:type="paragraph" w:customStyle="1" w:styleId="BodyTextRight">
    <w:name w:val="Body Text Right"/>
    <w:basedOn w:val="BodyText"/>
    <w:rsid w:val="00BC62F4"/>
    <w:pPr>
      <w:spacing w:before="0" w:after="0"/>
      <w:jc w:val="right"/>
    </w:pPr>
  </w:style>
  <w:style w:type="paragraph" w:styleId="Index3">
    <w:name w:val="index 3"/>
    <w:basedOn w:val="ListNumber2"/>
    <w:next w:val="Normal"/>
    <w:semiHidden/>
    <w:rsid w:val="00BC62F4"/>
    <w:pPr>
      <w:numPr>
        <w:numId w:val="0"/>
      </w:numPr>
      <w:tabs>
        <w:tab w:val="right" w:leader="dot" w:pos="4176"/>
      </w:tabs>
    </w:pPr>
  </w:style>
  <w:style w:type="paragraph" w:styleId="ListNumber2">
    <w:name w:val="List Number 2"/>
    <w:basedOn w:val="List2"/>
    <w:rsid w:val="00BC62F4"/>
    <w:pPr>
      <w:numPr>
        <w:numId w:val="10"/>
      </w:numPr>
      <w:tabs>
        <w:tab w:val="clear" w:pos="1060"/>
      </w:tabs>
    </w:pPr>
  </w:style>
  <w:style w:type="paragraph" w:customStyle="1" w:styleId="MarginNote">
    <w:name w:val="Margin Note"/>
    <w:basedOn w:val="BodyText"/>
    <w:rsid w:val="00BC62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62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62F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C62F4"/>
    <w:rPr>
      <w:sz w:val="32"/>
    </w:rPr>
  </w:style>
  <w:style w:type="paragraph" w:customStyle="1" w:styleId="HeadingProcedure">
    <w:name w:val="Heading Procedure"/>
    <w:basedOn w:val="HeadingBase"/>
    <w:next w:val="Normal"/>
    <w:rsid w:val="00BC62F4"/>
    <w:pPr>
      <w:tabs>
        <w:tab w:val="left" w:pos="0"/>
      </w:tabs>
      <w:spacing w:before="120" w:after="60"/>
    </w:pPr>
    <w:rPr>
      <w:i/>
      <w:color w:val="918585"/>
      <w:sz w:val="22"/>
    </w:rPr>
  </w:style>
  <w:style w:type="paragraph" w:customStyle="1" w:styleId="TableBodyText">
    <w:name w:val="Table Body Text"/>
    <w:basedOn w:val="BodyText"/>
    <w:rsid w:val="00BC62F4"/>
    <w:pPr>
      <w:spacing w:before="60" w:after="60"/>
    </w:pPr>
  </w:style>
  <w:style w:type="paragraph" w:styleId="ListContinue">
    <w:name w:val="List Continue"/>
    <w:basedOn w:val="List"/>
    <w:rsid w:val="00BC62F4"/>
    <w:pPr>
      <w:ind w:firstLine="0"/>
    </w:pPr>
  </w:style>
  <w:style w:type="paragraph" w:customStyle="1" w:styleId="ListNote">
    <w:name w:val="List Note"/>
    <w:basedOn w:val="List"/>
    <w:rsid w:val="00BC62F4"/>
    <w:pPr>
      <w:pBdr>
        <w:top w:val="single" w:sz="6" w:space="2" w:color="918585"/>
        <w:bottom w:val="single" w:sz="6" w:space="2" w:color="918585"/>
      </w:pBdr>
      <w:tabs>
        <w:tab w:val="left" w:pos="1021"/>
      </w:tabs>
      <w:ind w:firstLine="0"/>
    </w:pPr>
  </w:style>
  <w:style w:type="paragraph" w:customStyle="1" w:styleId="Warning">
    <w:name w:val="Warning"/>
    <w:basedOn w:val="BodyText"/>
    <w:rsid w:val="00BC62F4"/>
    <w:pPr>
      <w:shd w:val="clear" w:color="auto" w:fill="D9D9D9"/>
      <w:tabs>
        <w:tab w:val="left" w:pos="992"/>
      </w:tabs>
      <w:ind w:left="119" w:right="119"/>
    </w:pPr>
    <w:rPr>
      <w:sz w:val="20"/>
    </w:rPr>
  </w:style>
  <w:style w:type="paragraph" w:customStyle="1" w:styleId="MarginIcons">
    <w:name w:val="Margin Icons"/>
    <w:basedOn w:val="BodyText"/>
    <w:rsid w:val="00BC62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62F4"/>
    <w:rPr>
      <w:rFonts w:ascii="Courier New" w:hAnsi="Courier New"/>
    </w:rPr>
  </w:style>
  <w:style w:type="paragraph" w:customStyle="1" w:styleId="NoteBullet">
    <w:name w:val="Note Bullet"/>
    <w:basedOn w:val="Note"/>
    <w:rsid w:val="00BC62F4"/>
    <w:pPr>
      <w:tabs>
        <w:tab w:val="clear" w:pos="680"/>
      </w:tabs>
      <w:spacing w:before="60" w:after="60"/>
    </w:pPr>
  </w:style>
  <w:style w:type="paragraph" w:customStyle="1" w:styleId="SubHeading2">
    <w:name w:val="SubHeading2"/>
    <w:basedOn w:val="HeadingBase"/>
    <w:rsid w:val="00BC62F4"/>
    <w:pPr>
      <w:spacing w:before="240" w:after="60"/>
    </w:pPr>
    <w:rPr>
      <w:sz w:val="20"/>
    </w:rPr>
  </w:style>
  <w:style w:type="paragraph" w:customStyle="1" w:styleId="SubHeading1">
    <w:name w:val="SubHeading1"/>
    <w:basedOn w:val="HeadingBase"/>
    <w:rsid w:val="00BC62F4"/>
    <w:pPr>
      <w:spacing w:before="240" w:after="60"/>
    </w:pPr>
    <w:rPr>
      <w:color w:val="918585"/>
      <w:sz w:val="22"/>
    </w:rPr>
  </w:style>
  <w:style w:type="paragraph" w:customStyle="1" w:styleId="SideHeading">
    <w:name w:val="Side Heading"/>
    <w:basedOn w:val="HeadingBase"/>
    <w:rsid w:val="00BC62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62F4"/>
    <w:pPr>
      <w:numPr>
        <w:numId w:val="12"/>
      </w:numPr>
    </w:pPr>
  </w:style>
  <w:style w:type="paragraph" w:styleId="PlainText">
    <w:name w:val="Plain Text"/>
    <w:basedOn w:val="Normal"/>
    <w:link w:val="PlainTextChar"/>
    <w:rsid w:val="00BC62F4"/>
    <w:rPr>
      <w:sz w:val="20"/>
    </w:rPr>
  </w:style>
  <w:style w:type="character" w:customStyle="1" w:styleId="PlainTextChar">
    <w:name w:val="Plain Text Char"/>
    <w:basedOn w:val="DefaultParagraphFont"/>
    <w:link w:val="PlainText"/>
    <w:rsid w:val="00BC62F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C62F4"/>
    <w:rPr>
      <w:b/>
      <w:smallCaps/>
    </w:rPr>
  </w:style>
  <w:style w:type="paragraph" w:customStyle="1" w:styleId="TableListNumber">
    <w:name w:val="Table List Number"/>
    <w:basedOn w:val="ListNumber"/>
    <w:rsid w:val="00BC62F4"/>
    <w:pPr>
      <w:numPr>
        <w:numId w:val="0"/>
      </w:numPr>
    </w:pPr>
  </w:style>
  <w:style w:type="paragraph" w:styleId="TOC4">
    <w:name w:val="toc 4"/>
    <w:basedOn w:val="TOCBase"/>
    <w:next w:val="Normal"/>
    <w:semiHidden/>
    <w:rsid w:val="00BC62F4"/>
    <w:pPr>
      <w:tabs>
        <w:tab w:val="right" w:leader="dot" w:pos="9071"/>
      </w:tabs>
      <w:ind w:left="1701"/>
    </w:pPr>
  </w:style>
  <w:style w:type="paragraph" w:customStyle="1" w:styleId="ListAlpha">
    <w:name w:val="List Alpha"/>
    <w:basedOn w:val="List"/>
    <w:rsid w:val="00BC62F4"/>
    <w:pPr>
      <w:numPr>
        <w:numId w:val="9"/>
      </w:numPr>
    </w:pPr>
  </w:style>
  <w:style w:type="paragraph" w:customStyle="1" w:styleId="ListAlpha2">
    <w:name w:val="List Alpha 2"/>
    <w:basedOn w:val="List2"/>
    <w:rsid w:val="00BC62F4"/>
    <w:pPr>
      <w:numPr>
        <w:numId w:val="8"/>
      </w:numPr>
    </w:pPr>
  </w:style>
  <w:style w:type="paragraph" w:styleId="List2">
    <w:name w:val="List 2"/>
    <w:basedOn w:val="BodyText"/>
    <w:rsid w:val="00BC62F4"/>
    <w:pPr>
      <w:tabs>
        <w:tab w:val="left" w:pos="680"/>
      </w:tabs>
      <w:spacing w:before="60" w:after="60"/>
      <w:ind w:left="680" w:hanging="340"/>
    </w:pPr>
  </w:style>
  <w:style w:type="paragraph" w:styleId="List3">
    <w:name w:val="List 3"/>
    <w:basedOn w:val="BodyText"/>
    <w:rsid w:val="00BC62F4"/>
    <w:pPr>
      <w:tabs>
        <w:tab w:val="left" w:pos="1021"/>
      </w:tabs>
      <w:spacing w:before="60" w:after="60"/>
      <w:ind w:left="1020" w:hanging="340"/>
    </w:pPr>
  </w:style>
  <w:style w:type="paragraph" w:styleId="List4">
    <w:name w:val="List 4"/>
    <w:basedOn w:val="BodyText"/>
    <w:rsid w:val="00BC62F4"/>
    <w:pPr>
      <w:tabs>
        <w:tab w:val="left" w:pos="1361"/>
      </w:tabs>
      <w:spacing w:before="60" w:after="60"/>
      <w:ind w:left="1361" w:hanging="340"/>
    </w:pPr>
  </w:style>
  <w:style w:type="paragraph" w:styleId="List5">
    <w:name w:val="List 5"/>
    <w:basedOn w:val="BodyText"/>
    <w:rsid w:val="00BC62F4"/>
    <w:pPr>
      <w:tabs>
        <w:tab w:val="left" w:pos="1701"/>
      </w:tabs>
      <w:spacing w:before="60" w:after="60"/>
      <w:ind w:left="1701" w:hanging="340"/>
    </w:pPr>
  </w:style>
  <w:style w:type="paragraph" w:styleId="ListBullet3">
    <w:name w:val="List Bullet 3"/>
    <w:basedOn w:val="List3"/>
    <w:rsid w:val="00BC62F4"/>
    <w:pPr>
      <w:numPr>
        <w:numId w:val="15"/>
      </w:numPr>
      <w:tabs>
        <w:tab w:val="clear" w:pos="1021"/>
      </w:tabs>
      <w:ind w:left="1037" w:hanging="357"/>
    </w:pPr>
  </w:style>
  <w:style w:type="paragraph" w:styleId="ListBullet4">
    <w:name w:val="List Bullet 4"/>
    <w:basedOn w:val="List4"/>
    <w:rsid w:val="00BC62F4"/>
    <w:pPr>
      <w:numPr>
        <w:numId w:val="3"/>
      </w:numPr>
    </w:pPr>
  </w:style>
  <w:style w:type="paragraph" w:styleId="ListBullet5">
    <w:name w:val="List Bullet 5"/>
    <w:basedOn w:val="List5"/>
    <w:rsid w:val="00BC62F4"/>
    <w:pPr>
      <w:numPr>
        <w:numId w:val="4"/>
      </w:numPr>
    </w:pPr>
  </w:style>
  <w:style w:type="paragraph" w:styleId="ListContinue2">
    <w:name w:val="List Continue 2"/>
    <w:basedOn w:val="List2"/>
    <w:rsid w:val="00BC62F4"/>
    <w:pPr>
      <w:ind w:firstLine="0"/>
    </w:pPr>
  </w:style>
  <w:style w:type="paragraph" w:styleId="ListContinue3">
    <w:name w:val="List Continue 3"/>
    <w:basedOn w:val="List3"/>
    <w:rsid w:val="00BC62F4"/>
    <w:pPr>
      <w:ind w:left="1021" w:firstLine="0"/>
    </w:pPr>
  </w:style>
  <w:style w:type="paragraph" w:styleId="ListContinue4">
    <w:name w:val="List Continue 4"/>
    <w:basedOn w:val="List4"/>
    <w:rsid w:val="00BC62F4"/>
    <w:pPr>
      <w:ind w:firstLine="0"/>
    </w:pPr>
  </w:style>
  <w:style w:type="paragraph" w:styleId="ListContinue5">
    <w:name w:val="List Continue 5"/>
    <w:basedOn w:val="List5"/>
    <w:rsid w:val="00BC62F4"/>
    <w:pPr>
      <w:ind w:firstLine="0"/>
    </w:pPr>
  </w:style>
  <w:style w:type="paragraph" w:styleId="ListNumber3">
    <w:name w:val="List Number 3"/>
    <w:basedOn w:val="List3"/>
    <w:rsid w:val="00BC62F4"/>
    <w:pPr>
      <w:numPr>
        <w:numId w:val="5"/>
      </w:numPr>
    </w:pPr>
  </w:style>
  <w:style w:type="paragraph" w:styleId="ListNumber4">
    <w:name w:val="List Number 4"/>
    <w:basedOn w:val="List4"/>
    <w:rsid w:val="00BC62F4"/>
    <w:pPr>
      <w:numPr>
        <w:numId w:val="6"/>
      </w:numPr>
    </w:pPr>
  </w:style>
  <w:style w:type="paragraph" w:styleId="ListNumber5">
    <w:name w:val="List Number 5"/>
    <w:basedOn w:val="List5"/>
    <w:rsid w:val="00BC62F4"/>
    <w:pPr>
      <w:numPr>
        <w:numId w:val="7"/>
      </w:numPr>
    </w:pPr>
  </w:style>
  <w:style w:type="paragraph" w:styleId="BlockText">
    <w:name w:val="Block Text"/>
    <w:basedOn w:val="Normal"/>
    <w:rsid w:val="00BC62F4"/>
    <w:pPr>
      <w:spacing w:after="120"/>
      <w:ind w:left="1440" w:right="1440"/>
    </w:pPr>
  </w:style>
  <w:style w:type="character" w:customStyle="1" w:styleId="Subscript">
    <w:name w:val="Subscript"/>
    <w:basedOn w:val="DefaultParagraphFont"/>
    <w:rsid w:val="00BC62F4"/>
    <w:rPr>
      <w:sz w:val="16"/>
      <w:vertAlign w:val="subscript"/>
    </w:rPr>
  </w:style>
  <w:style w:type="character" w:customStyle="1" w:styleId="Superscript">
    <w:name w:val="Superscript"/>
    <w:basedOn w:val="DefaultParagraphFont"/>
    <w:rsid w:val="00BC62F4"/>
    <w:rPr>
      <w:sz w:val="16"/>
      <w:vertAlign w:val="superscript"/>
    </w:rPr>
  </w:style>
  <w:style w:type="character" w:customStyle="1" w:styleId="Symbols">
    <w:name w:val="Symbols"/>
    <w:basedOn w:val="DefaultParagraphFont"/>
    <w:rsid w:val="00BC62F4"/>
    <w:rPr>
      <w:rFonts w:ascii="Symbol" w:hAnsi="Symbol"/>
    </w:rPr>
  </w:style>
  <w:style w:type="character" w:customStyle="1" w:styleId="MenuOptions">
    <w:name w:val="Menu Options"/>
    <w:basedOn w:val="DefaultParagraphFont"/>
    <w:rsid w:val="00BC62F4"/>
    <w:rPr>
      <w:rFonts w:ascii="Arial Narrow" w:hAnsi="Arial Narrow"/>
      <w:smallCaps/>
    </w:rPr>
  </w:style>
  <w:style w:type="character" w:customStyle="1" w:styleId="Buttons">
    <w:name w:val="Buttons"/>
    <w:basedOn w:val="DefaultParagraphFont"/>
    <w:rsid w:val="00BC62F4"/>
    <w:rPr>
      <w:b/>
    </w:rPr>
  </w:style>
  <w:style w:type="character" w:customStyle="1" w:styleId="Underlined">
    <w:name w:val="Underlined"/>
    <w:basedOn w:val="DefaultParagraphFont"/>
    <w:rsid w:val="00BC62F4"/>
    <w:rPr>
      <w:u w:val="single"/>
    </w:rPr>
  </w:style>
  <w:style w:type="paragraph" w:customStyle="1" w:styleId="TableBodyTextRight">
    <w:name w:val="Table Body Text Right"/>
    <w:basedOn w:val="TableBodyText"/>
    <w:rsid w:val="00BC62F4"/>
    <w:pPr>
      <w:widowControl w:val="0"/>
      <w:autoSpaceDE w:val="0"/>
      <w:autoSpaceDN w:val="0"/>
      <w:adjustRightInd w:val="0"/>
      <w:jc w:val="right"/>
    </w:pPr>
    <w:rPr>
      <w:rFonts w:cs="Arial"/>
      <w:szCs w:val="18"/>
    </w:rPr>
  </w:style>
  <w:style w:type="paragraph" w:customStyle="1" w:styleId="CopyrightText">
    <w:name w:val="Copyright Text"/>
    <w:basedOn w:val="BodyText"/>
    <w:rsid w:val="00BC62F4"/>
    <w:rPr>
      <w:sz w:val="18"/>
    </w:rPr>
  </w:style>
  <w:style w:type="paragraph" w:customStyle="1" w:styleId="BodySmallRight">
    <w:name w:val="Body Small Right"/>
    <w:basedOn w:val="BodyTextRight"/>
    <w:rsid w:val="00BC62F4"/>
    <w:rPr>
      <w:sz w:val="18"/>
      <w:szCs w:val="18"/>
    </w:rPr>
  </w:style>
  <w:style w:type="paragraph" w:customStyle="1" w:styleId="MarginEdition">
    <w:name w:val="Margin Edition"/>
    <w:basedOn w:val="MarginNote"/>
    <w:rsid w:val="00BC62F4"/>
    <w:pPr>
      <w:spacing w:before="0" w:after="0"/>
    </w:pPr>
    <w:rPr>
      <w:rFonts w:ascii="Times New Roman" w:hAnsi="Times New Roman"/>
      <w:color w:val="999999"/>
    </w:rPr>
  </w:style>
  <w:style w:type="paragraph" w:customStyle="1" w:styleId="Spacer">
    <w:name w:val="Spacer"/>
    <w:basedOn w:val="Normal"/>
    <w:rsid w:val="00BC62F4"/>
    <w:rPr>
      <w:sz w:val="2"/>
      <w:szCs w:val="2"/>
    </w:rPr>
  </w:style>
  <w:style w:type="character" w:customStyle="1" w:styleId="Small">
    <w:name w:val="Small"/>
    <w:basedOn w:val="DefaultParagraphFont"/>
    <w:rsid w:val="00BC62F4"/>
    <w:rPr>
      <w:sz w:val="16"/>
    </w:rPr>
  </w:style>
  <w:style w:type="paragraph" w:customStyle="1" w:styleId="WideTable">
    <w:name w:val="Wide Table"/>
    <w:basedOn w:val="Normal"/>
    <w:rsid w:val="00BC62F4"/>
    <w:pPr>
      <w:ind w:left="-1418"/>
    </w:pPr>
    <w:rPr>
      <w:sz w:val="2"/>
      <w:szCs w:val="2"/>
    </w:rPr>
  </w:style>
  <w:style w:type="character" w:styleId="PageNumber">
    <w:name w:val="page number"/>
    <w:basedOn w:val="DefaultParagraphFont"/>
    <w:rsid w:val="00BC62F4"/>
  </w:style>
  <w:style w:type="paragraph" w:styleId="Quote">
    <w:name w:val="Quote"/>
    <w:basedOn w:val="Heading1"/>
    <w:link w:val="QuoteChar"/>
    <w:qFormat/>
    <w:rsid w:val="00BC62F4"/>
    <w:rPr>
      <w:b w:val="0"/>
      <w:sz w:val="72"/>
      <w:szCs w:val="72"/>
      <w:lang w:val="en-NZ"/>
    </w:rPr>
  </w:style>
  <w:style w:type="character" w:customStyle="1" w:styleId="QuoteChar">
    <w:name w:val="Quote Char"/>
    <w:basedOn w:val="DefaultParagraphFont"/>
    <w:link w:val="Quote"/>
    <w:rsid w:val="00BC62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62F4"/>
    <w:pPr>
      <w:pageBreakBefore/>
    </w:pPr>
  </w:style>
  <w:style w:type="paragraph" w:customStyle="1" w:styleId="Border">
    <w:name w:val="Border"/>
    <w:basedOn w:val="Normal"/>
    <w:qFormat/>
    <w:rsid w:val="00BC62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62F4"/>
    <w:rPr>
      <w:b/>
      <w:bCs/>
      <w:i/>
      <w:iCs/>
      <w:color w:val="auto"/>
    </w:rPr>
  </w:style>
  <w:style w:type="paragraph" w:styleId="IntenseQuote">
    <w:name w:val="Intense Quote"/>
    <w:basedOn w:val="Normal"/>
    <w:next w:val="Normal"/>
    <w:link w:val="IntenseQuoteChar"/>
    <w:uiPriority w:val="30"/>
    <w:qFormat/>
    <w:rsid w:val="00BC62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62F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C62F4"/>
    <w:rPr>
      <w:smallCaps/>
      <w:color w:val="auto"/>
      <w:u w:val="single"/>
    </w:rPr>
  </w:style>
  <w:style w:type="character" w:styleId="IntenseReference">
    <w:name w:val="Intense Reference"/>
    <w:basedOn w:val="DefaultParagraphFont"/>
    <w:uiPriority w:val="32"/>
    <w:qFormat/>
    <w:rsid w:val="00BC62F4"/>
    <w:rPr>
      <w:b/>
      <w:bCs/>
      <w:smallCaps/>
      <w:color w:val="auto"/>
      <w:spacing w:val="5"/>
      <w:u w:val="single"/>
    </w:rPr>
  </w:style>
  <w:style w:type="paragraph" w:customStyle="1" w:styleId="2ColumnHeading">
    <w:name w:val="2Column Heading"/>
    <w:basedOn w:val="BodyText"/>
    <w:qFormat/>
    <w:rsid w:val="00BC62F4"/>
    <w:pPr>
      <w:spacing w:after="60"/>
      <w:ind w:left="-2268"/>
    </w:pPr>
    <w:rPr>
      <w:b/>
    </w:rPr>
  </w:style>
  <w:style w:type="paragraph" w:customStyle="1" w:styleId="Heading1TOC">
    <w:name w:val="Heading1 TOC"/>
    <w:basedOn w:val="Normal"/>
    <w:qFormat/>
    <w:rsid w:val="00BC62F4"/>
    <w:pPr>
      <w:spacing w:before="240" w:after="120"/>
    </w:pPr>
    <w:rPr>
      <w:rFonts w:ascii="Times New Roman" w:hAnsi="Times New Roman"/>
      <w:b/>
      <w:sz w:val="32"/>
    </w:rPr>
  </w:style>
  <w:style w:type="paragraph" w:customStyle="1" w:styleId="Heading2TOC">
    <w:name w:val="Heading2 TOC"/>
    <w:basedOn w:val="Normal"/>
    <w:qFormat/>
    <w:rsid w:val="00BC62F4"/>
    <w:pPr>
      <w:spacing w:before="240" w:after="60"/>
    </w:pPr>
    <w:rPr>
      <w:rFonts w:ascii="Times New Roman" w:hAnsi="Times New Roman"/>
      <w:b/>
      <w:sz w:val="28"/>
    </w:rPr>
  </w:style>
  <w:style w:type="character" w:customStyle="1" w:styleId="Underline">
    <w:name w:val="Underline"/>
    <w:basedOn w:val="DefaultParagraphFont"/>
    <w:qFormat/>
    <w:rsid w:val="00BC62F4"/>
    <w:rPr>
      <w:u w:val="single"/>
    </w:rPr>
  </w:style>
  <w:style w:type="character" w:customStyle="1" w:styleId="BoldandItalics">
    <w:name w:val="Bold and Italics"/>
    <w:qFormat/>
    <w:rsid w:val="00BC62F4"/>
    <w:rPr>
      <w:b/>
      <w:i/>
      <w:u w:val="none"/>
    </w:rPr>
  </w:style>
  <w:style w:type="paragraph" w:styleId="BalloonText">
    <w:name w:val="Balloon Text"/>
    <w:basedOn w:val="Normal"/>
    <w:link w:val="BalloonTextChar"/>
    <w:rsid w:val="00BC62F4"/>
    <w:rPr>
      <w:rFonts w:ascii="Tahoma" w:hAnsi="Tahoma" w:cs="Tahoma"/>
      <w:sz w:val="16"/>
      <w:szCs w:val="16"/>
    </w:rPr>
  </w:style>
  <w:style w:type="character" w:customStyle="1" w:styleId="BalloonTextChar">
    <w:name w:val="Balloon Text Char"/>
    <w:basedOn w:val="DefaultParagraphFont"/>
    <w:link w:val="BalloonText"/>
    <w:rsid w:val="00BC62F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C62F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C62F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1953</Words>
  <Characters>11986</Characters>
  <Application>Microsoft Office Word</Application>
  <DocSecurity>0</DocSecurity>
  <Lines>438</Lines>
  <Paragraphs>170</Paragraphs>
  <ScaleCrop>false</ScaleCrop>
  <Company>Author-it Software Corporation Ltd.</Company>
  <LinksUpToDate>false</LinksUpToDate>
  <CharactersWithSpaces>13858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UEENEEE078B Contribute to risk management in electrotechnology systems</dc:title>
  <dc:subject>Approved</dc:subject>
  <dc:creator>EE-Oz Training Standards</dc:creator>
  <cp:keywords>Release: 2</cp:keywords>
  <dc:description>Copyright © 1996-2007 Author-it Software Corporation Ltd., all rights reserved.</dc:description>
  <cp:lastModifiedBy>Windows User</cp:lastModifiedBy>
  <cp:revision>3</cp:revision>
  <dcterms:created xsi:type="dcterms:W3CDTF">2012-05-26T10:52:00Z</dcterms:created>
  <dcterms:modified xsi:type="dcterms:W3CDTF">2012-05-26T10:52:00Z</dcterms:modified>
</cp:coreProperties>
</file>