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F9D" w:rsidP="000C0F9D">
      <w:pPr>
        <w:pStyle w:val="Title"/>
      </w:pPr>
      <w:r>
        <w:fldChar w:fldCharType="begin"/>
      </w:r>
      <w:r>
        <w:instrText xml:space="preserve"> TITLE   \* MERGEFORMAT </w:instrText>
      </w:r>
      <w:r>
        <w:fldChar w:fldCharType="separate"/>
      </w:r>
      <w:r>
        <w:t>UEENEEE019C Solve problems in multiple path a.c. circuits</w:t>
      </w:r>
      <w:r>
        <w:fldChar w:fldCharType="end"/>
      </w:r>
    </w:p>
    <w:p w:rsidR="000C0F9D" w:rsidP="000C0F9D">
      <w:pPr>
        <w:pStyle w:val="Version"/>
        <w:sectPr w:rsidSect="001F4D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D95" w:rsidP="001F4D95">
      <w:pPr>
        <w:pStyle w:val="SuperHeading"/>
      </w:pPr>
      <w:r w:rsidRPr="001F4D95">
        <w:t>UEENEEE019C Solve problems in multiple path a.c. circuits</w:t>
      </w:r>
    </w:p>
    <w:p w:rsidR="00000000" w:rsidRPr="001F4D95" w:rsidP="001F4D95">
      <w:pPr>
        <w:pStyle w:val="Heading1"/>
      </w:pPr>
      <w:bookmarkStart w:id="1" w:name="O_274529"/>
      <w:bookmarkEnd w:id="1"/>
      <w:r w:rsidRPr="001F4D95">
        <w:t>Modification History</w:t>
      </w:r>
    </w:p>
    <w:p w:rsidR="00000000" w:rsidRPr="001F4D95" w:rsidP="001F4D95">
      <w:pPr>
        <w:pStyle w:val="BodyText"/>
      </w:pPr>
      <w:r w:rsidRPr="001F4D95">
        <w:t>Not Applicable</w:t>
      </w:r>
    </w:p>
    <w:p w:rsidR="00000000" w:rsidRPr="001F4D95" w:rsidP="001F4D95">
      <w:pPr>
        <w:pStyle w:val="AllowPageBreak"/>
      </w:pPr>
    </w:p>
    <w:p w:rsidR="00000000" w:rsidRPr="001F4D95" w:rsidP="001F4D95">
      <w:pPr>
        <w:pStyle w:val="Heading1"/>
      </w:pPr>
      <w:bookmarkStart w:id="2" w:name="O_225477"/>
      <w:bookmarkEnd w:id="2"/>
      <w:r w:rsidRPr="001F4D95">
        <w:t>Unit Descriptor</w:t>
      </w:r>
    </w:p>
    <w:tbl>
      <w:tblPr>
        <w:tblW w:w="0" w:type="auto"/>
        <w:tblLayout w:type="fixed"/>
        <w:tblCellMar>
          <w:left w:w="62" w:type="dxa"/>
          <w:right w:w="62" w:type="dxa"/>
        </w:tblCellMar>
        <w:tblLook w:val="0000"/>
      </w:tblPr>
      <w:tblGrid>
        <w:gridCol w:w="2700"/>
        <w:gridCol w:w="5760"/>
      </w:tblGrid>
      <w:tr w:rsidTr="000C0F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1</w:t>
            </w:r>
            <w:r w:rsidRPr="001F4D95">
              <w:t>)</w:t>
            </w:r>
          </w:p>
          <w:p w:rsidR="00000000" w:rsidP="001F4D95">
            <w:pPr>
              <w:pStyle w:val="BodyText"/>
              <w:rPr>
                <w:lang w:val="en-NZ"/>
              </w:rPr>
            </w:pPr>
            <w:r w:rsidRPr="001F4D95">
              <w:rPr>
                <w:rStyle w:val="SpecialBold"/>
              </w:rPr>
              <w:t>1</w:t>
            </w:r>
            <w:r w:rsidRPr="001F4D95">
              <w:t>.</w:t>
            </w:r>
            <w:r w:rsidRPr="001F4D95">
              <w:rPr>
                <w:rStyle w:val="SpecialBold"/>
              </w:rPr>
              <w:t>1</w:t>
            </w:r>
            <w:r w:rsidRPr="001F4D95">
              <w:t xml:space="preserve">) </w:t>
            </w:r>
            <w:r w:rsidRPr="001F4D95">
              <w:rPr>
                <w:rStyle w:val="SpecialBold"/>
              </w:rPr>
              <w:t>Descriptor</w:t>
            </w:r>
          </w:p>
        </w:tc>
      </w:tr>
      <w:tr w:rsidTr="000C0F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This unit covers determining correct operation of single source a.c. parallel and series-parallel circuits and providing solutions as they apply to various electrotechnology work functions. It encompasses working safely, problem solving procedures, includi</w:t>
            </w:r>
            <w:r w:rsidRPr="001F4D95">
              <w:t>ng the use of voltage, current and resistance measuring devices, providing solutions derived from measurements and calculations to predictable problems in multiple path circuits.</w:t>
            </w:r>
          </w:p>
        </w:tc>
      </w:tr>
    </w:tbl>
    <w:p w:rsidR="000C0F9D" w:rsidP="001F4D95">
      <w:pPr>
        <w:pStyle w:val="BodyText"/>
      </w:pPr>
    </w:p>
    <w:p w:rsidR="000C0F9D" w:rsidP="001F4D95">
      <w:pPr>
        <w:pStyle w:val="BodyText"/>
      </w:pPr>
    </w:p>
    <w:p w:rsidR="00000000" w:rsidRPr="001F4D95" w:rsidP="001F4D95">
      <w:pPr>
        <w:pStyle w:val="Heading1"/>
      </w:pPr>
      <w:bookmarkStart w:id="3" w:name="O_225482"/>
      <w:bookmarkEnd w:id="3"/>
      <w:r w:rsidRPr="001F4D95">
        <w:t>Application of the Unit</w:t>
      </w:r>
    </w:p>
    <w:tbl>
      <w:tblPr>
        <w:tblW w:w="0" w:type="auto"/>
        <w:tblLayout w:type="fixed"/>
        <w:tblCellMar>
          <w:left w:w="62" w:type="dxa"/>
          <w:right w:w="62" w:type="dxa"/>
        </w:tblCellMar>
        <w:tblLook w:val="0000"/>
      </w:tblPr>
      <w:tblGrid>
        <w:gridCol w:w="2700"/>
        <w:gridCol w:w="5760"/>
      </w:tblGrid>
      <w:tr w:rsidTr="000C0F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4</w:t>
            </w:r>
            <w:r w:rsidRPr="001F4D95">
              <w:t>)</w:t>
            </w:r>
          </w:p>
        </w:tc>
      </w:tr>
      <w:tr w:rsidTr="000C0F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4D95" w:rsidP="001F4D95">
            <w:pPr>
              <w:pStyle w:val="BodyText"/>
            </w:pPr>
          </w:p>
          <w:p w:rsidR="00000000" w:rsidRPr="001F4D95" w:rsidP="001F4D95">
            <w:pPr>
              <w:pStyle w:val="BodyText"/>
            </w:pPr>
            <w:r w:rsidRPr="001F4D95">
              <w:t>This competency standard is suitable for employment-based programs under an approved contract of training at the AQF level of the qualification in which the unit is first packaged or higher.</w:t>
            </w:r>
          </w:p>
          <w:p w:rsidR="00000000" w:rsidRPr="001F4D95" w:rsidP="001F4D95">
            <w:pPr>
              <w:pStyle w:val="BodyText"/>
            </w:pPr>
          </w:p>
          <w:p w:rsidR="00000000" w:rsidRPr="001F4D95" w:rsidP="001F4D95">
            <w:pPr>
              <w:pStyle w:val="BodyText"/>
            </w:pPr>
            <w:r w:rsidRPr="001F4D95">
              <w:t>The unit may be selected as an elective from the relevant schedu</w:t>
            </w:r>
            <w:r w:rsidRPr="001F4D95">
              <w:t>le (see qualification packaging rules) provided that all prerequisite units are undertaken or addressed through recognition processes.</w:t>
            </w:r>
          </w:p>
          <w:p w:rsidR="00000000" w:rsidRPr="001F4D95" w:rsidP="001F4D95">
            <w:pPr>
              <w:pStyle w:val="BodyText"/>
            </w:pPr>
          </w:p>
          <w:p w:rsidR="00000000" w:rsidRPr="001F4D95" w:rsidP="001F4D95">
            <w:pPr>
              <w:pStyle w:val="BodyText"/>
            </w:pPr>
            <w:r w:rsidRPr="001F4D95">
              <w:t>This un</w:t>
            </w:r>
            <w:r w:rsidRPr="001F4D95">
              <w:t>it may be included in a skill set provided that it is listed in the schedule of electives (see Qualification Framework) and all prerequisite units are undertaken or addressed through recognition processes.</w:t>
            </w:r>
          </w:p>
          <w:p w:rsidR="00000000" w:rsidRPr="001F4D95" w:rsidP="001F4D95">
            <w:pPr>
              <w:pStyle w:val="BodyText"/>
            </w:pPr>
          </w:p>
          <w:p w:rsidR="00000000" w:rsidRPr="001F4D95" w:rsidP="001F4D95">
            <w:pPr>
              <w:pStyle w:val="BodyText"/>
            </w:pPr>
            <w:r w:rsidRPr="001F4D95">
              <w:t>Delivery and assessment of this unit should be un</w:t>
            </w:r>
            <w:r w:rsidRPr="001F4D95">
              <w:t>dertaken within regard to the requirements of License to Practice (1.2 above), Prerequisite Competencies and Literacy and Numeracy skills (2 above) and the  recommendations for concurrent assessment and relationship with other units (9.5 below).</w:t>
            </w:r>
          </w:p>
          <w:p w:rsidR="00000000" w:rsidRPr="001F4D95" w:rsidP="001F4D95">
            <w:pPr>
              <w:pStyle w:val="BodyText"/>
            </w:pPr>
          </w:p>
          <w:p w:rsidR="00000000" w:rsidRPr="001F4D95" w:rsidP="001F4D95">
            <w:pPr>
              <w:pStyle w:val="BodyText"/>
            </w:pPr>
            <w:r w:rsidRPr="001F4D95">
              <w:t xml:space="preserve">Practice </w:t>
            </w:r>
            <w:r w:rsidRPr="001F4D95">
              <w:t>in the workplace and during training is also subject to regulations directly related to occupational health and safety and where applicable contracts of training such as apprenticeships.</w:t>
            </w:r>
          </w:p>
          <w:p w:rsidR="00000000" w:rsidRPr="001F4D95" w:rsidP="001F4D95">
            <w:pPr>
              <w:pStyle w:val="BodyText"/>
            </w:pPr>
            <w:r w:rsidRPr="001F4D95">
              <w:t xml:space="preserve">Note: </w:t>
            </w:r>
            <w:r w:rsidRPr="001F4D95">
              <w:br/>
              <w:t>1. Compliance with permits may be required in various jurisdic</w:t>
            </w:r>
            <w:r w:rsidRPr="001F4D95">
              <w:t>tions and typically relates to the operation of plant, machinery and equipment such as elevating work platforms, powder operated fixing tools, power operated tools, vehicles, road signage and traffic control and lifting equipment. Permits may also be requi</w:t>
            </w:r>
            <w:r w:rsidRPr="001F4D95">
              <w:t>red for some work environments such as confined spaces, working aloft, near live electrical apparatus and site rehabilitation.</w:t>
            </w:r>
            <w:r w:rsidRPr="001F4D95">
              <w:br/>
              <w:t>2. Compliance may be required in various jurisdictions relating to currency in First Aid, confined space, lifting, risk safety me</w:t>
            </w:r>
            <w:r w:rsidRPr="001F4D95">
              <w:t>asures etc.</w:t>
            </w:r>
          </w:p>
        </w:tc>
      </w:tr>
    </w:tbl>
    <w:p w:rsidR="000C0F9D" w:rsidP="001F4D95">
      <w:pPr>
        <w:pStyle w:val="BodyText"/>
      </w:pPr>
    </w:p>
    <w:p w:rsidR="000C0F9D" w:rsidP="001F4D95">
      <w:pPr>
        <w:pStyle w:val="BodyText"/>
      </w:pPr>
    </w:p>
    <w:p w:rsidR="00000000" w:rsidRPr="001F4D95" w:rsidP="001F4D95">
      <w:pPr>
        <w:pStyle w:val="Heading1"/>
      </w:pPr>
      <w:bookmarkStart w:id="4" w:name="O_225478"/>
      <w:bookmarkEnd w:id="4"/>
      <w:r w:rsidRPr="001F4D95">
        <w:t>Licensing/Regulatory Information</w:t>
      </w:r>
    </w:p>
    <w:tbl>
      <w:tblPr>
        <w:tblW w:w="0" w:type="auto"/>
        <w:tblLayout w:type="fixed"/>
        <w:tblCellMar>
          <w:left w:w="62" w:type="dxa"/>
          <w:right w:w="62" w:type="dxa"/>
        </w:tblCellMar>
        <w:tblLook w:val="0000"/>
      </w:tblPr>
      <w:tblGrid>
        <w:gridCol w:w="8460"/>
      </w:tblGrid>
      <w:tr w:rsidTr="000C0F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1</w:t>
            </w:r>
            <w:r w:rsidRPr="001F4D95">
              <w:t>.</w:t>
            </w:r>
            <w:r w:rsidRPr="001F4D95">
              <w:rPr>
                <w:rStyle w:val="SpecialBold"/>
              </w:rPr>
              <w:t>2</w:t>
            </w:r>
            <w:r w:rsidRPr="001F4D95">
              <w:t xml:space="preserve">) </w:t>
            </w:r>
            <w:r w:rsidRPr="001F4D95">
              <w:rPr>
                <w:rStyle w:val="SpecialBold"/>
              </w:rPr>
              <w:t>License to practice</w:t>
            </w:r>
          </w:p>
        </w:tc>
      </w:tr>
      <w:tr w:rsidTr="000C0F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 xml:space="preserve">The skills and knowledge described in this unit require a license to practice in the workplace where plant and equipment operate at voltage above 50 V a.c. or 120 V </w:t>
            </w:r>
            <w:r w:rsidRPr="001F4D95">
              <w:t>a.c. However other conditions may apply in some jurisdictions subject to regulations related to electrical work. Practice in the workplace and during training is also subject to regulations directly related to occupational health and safety and where appli</w:t>
            </w:r>
            <w:r w:rsidRPr="001F4D95">
              <w:t>cable contracts of training such as apprenticeships.</w:t>
            </w:r>
          </w:p>
        </w:tc>
      </w:tr>
    </w:tbl>
    <w:p w:rsidR="000C0F9D" w:rsidP="001F4D95">
      <w:pPr>
        <w:pStyle w:val="BodyText"/>
      </w:pPr>
    </w:p>
    <w:p w:rsidR="000C0F9D" w:rsidP="001F4D95">
      <w:pPr>
        <w:pStyle w:val="BodyText"/>
      </w:pPr>
    </w:p>
    <w:p w:rsidR="00000000" w:rsidRPr="001F4D95" w:rsidP="001F4D95">
      <w:pPr>
        <w:pStyle w:val="Heading1"/>
      </w:pPr>
      <w:bookmarkStart w:id="5" w:name="O_225479"/>
      <w:bookmarkEnd w:id="5"/>
      <w:r w:rsidRPr="001F4D95">
        <w:t>Pre-Requisites</w:t>
      </w:r>
    </w:p>
    <w:tbl>
      <w:tblPr>
        <w:tblW w:w="0" w:type="auto"/>
        <w:tblLayout w:type="fixed"/>
        <w:tblCellMar>
          <w:left w:w="62" w:type="dxa"/>
          <w:right w:w="62" w:type="dxa"/>
        </w:tblCellMar>
        <w:tblLook w:val="0000"/>
      </w:tblPr>
      <w:tblGrid>
        <w:gridCol w:w="2700"/>
        <w:gridCol w:w="5760"/>
      </w:tblGrid>
      <w:tr w:rsidTr="000C0F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Prerequisite Unit</w:t>
            </w:r>
            <w:r w:rsidRPr="001F4D95">
              <w:t>(</w:t>
            </w:r>
            <w:r w:rsidRPr="001F4D95">
              <w:rPr>
                <w:rStyle w:val="SpecialBold"/>
              </w:rPr>
              <w:t>s</w:t>
            </w:r>
            <w:r w:rsidRPr="001F4D95">
              <w:t>)</w:t>
            </w:r>
          </w:p>
        </w:tc>
        <w:tc>
          <w:tcPr>
            <w:tcW w:w="57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2</w:t>
            </w:r>
            <w:r w:rsidRPr="001F4D95">
              <w:t>)</w:t>
            </w:r>
          </w:p>
        </w:tc>
      </w:tr>
      <w:tr w:rsidTr="000C0F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4D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2</w:t>
            </w:r>
            <w:r w:rsidRPr="001F4D95">
              <w:t>.</w:t>
            </w:r>
            <w:r w:rsidRPr="001F4D95">
              <w:rPr>
                <w:rStyle w:val="SpecialBold"/>
              </w:rPr>
              <w:t>1</w:t>
            </w:r>
            <w:r w:rsidRPr="001F4D95">
              <w:t xml:space="preserve">) </w:t>
            </w:r>
            <w:r w:rsidRPr="001F4D95">
              <w:rPr>
                <w:rStyle w:val="SpecialBold"/>
              </w:rPr>
              <w:t>Competencies</w:t>
            </w:r>
          </w:p>
        </w:tc>
      </w:tr>
      <w:tr w:rsidTr="000C0F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Granting competency in this unit shall be made only after competency in the following unit(s) has/have been confirmed.</w:t>
            </w:r>
          </w:p>
          <w:p w:rsidR="00000000" w:rsidRPr="001F4D95" w:rsidP="001F4D95">
            <w:pPr>
              <w:pStyle w:val="BodyText"/>
            </w:pPr>
            <w:r w:rsidRPr="001F4D95">
              <w:t>UEENEEE004B Solve problems in multiple path d.c. circuits</w:t>
            </w:r>
          </w:p>
          <w:p w:rsidR="00000000" w:rsidRPr="001F4D95" w:rsidP="001F4D95">
            <w:pPr>
              <w:pStyle w:val="BodyText"/>
            </w:pPr>
            <w:r w:rsidRPr="001F4D95">
              <w:t>For the full prerequisite chain details for this unit please refer to Table 2 in Volume 1, Part 2</w:t>
            </w:r>
          </w:p>
        </w:tc>
      </w:tr>
    </w:tbl>
    <w:p w:rsidR="000C0F9D" w:rsidP="001F4D95">
      <w:pPr>
        <w:pStyle w:val="BodyText"/>
      </w:pPr>
    </w:p>
    <w:p w:rsidR="000C0F9D" w:rsidP="001F4D95">
      <w:pPr>
        <w:pStyle w:val="BodyText"/>
      </w:pPr>
    </w:p>
    <w:p w:rsidR="00000000" w:rsidRPr="001F4D95" w:rsidP="001F4D95">
      <w:pPr>
        <w:pStyle w:val="Heading1"/>
      </w:pPr>
      <w:bookmarkStart w:id="6" w:name="O_225481"/>
      <w:bookmarkEnd w:id="6"/>
      <w:r w:rsidRPr="001F4D95">
        <w:t>Employability Skills Information</w:t>
      </w:r>
    </w:p>
    <w:tbl>
      <w:tblPr>
        <w:tblW w:w="0" w:type="auto"/>
        <w:tblLayout w:type="fixed"/>
        <w:tblCellMar>
          <w:left w:w="62" w:type="dxa"/>
          <w:right w:w="62" w:type="dxa"/>
        </w:tblCellMar>
        <w:tblLook w:val="0000"/>
      </w:tblPr>
      <w:tblGrid>
        <w:gridCol w:w="2700"/>
        <w:gridCol w:w="5760"/>
      </w:tblGrid>
      <w:tr w:rsidTr="000C0F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3</w:t>
            </w:r>
            <w:r w:rsidRPr="001F4D95">
              <w:t>)</w:t>
            </w:r>
          </w:p>
          <w:p w:rsidR="00000000" w:rsidRPr="001F4D95" w:rsidP="001F4D95">
            <w:pPr>
              <w:pStyle w:val="BodyText"/>
            </w:pPr>
            <w:r w:rsidRPr="001F4D95">
              <w:t>This unit contains Empl</w:t>
            </w:r>
            <w:r w:rsidRPr="001F4D95">
              <w:t>oyability Skills</w:t>
            </w:r>
          </w:p>
          <w:p w:rsidR="00000000" w:rsidRPr="001F4D95" w:rsidP="001F4D95">
            <w:pPr>
              <w:pStyle w:val="BodyText"/>
            </w:pPr>
            <w:r w:rsidRPr="001F4D95">
              <w:t>The required outcomes described in this unit of competency contain applicable facets of Employability Skills. The Employability Skills Summary of the qualification in which this unit of competency is packaged will assist in identifying Emp</w:t>
            </w:r>
            <w:r w:rsidRPr="001F4D95">
              <w:t>loyability Skill requirements.</w:t>
            </w:r>
          </w:p>
        </w:tc>
      </w:tr>
    </w:tbl>
    <w:p w:rsidR="000C0F9D" w:rsidP="001F4D95">
      <w:pPr>
        <w:pStyle w:val="BodyText"/>
      </w:pPr>
    </w:p>
    <w:p w:rsidR="000C0F9D" w:rsidP="001F4D95">
      <w:pPr>
        <w:pStyle w:val="BodyText"/>
      </w:pPr>
    </w:p>
    <w:p w:rsidR="00000000" w:rsidRPr="001F4D95" w:rsidP="001F4D95">
      <w:pPr>
        <w:pStyle w:val="Heading1"/>
      </w:pPr>
      <w:bookmarkStart w:id="7" w:name="O_292575"/>
      <w:bookmarkEnd w:id="7"/>
      <w:r w:rsidRPr="001F4D95">
        <w:t>Elements and Performance Criteria Pre-Content</w:t>
      </w:r>
    </w:p>
    <w:tbl>
      <w:tblPr>
        <w:tblW w:w="0" w:type="auto"/>
        <w:tblLayout w:type="fixed"/>
        <w:tblCellMar>
          <w:left w:w="62" w:type="dxa"/>
          <w:right w:w="62" w:type="dxa"/>
        </w:tblCellMar>
        <w:tblLook w:val="0000"/>
      </w:tblPr>
      <w:tblGrid>
        <w:gridCol w:w="2700"/>
        <w:gridCol w:w="5760"/>
      </w:tblGrid>
      <w:tr w:rsidTr="000C0F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6</w:t>
            </w:r>
            <w:r w:rsidRPr="001F4D9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Performance criteria describe the required performance needed to demonstrate achievement of</w:t>
            </w:r>
            <w:r w:rsidRPr="001F4D95">
              <w:t xml:space="preserve"> the Element. Assessment of performance is to be consistent with the evidence guide.</w:t>
            </w:r>
          </w:p>
        </w:tc>
      </w:tr>
    </w:tbl>
    <w:p w:rsidR="00000000" w:rsidRPr="001F4D95" w:rsidP="001F4D95">
      <w:pPr>
        <w:pStyle w:val="BodyText"/>
      </w:pPr>
    </w:p>
    <w:p w:rsidR="00000000" w:rsidRPr="001F4D95" w:rsidP="001F4D95">
      <w:pPr>
        <w:pStyle w:val="AllowPageBreak"/>
      </w:pPr>
    </w:p>
    <w:p w:rsidR="00000000" w:rsidRPr="001F4D95" w:rsidP="001F4D95">
      <w:pPr>
        <w:pStyle w:val="Heading1"/>
      </w:pPr>
      <w:bookmarkStart w:id="8" w:name="O_239243"/>
      <w:bookmarkEnd w:id="8"/>
      <w:r w:rsidRPr="001F4D9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C0F9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PERFORMANCE CRITERIA</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1</w:t>
            </w:r>
          </w:p>
        </w:tc>
        <w:tc>
          <w:tcPr>
            <w:tcW w:w="2296" w:type="dxa"/>
            <w:vMerge w:val="restart"/>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Prepare to work on multiple path a.c. electrical circuits.</w:t>
            </w: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1.1</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OHS procedures for a given work area are identified, obtained and understood.</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1.2</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OHS risk control work preparation measures and procedures are followed.</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1.3</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 xml:space="preserve">The nature </w:t>
            </w:r>
            <w:r w:rsidRPr="001F4D95">
              <w:t>of the circuit(s) problem is obtained from documentation or from work supervisor to establish the scope of work to be undertaken.</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1.4</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Advice is sought from the work supervisor to ensure the work is coordinated effectively with others.</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1.5</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Sources of materials that may be required for the work are identified and accessed in accordance with established procedures.</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1.6</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Tools, equipment and testing devices needed to carry out the work are obtained and checked for correct operation and safety</w:t>
            </w:r>
            <w:r w:rsidRPr="001F4D95">
              <w:t>.</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2</w:t>
            </w:r>
          </w:p>
        </w:tc>
        <w:tc>
          <w:tcPr>
            <w:tcW w:w="2296" w:type="dxa"/>
            <w:vMerge w:val="restart"/>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Solve multiple path a.c. circuit problems.</w:t>
            </w: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2.1</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OHS risk control work measures and procedures are followed.</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2.2</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The need to test or measure live is determined in strict accordance with OHS requirements and when nece</w:t>
            </w:r>
            <w:r w:rsidRPr="001F4D95">
              <w:t>ssary conducted within established safety procedures.</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2.3</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Circuits are checked as being isolated where necessary in strict accordance OHS requirements and procedures.</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2.4</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Established methods are used to solve a.c. circuit problems from measure and calculated values as they apply to multiple path electrical circuit.</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2.5</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Unexpected situations are dealt with safely and with the approval of an authorised person.</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2.6</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Probl</w:t>
            </w:r>
            <w:r w:rsidRPr="001F4D95">
              <w:t>ems are solved without damage to apparatus, circuits, the surrounding environment or services and using sustainable energy practices.</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3</w:t>
            </w:r>
          </w:p>
        </w:tc>
        <w:tc>
          <w:tcPr>
            <w:tcW w:w="2296" w:type="dxa"/>
            <w:vMerge w:val="restart"/>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3.1</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OHS work completion risk control measures and procedures are</w:t>
            </w:r>
            <w:r w:rsidRPr="001F4D95">
              <w:t xml:space="preserve"> followed.</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3.2</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Work site is cleaned and made safe in accordance with established procedures.</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3.3</w:t>
            </w:r>
          </w:p>
        </w:tc>
        <w:tc>
          <w:tcPr>
            <w:tcW w:w="48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Justification for solutions used to solve circuit problems is documented.</w:t>
            </w:r>
          </w:p>
        </w:tc>
      </w:tr>
      <w:tr w:rsidTr="000C0F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3.4</w:t>
            </w:r>
          </w:p>
        </w:tc>
        <w:tc>
          <w:tcPr>
            <w:tcW w:w="48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Work completi</w:t>
            </w:r>
            <w:r w:rsidRPr="001F4D95">
              <w:t>on is documented and appropriate person(s) notified in accordance with established procedures.</w:t>
            </w:r>
          </w:p>
        </w:tc>
      </w:tr>
    </w:tbl>
    <w:p w:rsidR="000C0F9D" w:rsidP="001F4D95">
      <w:pPr>
        <w:pStyle w:val="BodyText"/>
      </w:pPr>
    </w:p>
    <w:p w:rsidR="000C0F9D" w:rsidP="001F4D95">
      <w:pPr>
        <w:pStyle w:val="BodyText"/>
      </w:pPr>
    </w:p>
    <w:p w:rsidR="00000000" w:rsidRPr="001F4D95" w:rsidP="001F4D95">
      <w:pPr>
        <w:pStyle w:val="Heading1"/>
      </w:pPr>
      <w:bookmarkStart w:id="9" w:name="O_263034"/>
      <w:bookmarkEnd w:id="9"/>
      <w:r w:rsidRPr="001F4D95">
        <w:t>Required Skills and Knowledge</w:t>
      </w:r>
    </w:p>
    <w:tbl>
      <w:tblPr>
        <w:tblW w:w="0" w:type="auto"/>
        <w:tblLayout w:type="fixed"/>
        <w:tblCellMar>
          <w:left w:w="62" w:type="dxa"/>
          <w:right w:w="62" w:type="dxa"/>
        </w:tblCellMar>
        <w:tblLook w:val="0000"/>
      </w:tblPr>
      <w:tblGrid>
        <w:gridCol w:w="2700"/>
        <w:gridCol w:w="1080"/>
        <w:gridCol w:w="4680"/>
      </w:tblGrid>
      <w:tr w:rsidTr="000C0F9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REQUIRED SKILLS AND KNOWLEDGE</w:t>
            </w:r>
          </w:p>
        </w:tc>
      </w:tr>
      <w:tr w:rsidTr="000C0F9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7</w:t>
            </w:r>
            <w:r w:rsidRPr="001F4D95">
              <w:t>) This describes the essential skills and knowledge and their level, requ</w:t>
            </w:r>
            <w:r w:rsidRPr="001F4D95">
              <w:t>ired for this unit.</w:t>
            </w:r>
          </w:p>
        </w:tc>
      </w:tr>
      <w:tr w:rsidTr="000C0F9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Evidence shall show that knowledge has been acquired of safe working practices and solving problems in multiple path a.c. circuits.</w:t>
            </w:r>
          </w:p>
          <w:p w:rsidR="00000000" w:rsidRPr="001F4D95" w:rsidP="001F4D95">
            <w:pPr>
              <w:pStyle w:val="BodyText"/>
            </w:pPr>
            <w:r w:rsidRPr="001F4D95">
              <w:t>All knowledge and skills detailed in this unit should be contextualised to current industry practices and technologies.</w:t>
            </w:r>
          </w:p>
          <w:p w:rsidR="00000000" w:rsidP="001F4D95">
            <w:pPr>
              <w:pStyle w:val="BodyText"/>
              <w:rPr>
                <w:lang w:val="en-NZ"/>
              </w:rPr>
            </w:pPr>
            <w:r w:rsidRPr="001F4D95">
              <w:t xml:space="preserve">The extent of the essential knowledge and associated skills (EKAS) required is given in Volume 2 - Part 2.2 EKAS.  It forms an integral </w:t>
            </w:r>
            <w:r w:rsidRPr="001F4D95">
              <w:t>part of this unit.</w:t>
            </w:r>
          </w:p>
        </w:tc>
      </w:tr>
      <w:tr w:rsidTr="000C0F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2.8.2.3</w:t>
            </w:r>
          </w:p>
        </w:tc>
        <w:tc>
          <w:tcPr>
            <w:tcW w:w="468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 xml:space="preserve"> Alternating current principles - single phase</w:t>
            </w:r>
          </w:p>
        </w:tc>
      </w:tr>
    </w:tbl>
    <w:p w:rsidR="000C0F9D" w:rsidP="001F4D95">
      <w:pPr>
        <w:pStyle w:val="BodyText"/>
      </w:pPr>
    </w:p>
    <w:p w:rsidR="000C0F9D" w:rsidP="001F4D95">
      <w:pPr>
        <w:pStyle w:val="BodyText"/>
      </w:pPr>
    </w:p>
    <w:p w:rsidR="00000000" w:rsidRPr="001F4D95" w:rsidP="001F4D95">
      <w:pPr>
        <w:pStyle w:val="Heading1"/>
      </w:pPr>
      <w:bookmarkStart w:id="10" w:name="O_247227"/>
      <w:bookmarkEnd w:id="10"/>
      <w:r w:rsidRPr="001F4D95">
        <w:t>Evidence Guide</w:t>
      </w:r>
    </w:p>
    <w:tbl>
      <w:tblPr>
        <w:tblW w:w="0" w:type="auto"/>
        <w:tblLayout w:type="fixed"/>
        <w:tblCellMar>
          <w:left w:w="62" w:type="dxa"/>
          <w:right w:w="62" w:type="dxa"/>
        </w:tblCellMar>
        <w:tblLook w:val="0000"/>
      </w:tblPr>
      <w:tblGrid>
        <w:gridCol w:w="2160"/>
        <w:gridCol w:w="720"/>
        <w:gridCol w:w="540"/>
        <w:gridCol w:w="550"/>
        <w:gridCol w:w="4490"/>
      </w:tblGrid>
      <w:tr w:rsidTr="000C0F9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EVIDENCE GUIDE</w:t>
            </w:r>
          </w:p>
        </w:tc>
      </w:tr>
      <w:tr w:rsidTr="000C0F9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9</w:t>
            </w:r>
            <w:r w:rsidRPr="001F4D95">
              <w:t xml:space="preserve">) The evidence guide provides advice on assessment and must be read in conjunction with the Performance </w:t>
            </w:r>
            <w:r w:rsidRPr="001F4D95">
              <w:t xml:space="preserve">Criteria, Required Skills and Knowledge, the Range Statement and the Assessment Guidelines for this Training Package. </w:t>
            </w:r>
          </w:p>
          <w:p w:rsidR="00000000" w:rsidP="001F4D95">
            <w:pPr>
              <w:pStyle w:val="BodyText"/>
              <w:rPr>
                <w:lang w:val="en-NZ"/>
              </w:rPr>
            </w:pPr>
            <w:r w:rsidRPr="001F4D95">
              <w:t>The Evidence Guide forms an integral part of this unit. It must be used in conjunction with all parts of the unit and performed in accord</w:t>
            </w:r>
            <w:r w:rsidRPr="001F4D95">
              <w:t>ance with the Assessment Guidelines of this Training Package.</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9</w:t>
            </w:r>
            <w:r w:rsidRPr="001F4D95">
              <w:t>.</w:t>
            </w:r>
            <w:r w:rsidRPr="001F4D95">
              <w:rPr>
                <w:rStyle w:val="SpecialBold"/>
              </w:rPr>
              <w:t>1</w:t>
            </w:r>
            <w:r w:rsidRPr="001F4D95">
              <w:t xml:space="preserve">) </w:t>
            </w:r>
          </w:p>
          <w:p w:rsidR="00000000" w:rsidRPr="001F4D95" w:rsidP="001F4D95">
            <w:pPr>
              <w:pStyle w:val="BodyText"/>
            </w:pPr>
            <w:r w:rsidRPr="001F4D95">
              <w:t>Longitudinal competency development approaches to assessmen</w:t>
            </w:r>
            <w:r w:rsidRPr="001F4D95">
              <w:t>t, such as Profiling, require data to be reliably gathered in a form that can be consistently interpreted over time. This approach is best utilised in Apprenticeship programs and reduces assessment intervention. It is the industry-preferred model for appre</w:t>
            </w:r>
            <w:r w:rsidRPr="001F4D95">
              <w:t>nticeships. However, where summative (or final) assessment is used it is to include the application of the competency in the normal work environment or, at a minimum, the application of the competency in a realistically simulated work environment. It is re</w:t>
            </w:r>
            <w:r w:rsidRPr="001F4D95">
              <w:t>cognised that, in some circumstances, assessment in part or full can occur outside the workplace. However, it must be in accordance with industry and regulatory policy.</w:t>
            </w:r>
          </w:p>
          <w:p w:rsidR="00000000" w:rsidRPr="001F4D95" w:rsidP="001F4D95">
            <w:pPr>
              <w:pStyle w:val="BodyText"/>
            </w:pPr>
            <w:r w:rsidRPr="001F4D95">
              <w:t>Methods chosen for a particular assessment will be influenced by various factors. These</w:t>
            </w:r>
            <w:r w:rsidRPr="001F4D95">
              <w:t xml:space="preserv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F4D95" w:rsidP="001F4D95">
            <w:pPr>
              <w:pStyle w:val="BodyText"/>
            </w:pPr>
            <w:r w:rsidRPr="001F4D95">
              <w:t>The critical safety nature of working with electricity, electrical equipment, gas or any other hazardous substance/material carries risk in deeming a person competent. Sources of evidence need to be 'rich' in nature to minimise error in judgment.</w:t>
            </w:r>
          </w:p>
          <w:p w:rsidR="00000000" w:rsidP="001F4D95">
            <w:pPr>
              <w:pStyle w:val="BodyText"/>
              <w:rPr>
                <w:lang w:val="en-NZ"/>
              </w:rPr>
            </w:pPr>
            <w:r w:rsidRPr="001F4D95">
              <w:t>Activitie</w:t>
            </w:r>
            <w:r w:rsidRPr="001F4D95">
              <w:t>s associated with normal everyday work have a bearing on the decision as to how much and how detailed the data gathered will contribute to its 'richness'. Some skills are more critical to safety and operational requirements while the same skills may be mor</w:t>
            </w:r>
            <w:r w:rsidRPr="001F4D95">
              <w:t>e or less frequently practised. These points are raised for the assessors to consider when choosing an assessment method and developing assessment instruments. Sample assessment instruments are included for Assessors in the Assessment Guidelines of this Tr</w:t>
            </w:r>
            <w:r w:rsidRPr="001F4D95">
              <w:t>aining Package.</w:t>
            </w:r>
          </w:p>
        </w:tc>
      </w:tr>
      <w:tr w:rsidTr="000C0F9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9</w:t>
            </w:r>
            <w:r w:rsidRPr="001F4D95">
              <w:t>.</w:t>
            </w:r>
            <w:r w:rsidRPr="001F4D95">
              <w:rPr>
                <w:rStyle w:val="SpecialBold"/>
              </w:rPr>
              <w:t>2</w:t>
            </w:r>
            <w:r w:rsidRPr="001F4D95">
              <w:t xml:space="preserve">) </w:t>
            </w:r>
          </w:p>
          <w:p w:rsidR="00000000" w:rsidP="001F4D95">
            <w:pPr>
              <w:pStyle w:val="BodyText"/>
              <w:rPr>
                <w:lang w:val="en-NZ"/>
              </w:rPr>
            </w:pPr>
            <w:r w:rsidRPr="001F4D95">
              <w:t>Before the critical aspects of evidence are considered all prerequisites must be met.</w:t>
            </w:r>
          </w:p>
        </w:tc>
      </w:tr>
      <w:tr w:rsidTr="000C0F9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Evidence for competence in this unit shall be considered holis</w:t>
            </w:r>
            <w:r w:rsidRPr="001F4D95">
              <w:t>tically.  Each element and associated performance criteria shall be demonstrated on at least two occasions in accordance with the 'Assessment Guidelines - UEE07'.  Evidence shall also comprise:</w:t>
            </w:r>
          </w:p>
          <w:p w:rsidR="00000000" w:rsidP="001F4D95">
            <w:pPr>
              <w:pStyle w:val="ListBullet"/>
              <w:rPr>
                <w:lang w:val="en-NZ"/>
              </w:rPr>
            </w:pPr>
            <w:r w:rsidRPr="001F4D95">
              <w:t>A representative body of work performance demonstrated within the timeframes typically expected of the discipline, work function and industrial environment. In particular this shall incorporate evidence that shows a candidate is able to:</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F4D95" w:rsidP="001F4D95">
            <w:pPr>
              <w:pStyle w:val="ListBullet2"/>
            </w:pPr>
            <w:r w:rsidRPr="001F4D95">
              <w:t>Implement Oc</w:t>
            </w:r>
            <w:r w:rsidRPr="001F4D95">
              <w:t>cupational Health and Safety workplace procedures and practices, including the use of risk control measures as specified in the performance criteria and range statement</w:t>
            </w:r>
          </w:p>
          <w:p w:rsidR="00000000" w:rsidRPr="001F4D95" w:rsidP="001F4D95">
            <w:pPr>
              <w:pStyle w:val="ListBullet2"/>
            </w:pPr>
            <w:r w:rsidRPr="001F4D95">
              <w:t>Apply sustainable energy principles and practices as specified in the performance criteria and range statement</w:t>
            </w:r>
          </w:p>
          <w:p w:rsidR="00000000" w:rsidRPr="001F4D95" w:rsidP="001F4D95">
            <w:pPr>
              <w:pStyle w:val="ListBullet2"/>
            </w:pPr>
            <w:r w:rsidRPr="001F4D95">
              <w:t>Demonstrate an understanding of the essential knowledge and associated skills as described in this unit.  It may be required by some jurisdiction</w:t>
            </w:r>
            <w:r w:rsidRPr="001F4D95">
              <w:t xml:space="preserve">s that RTOs provide a percentile graded result for the purpose of regulatory or licensing requirements.   </w:t>
            </w:r>
          </w:p>
          <w:p w:rsidR="00000000" w:rsidRPr="001F4D95" w:rsidP="001F4D95">
            <w:pPr>
              <w:pStyle w:val="ListBullet2"/>
            </w:pPr>
            <w:r w:rsidRPr="001F4D95">
              <w:t>Demonstrate an appropriate level of skills enabling employment</w:t>
            </w:r>
          </w:p>
          <w:p w:rsidR="00000000" w:rsidP="001F4D95">
            <w:pPr>
              <w:pStyle w:val="ListBullet2"/>
              <w:rPr>
                <w:lang w:val="en-NZ"/>
              </w:rPr>
            </w:pPr>
            <w:r w:rsidRPr="001F4D95">
              <w:t>Conduct work observing the relevant Anti Discrimination legislation, regulations, poli</w:t>
            </w:r>
            <w:r w:rsidRPr="001F4D95">
              <w:t>ces and workplace procedures</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4D95">
            <w:pPr>
              <w:pStyle w:val="ListBullet"/>
              <w:rPr>
                <w:lang w:val="en-NZ"/>
              </w:rPr>
            </w:pPr>
            <w:r w:rsidRPr="001F4D95">
              <w:t>Demonstrated consistent performance across a representative range of contexts from the prescribed items below:</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4D95">
            <w:pPr>
              <w:pStyle w:val="ListBullet2"/>
              <w:rPr>
                <w:lang w:val="en-NZ"/>
              </w:rPr>
            </w:pPr>
            <w:r w:rsidRPr="001F4D95">
              <w:t>Solve problems in multiple path a.c. circuits as described in 8) and including:</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A</w:t>
            </w:r>
          </w:p>
        </w:tc>
        <w:tc>
          <w:tcPr>
            <w:tcW w:w="5040" w:type="dxa"/>
            <w:gridSpan w:val="2"/>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 xml:space="preserve">Determining the operating parameters of an existing circuit. </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B</w:t>
            </w:r>
          </w:p>
        </w:tc>
        <w:tc>
          <w:tcPr>
            <w:tcW w:w="5040" w:type="dxa"/>
            <w:gridSpan w:val="2"/>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Altering an existing circuit to comply with specified operating parameters.</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C</w:t>
            </w:r>
          </w:p>
        </w:tc>
        <w:tc>
          <w:tcPr>
            <w:tcW w:w="5040" w:type="dxa"/>
            <w:gridSpan w:val="2"/>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Developing circuits to comply with a specified function and operating parameters.</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D</w:t>
            </w:r>
          </w:p>
        </w:tc>
        <w:tc>
          <w:tcPr>
            <w:tcW w:w="5040" w:type="dxa"/>
            <w:gridSpan w:val="2"/>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Dealing with unplanned events by drawing on essential knowledge and skills to provide appropriate solutions incorporated in a holistic assessment with the above listed items.</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9</w:t>
            </w:r>
            <w:r w:rsidRPr="001F4D95">
              <w:t>.</w:t>
            </w:r>
            <w:r w:rsidRPr="001F4D95">
              <w:rPr>
                <w:rStyle w:val="SpecialBold"/>
              </w:rPr>
              <w:t>3</w:t>
            </w:r>
            <w:r w:rsidRPr="001F4D95">
              <w:t xml:space="preserve">) </w:t>
            </w:r>
          </w:p>
          <w:p w:rsidR="00000000" w:rsidRPr="001F4D95" w:rsidP="001F4D95">
            <w:pPr>
              <w:pStyle w:val="BodyText"/>
            </w:pPr>
            <w:r w:rsidRPr="001F4D95">
              <w:t>This unit should be asse</w:t>
            </w:r>
            <w:r w:rsidRPr="001F4D95">
              <w:t>ssed as it relates to normal work practice using procedures, information and resources typical of a workplace. This should include:</w:t>
            </w:r>
          </w:p>
          <w:p w:rsidR="00000000" w:rsidRPr="001F4D95" w:rsidP="001F4D95">
            <w:pPr>
              <w:pStyle w:val="ListBullet"/>
            </w:pPr>
            <w:r w:rsidRPr="001F4D95">
              <w:t>OHS policy and work procedures and instructions.</w:t>
            </w:r>
          </w:p>
          <w:p w:rsidR="00000000" w:rsidRPr="001F4D95" w:rsidP="001F4D95">
            <w:pPr>
              <w:pStyle w:val="ListBullet"/>
            </w:pPr>
            <w:r w:rsidRPr="001F4D95">
              <w:t>Suitable work environment, facilities, equipment and materials to undertake actual work as prescribed in this unit.</w:t>
            </w:r>
          </w:p>
          <w:p w:rsidR="00000000" w:rsidRPr="001F4D95" w:rsidP="001F4D95">
            <w:pPr>
              <w:pStyle w:val="BodyText"/>
            </w:pPr>
            <w:r w:rsidRPr="001F4D95">
              <w:t>These should be used in the formal learning/assessment environment.</w:t>
            </w:r>
          </w:p>
          <w:p w:rsidR="00000000" w:rsidRPr="001F4D95" w:rsidP="001F4D95">
            <w:pPr>
              <w:pStyle w:val="BodyText"/>
            </w:pPr>
            <w:r w:rsidRPr="001F4D95">
              <w:t>Note:</w:t>
            </w:r>
          </w:p>
          <w:p w:rsidR="00000000" w:rsidP="001F4D95">
            <w:pPr>
              <w:pStyle w:val="BodyText"/>
              <w:rPr>
                <w:lang w:val="en-NZ"/>
              </w:rPr>
            </w:pPr>
            <w:r w:rsidRPr="001F4D95">
              <w:t>Where simulation is considered a suitable strategy for assessment,</w:t>
            </w:r>
            <w:r w:rsidRPr="001F4D95">
              <w:t xml:space="preserve"> conditions for assessment must be authentic and as far as possible reproduce and replicate the workplace and be consistent with the approved industry simulation policy.</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The resources used for assessment should reflect current industry practices in re</w:t>
            </w:r>
            <w:r w:rsidRPr="001F4D95">
              <w:t>lation to solving problems in multiple path a.c. circuits.</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9</w:t>
            </w:r>
            <w:r w:rsidRPr="001F4D95">
              <w:t>.</w:t>
            </w:r>
            <w:r w:rsidRPr="001F4D95">
              <w:rPr>
                <w:rStyle w:val="SpecialBold"/>
              </w:rPr>
              <w:t>4</w:t>
            </w:r>
            <w:r w:rsidRPr="001F4D95">
              <w:t xml:space="preserve">) </w:t>
            </w:r>
          </w:p>
          <w:p w:rsidR="00000000" w:rsidRPr="001F4D95" w:rsidP="001F4D95">
            <w:pPr>
              <w:pStyle w:val="BodyText"/>
            </w:pPr>
            <w:r w:rsidRPr="001F4D95">
              <w:t>This unit shall be assessed by methods given in Volume 1, Part 3 'Assessment Guidelines'.</w:t>
            </w:r>
          </w:p>
          <w:p w:rsidR="00000000" w:rsidP="001F4D95">
            <w:pPr>
              <w:pStyle w:val="BodyText"/>
              <w:rPr>
                <w:lang w:val="en-NZ"/>
              </w:rPr>
            </w:pPr>
            <w:r w:rsidRPr="001F4D95">
              <w:t xml:space="preserve">Note: </w:t>
            </w:r>
            <w:r w:rsidRPr="001F4D95">
              <w:br/>
            </w:r>
            <w:r w:rsidRPr="001F4D95">
              <w:t>Competent performance with inherent safe working practices is expected in the Industry to which this unit applies. This requires that the specified essential knowledge and associated skills are assessed in a structured environment which is primarily intend</w:t>
            </w:r>
            <w:r w:rsidRPr="001F4D95">
              <w:t>ed for learning/assessment and incorporates all necessary equipment and facilities for learners to develop and demonstrate the essential knowledge and skills described in this unit.</w:t>
            </w:r>
          </w:p>
        </w:tc>
      </w:tr>
      <w:tr w:rsidTr="000C0F9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9</w:t>
            </w:r>
            <w:r w:rsidRPr="001F4D95">
              <w:t>.</w:t>
            </w:r>
            <w:r w:rsidRPr="001F4D95">
              <w:rPr>
                <w:rStyle w:val="SpecialBold"/>
              </w:rPr>
              <w:t>5</w:t>
            </w:r>
            <w:r w:rsidRPr="001F4D95">
              <w:t>)</w:t>
            </w:r>
          </w:p>
        </w:tc>
      </w:tr>
      <w:tr w:rsidTr="000C0F9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For optimisation of training and assessment effort, competency development in this unit may be arranged concurrently with unit:</w:t>
            </w:r>
          </w:p>
        </w:tc>
      </w:tr>
      <w:tr w:rsidTr="000C0F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0" w:type="dxa"/>
            <w:gridSpan w:val="3"/>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 xml:space="preserve">UEENEEE004B </w:t>
            </w:r>
          </w:p>
        </w:tc>
        <w:tc>
          <w:tcPr>
            <w:tcW w:w="449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Solve problems in multiple path d.c. circuits</w:t>
            </w:r>
          </w:p>
        </w:tc>
      </w:tr>
    </w:tbl>
    <w:p w:rsidR="000C0F9D" w:rsidP="001F4D95">
      <w:pPr>
        <w:pStyle w:val="BodyText"/>
      </w:pPr>
    </w:p>
    <w:p w:rsidR="000C0F9D" w:rsidP="001F4D95">
      <w:pPr>
        <w:pStyle w:val="BodyText"/>
      </w:pPr>
    </w:p>
    <w:p w:rsidR="00000000" w:rsidRPr="001F4D95" w:rsidP="001F4D95">
      <w:pPr>
        <w:pStyle w:val="Heading1"/>
      </w:pPr>
      <w:bookmarkStart w:id="11" w:name="O_255210"/>
      <w:bookmarkEnd w:id="11"/>
      <w:r w:rsidRPr="001F4D95">
        <w:t>Range Statement</w:t>
      </w:r>
    </w:p>
    <w:tbl>
      <w:tblPr>
        <w:tblW w:w="0" w:type="auto"/>
        <w:tblLayout w:type="fixed"/>
        <w:tblCellMar>
          <w:left w:w="62" w:type="dxa"/>
          <w:right w:w="62" w:type="dxa"/>
        </w:tblCellMar>
        <w:tblLook w:val="0000"/>
      </w:tblPr>
      <w:tblGrid>
        <w:gridCol w:w="1440"/>
        <w:gridCol w:w="180"/>
        <w:gridCol w:w="540"/>
        <w:gridCol w:w="6300"/>
      </w:tblGrid>
      <w:tr w:rsidTr="000C0F9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RANGE STATEMENT</w:t>
            </w:r>
          </w:p>
        </w:tc>
      </w:tr>
      <w:tr w:rsidTr="000C0F9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8</w:t>
            </w:r>
            <w:r w:rsidRPr="001F4D95">
              <w:t>) This relates to the unit as a whole providing the range of contexts and conditions to which the performance criteria apply. It allows for different work environments and situations that will affect performance.</w:t>
            </w:r>
          </w:p>
        </w:tc>
      </w:tr>
      <w:tr w:rsidTr="000C0F9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This unit shall be demonstrated in relation to:</w:t>
            </w:r>
          </w:p>
        </w:tc>
      </w:tr>
      <w:tr w:rsidTr="000C0F9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p>
        </w:tc>
        <w:tc>
          <w:tcPr>
            <w:tcW w:w="7020" w:type="dxa"/>
            <w:gridSpan w:val="3"/>
            <w:tcBorders>
              <w:top w:val="nil"/>
              <w:left w:val="nil"/>
              <w:bottom w:val="nil"/>
              <w:right w:val="nil"/>
            </w:tcBorders>
            <w:tcMar>
              <w:top w:w="0" w:type="dxa"/>
              <w:left w:w="62" w:type="dxa"/>
              <w:bottom w:w="0" w:type="dxa"/>
              <w:right w:w="62" w:type="dxa"/>
            </w:tcMar>
          </w:tcPr>
          <w:p w:rsidR="00000000" w:rsidP="001F4D95">
            <w:pPr>
              <w:pStyle w:val="ListBullet"/>
              <w:rPr>
                <w:lang w:val="en-NZ"/>
              </w:rPr>
            </w:pPr>
            <w:r w:rsidRPr="001F4D95">
              <w:t>Single source parallel and series-parallel a.c. circuits as they apply to problems related to installation, fault finding, maintenance or development work functions in any of the following disciplines:</w:t>
            </w:r>
          </w:p>
        </w:tc>
      </w:tr>
      <w:tr w:rsidTr="000C0F9D">
        <w:tblPrEx>
          <w:tblW w:w="0" w:type="auto"/>
          <w:tblLayout w:type="fixed"/>
          <w:tblCellMar>
            <w:left w:w="62" w:type="dxa"/>
            <w:right w:w="62" w:type="dxa"/>
          </w:tblCellMar>
          <w:tblLook w:val="0000"/>
        </w:tblPrEx>
        <w:tc>
          <w:tcPr>
            <w:tcW w:w="2160" w:type="dxa"/>
            <w:gridSpan w:val="3"/>
            <w:tcBorders>
              <w:top w:val="nil"/>
              <w:left w:val="nil"/>
              <w:bottom w:val="nil"/>
              <w:right w:val="nil"/>
            </w:tcBorders>
            <w:tcMar>
              <w:top w:w="0" w:type="dxa"/>
              <w:left w:w="62" w:type="dxa"/>
              <w:bottom w:w="0" w:type="dxa"/>
              <w:right w:w="62" w:type="dxa"/>
            </w:tcMar>
          </w:tcPr>
          <w:p w:rsidR="00000000" w:rsidP="001F4D9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F4D95" w:rsidP="001F4D95">
            <w:pPr>
              <w:pStyle w:val="ListBullet"/>
            </w:pPr>
            <w:r w:rsidRPr="001F4D95">
              <w:t xml:space="preserve">Computers </w:t>
            </w:r>
          </w:p>
          <w:p w:rsidR="00000000" w:rsidRPr="001F4D95" w:rsidP="001F4D95">
            <w:pPr>
              <w:pStyle w:val="ListBullet"/>
            </w:pPr>
            <w:r w:rsidRPr="001F4D95">
              <w:t>Data Communications</w:t>
            </w:r>
          </w:p>
          <w:p w:rsidR="00000000" w:rsidRPr="001F4D95" w:rsidP="001F4D95">
            <w:pPr>
              <w:pStyle w:val="ListBullet"/>
            </w:pPr>
            <w:r w:rsidRPr="001F4D95">
              <w:t>Electrical</w:t>
            </w:r>
          </w:p>
          <w:p w:rsidR="00000000" w:rsidRPr="001F4D95" w:rsidP="001F4D95">
            <w:pPr>
              <w:pStyle w:val="ListBullet"/>
            </w:pPr>
            <w:r w:rsidRPr="001F4D95">
              <w:t>Electronics</w:t>
            </w:r>
          </w:p>
          <w:p w:rsidR="00000000" w:rsidRPr="001F4D95" w:rsidP="001F4D95">
            <w:pPr>
              <w:pStyle w:val="ListBullet"/>
            </w:pPr>
            <w:r w:rsidRPr="001F4D95">
              <w:t>Fire protection</w:t>
            </w:r>
          </w:p>
          <w:p w:rsidR="00000000" w:rsidRPr="001F4D95" w:rsidP="001F4D95">
            <w:pPr>
              <w:pStyle w:val="ListBullet"/>
            </w:pPr>
            <w:r w:rsidRPr="001F4D95">
              <w:t>Instrumentation</w:t>
            </w:r>
          </w:p>
          <w:p w:rsidR="00000000" w:rsidP="001F4D95">
            <w:pPr>
              <w:pStyle w:val="ListBullet"/>
              <w:rPr>
                <w:lang w:val="en-NZ"/>
              </w:rPr>
            </w:pPr>
            <w:r w:rsidRPr="001F4D95">
              <w:t>Refrigeration and Air Conditioning</w:t>
            </w:r>
          </w:p>
        </w:tc>
      </w:tr>
      <w:tr w:rsidTr="000C0F9D">
        <w:tblPrEx>
          <w:tblW w:w="0" w:type="auto"/>
          <w:tblLayout w:type="fixed"/>
          <w:tblCellMar>
            <w:left w:w="62" w:type="dxa"/>
            <w:right w:w="62" w:type="dxa"/>
          </w:tblCellMar>
          <w:tblLook w:val="0000"/>
        </w:tblPrEx>
        <w:tc>
          <w:tcPr>
            <w:tcW w:w="1620" w:type="dxa"/>
            <w:gridSpan w:val="2"/>
            <w:tcBorders>
              <w:top w:val="nil"/>
              <w:left w:val="nil"/>
              <w:bottom w:val="nil"/>
              <w:right w:val="nil"/>
            </w:tcBorders>
            <w:tcMar>
              <w:top w:w="0" w:type="dxa"/>
              <w:left w:w="62" w:type="dxa"/>
              <w:bottom w:w="0" w:type="dxa"/>
              <w:right w:w="62" w:type="dxa"/>
            </w:tcMar>
          </w:tcPr>
          <w:p w:rsidR="00000000" w:rsidP="001F4D95">
            <w:pPr>
              <w:pStyle w:val="BodyText"/>
              <w:rPr>
                <w:lang w:val="en-NZ"/>
              </w:rPr>
            </w:pPr>
          </w:p>
        </w:tc>
        <w:tc>
          <w:tcPr>
            <w:tcW w:w="6840" w:type="dxa"/>
            <w:gridSpan w:val="2"/>
            <w:tcBorders>
              <w:top w:val="nil"/>
              <w:left w:val="nil"/>
              <w:bottom w:val="nil"/>
              <w:right w:val="nil"/>
            </w:tcBorders>
            <w:tcMar>
              <w:top w:w="0" w:type="dxa"/>
              <w:left w:w="62" w:type="dxa"/>
              <w:bottom w:w="0" w:type="dxa"/>
              <w:right w:w="62" w:type="dxa"/>
            </w:tcMar>
          </w:tcPr>
          <w:p w:rsidR="00000000" w:rsidP="001F4D95">
            <w:pPr>
              <w:pStyle w:val="ListBullet"/>
              <w:rPr>
                <w:lang w:val="en-NZ"/>
              </w:rPr>
            </w:pPr>
            <w:r w:rsidRPr="001F4D95">
              <w:t>In relation to at least two of the following types of circuit problems and on at least two occasions</w:t>
            </w:r>
          </w:p>
        </w:tc>
      </w:tr>
      <w:tr w:rsidTr="000C0F9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1F4D95">
            <w:pPr>
              <w:pStyle w:val="BodyText"/>
              <w:rPr>
                <w:lang w:val="en-NZ"/>
              </w:rPr>
            </w:pPr>
          </w:p>
        </w:tc>
      </w:tr>
      <w:tr w:rsidTr="000C0F9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Generic terms used throughout this Vocational Standard shall be regarded as part of the Range Statement in which competency is demonstrated. The definition of these and other terms that apply are given in Volume 2, Part 2.1.</w:t>
            </w:r>
          </w:p>
        </w:tc>
      </w:tr>
    </w:tbl>
    <w:p w:rsidR="000C0F9D" w:rsidP="001F4D95">
      <w:pPr>
        <w:pStyle w:val="BodyText"/>
      </w:pPr>
    </w:p>
    <w:p w:rsidR="000C0F9D" w:rsidP="001F4D95">
      <w:pPr>
        <w:pStyle w:val="BodyText"/>
      </w:pPr>
    </w:p>
    <w:p w:rsidR="00000000" w:rsidRPr="001F4D95" w:rsidP="001F4D95">
      <w:pPr>
        <w:pStyle w:val="Heading1"/>
      </w:pPr>
      <w:bookmarkStart w:id="12" w:name="O_296223"/>
      <w:bookmarkEnd w:id="12"/>
      <w:r w:rsidRPr="001F4D95">
        <w:t>Unit Sector(s)</w:t>
      </w:r>
    </w:p>
    <w:p w:rsidR="00000000" w:rsidRPr="001F4D95" w:rsidP="001F4D95">
      <w:pPr>
        <w:pStyle w:val="BodyText"/>
      </w:pPr>
      <w:r w:rsidRPr="001F4D95">
        <w:t>Not Applicable</w:t>
      </w:r>
    </w:p>
    <w:p w:rsidR="00000000" w:rsidRPr="001F4D95" w:rsidP="001F4D95">
      <w:pPr>
        <w:pStyle w:val="AllowPageBreak"/>
      </w:pPr>
    </w:p>
    <w:p w:rsidR="00000000" w:rsidRPr="001F4D95" w:rsidP="001F4D95">
      <w:pPr>
        <w:pStyle w:val="Heading1"/>
      </w:pPr>
      <w:bookmarkStart w:id="13" w:name="O_225480"/>
      <w:bookmarkEnd w:id="13"/>
      <w:r w:rsidRPr="001F4D9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C0F9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2</w:t>
            </w:r>
            <w:r w:rsidRPr="001F4D95">
              <w:t>.</w:t>
            </w:r>
            <w:r w:rsidRPr="001F4D95">
              <w:rPr>
                <w:rStyle w:val="SpecialBold"/>
              </w:rPr>
              <w:t>2</w:t>
            </w:r>
            <w:r w:rsidRPr="001F4D95">
              <w:t xml:space="preserve">) </w:t>
            </w:r>
            <w:r w:rsidRPr="001F4D95">
              <w:rPr>
                <w:rStyle w:val="SpecialBold"/>
              </w:rPr>
              <w:t>Literacy and numeracy skills</w:t>
            </w:r>
          </w:p>
          <w:p w:rsidR="00000000" w:rsidP="001F4D95">
            <w:pPr>
              <w:pStyle w:val="BodyText"/>
              <w:rPr>
                <w:lang w:val="en-NZ"/>
              </w:rPr>
            </w:pPr>
            <w:r w:rsidRPr="001F4D95">
              <w:t>Participants are best equipped to achieve competency in this unit if they have reading, writing and numeracy skills indicated by the following scales. Descrip</w:t>
            </w:r>
            <w:r w:rsidRPr="001F4D95">
              <w:t>tion of each scale is given in Volume 2, Part 3 'Literacy and Numeracy'</w:t>
            </w:r>
          </w:p>
        </w:tc>
      </w:tr>
      <w:tr w:rsidTr="000C0F9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Reading</w:t>
            </w:r>
          </w:p>
        </w:tc>
        <w:tc>
          <w:tcPr>
            <w:tcW w:w="1182"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4</w:t>
            </w:r>
          </w:p>
        </w:tc>
        <w:tc>
          <w:tcPr>
            <w:tcW w:w="1739"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Writing</w:t>
            </w:r>
          </w:p>
        </w:tc>
        <w:tc>
          <w:tcPr>
            <w:tcW w:w="1182"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4</w:t>
            </w:r>
          </w:p>
        </w:tc>
        <w:tc>
          <w:tcPr>
            <w:tcW w:w="1721"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t>Numeracy</w:t>
            </w:r>
          </w:p>
        </w:tc>
        <w:tc>
          <w:tcPr>
            <w:tcW w:w="1182"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5</w:t>
            </w:r>
          </w:p>
        </w:tc>
      </w:tr>
    </w:tbl>
    <w:p w:rsidR="000C0F9D" w:rsidP="001F4D95">
      <w:pPr>
        <w:pStyle w:val="BodyText"/>
      </w:pPr>
    </w:p>
    <w:p w:rsidR="000C0F9D" w:rsidP="001F4D95">
      <w:pPr>
        <w:pStyle w:val="BodyText"/>
      </w:pPr>
    </w:p>
    <w:p w:rsidR="00000000" w:rsidRPr="001F4D95" w:rsidP="001F4D95">
      <w:pPr>
        <w:pStyle w:val="Heading1"/>
      </w:pPr>
      <w:bookmarkStart w:id="14" w:name="O_225483"/>
      <w:bookmarkEnd w:id="14"/>
      <w:r w:rsidRPr="001F4D95">
        <w:t>Custom Content Section</w:t>
      </w:r>
    </w:p>
    <w:tbl>
      <w:tblPr>
        <w:tblW w:w="0" w:type="auto"/>
        <w:tblLayout w:type="fixed"/>
        <w:tblCellMar>
          <w:left w:w="62" w:type="dxa"/>
          <w:right w:w="62" w:type="dxa"/>
        </w:tblCellMar>
        <w:tblLook w:val="0000"/>
      </w:tblPr>
      <w:tblGrid>
        <w:gridCol w:w="2700"/>
        <w:gridCol w:w="5760"/>
      </w:tblGrid>
      <w:tr w:rsidTr="000C0F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F4D95">
            <w:pPr>
              <w:pStyle w:val="BodyText"/>
              <w:rPr>
                <w:lang w:val="en-NZ"/>
              </w:rPr>
            </w:pPr>
            <w:r w:rsidRPr="001F4D95">
              <w:rPr>
                <w:rStyle w:val="SpecialBold"/>
              </w:rPr>
              <w:t>5</w:t>
            </w:r>
            <w:r w:rsidRPr="001F4D95">
              <w:t>)</w:t>
            </w:r>
          </w:p>
        </w:tc>
      </w:tr>
      <w:tr w:rsidTr="000C0F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4D95" w:rsidP="001F4D95">
            <w:pPr>
              <w:pStyle w:val="BodyText"/>
            </w:pPr>
            <w:r w:rsidRPr="001F4D95">
              <w:t>Electrotechnology</w:t>
            </w:r>
          </w:p>
        </w:tc>
      </w:tr>
    </w:tbl>
    <w:p w:rsidR="000C0F9D" w:rsidP="001F4D95">
      <w:pPr>
        <w:pStyle w:val="BodyText"/>
      </w:pPr>
    </w:p>
    <w:p w:rsidR="000C0F9D" w:rsidP="001F4D95">
      <w:pPr>
        <w:pStyle w:val="BodyText"/>
      </w:pPr>
    </w:p>
    <w:p w:rsidR="00000000" w:rsidRPr="001F4D95" w:rsidP="001F4D95"/>
    <w:sectPr w:rsidSect="001F4D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F9D" w:rsidP="000C0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9D" w:rsidP="001F4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0F9D" w:rsidP="001F4D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C0F9D" w:rsidP="001F4D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F9D" w:rsidP="000C0F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9D" w:rsidP="001F4D95">
    <w:pPr>
      <w:pStyle w:val="Header"/>
      <w:framePr w:wrap="around"/>
    </w:pPr>
    <w:r>
      <w:fldChar w:fldCharType="begin"/>
    </w:r>
    <w:r>
      <w:instrText xml:space="preserve"> TITLE   \* MERGEFORMAT </w:instrText>
    </w:r>
    <w:r>
      <w:fldChar w:fldCharType="separate"/>
    </w:r>
    <w:r>
      <w:t>UEENEEE019C Solve problems in multiple path a.c.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0F9D" w:rsidP="001F4D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40B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25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C5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D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D95"/>
    <w:pPr>
      <w:spacing w:before="360" w:after="60"/>
      <w:outlineLvl w:val="0"/>
    </w:pPr>
    <w:rPr>
      <w:sz w:val="32"/>
    </w:rPr>
  </w:style>
  <w:style w:type="paragraph" w:styleId="Heading2">
    <w:name w:val="heading 2"/>
    <w:basedOn w:val="HeadingBase"/>
    <w:next w:val="BodyText"/>
    <w:link w:val="Heading2Char"/>
    <w:qFormat/>
    <w:rsid w:val="001F4D95"/>
    <w:pPr>
      <w:keepLines/>
      <w:spacing w:before="240" w:after="120"/>
      <w:outlineLvl w:val="1"/>
    </w:pPr>
    <w:rPr>
      <w:sz w:val="28"/>
      <w:szCs w:val="40"/>
    </w:rPr>
  </w:style>
  <w:style w:type="paragraph" w:styleId="Heading3">
    <w:name w:val="heading 3"/>
    <w:basedOn w:val="HeadingBase"/>
    <w:next w:val="BodyText"/>
    <w:link w:val="Heading3Char"/>
    <w:qFormat/>
    <w:rsid w:val="001F4D95"/>
    <w:pPr>
      <w:spacing w:before="180" w:after="120"/>
      <w:outlineLvl w:val="2"/>
    </w:pPr>
    <w:rPr>
      <w:spacing w:val="-10"/>
      <w:kern w:val="32"/>
    </w:rPr>
  </w:style>
  <w:style w:type="paragraph" w:styleId="Heading4">
    <w:name w:val="heading 4"/>
    <w:basedOn w:val="HeadingBase"/>
    <w:next w:val="BodyText"/>
    <w:link w:val="Heading4Char"/>
    <w:qFormat/>
    <w:rsid w:val="001F4D95"/>
    <w:pPr>
      <w:spacing w:before="160" w:after="120"/>
      <w:outlineLvl w:val="3"/>
    </w:pPr>
    <w:rPr>
      <w:sz w:val="22"/>
    </w:rPr>
  </w:style>
  <w:style w:type="paragraph" w:styleId="Heading5">
    <w:name w:val="heading 5"/>
    <w:basedOn w:val="HeadingBase"/>
    <w:next w:val="Normal"/>
    <w:link w:val="Heading5Char"/>
    <w:qFormat/>
    <w:rsid w:val="001F4D95"/>
    <w:pPr>
      <w:spacing w:before="80"/>
      <w:outlineLvl w:val="4"/>
    </w:pPr>
    <w:rPr>
      <w:color w:val="918585"/>
      <w:sz w:val="20"/>
    </w:rPr>
  </w:style>
  <w:style w:type="paragraph" w:styleId="Heading6">
    <w:name w:val="heading 6"/>
    <w:basedOn w:val="HeadingBase"/>
    <w:next w:val="Normal"/>
    <w:link w:val="Heading6Char"/>
    <w:qFormat/>
    <w:rsid w:val="001F4D95"/>
    <w:pPr>
      <w:spacing w:before="60"/>
      <w:outlineLvl w:val="5"/>
    </w:pPr>
    <w:rPr>
      <w:color w:val="918585"/>
      <w:sz w:val="20"/>
    </w:rPr>
  </w:style>
  <w:style w:type="paragraph" w:styleId="Heading7">
    <w:name w:val="heading 7"/>
    <w:basedOn w:val="Normal"/>
    <w:next w:val="Normal"/>
    <w:link w:val="Heading7Char"/>
    <w:qFormat/>
    <w:rsid w:val="001F4D95"/>
    <w:pPr>
      <w:ind w:left="720"/>
      <w:outlineLvl w:val="6"/>
    </w:pPr>
    <w:rPr>
      <w:i/>
    </w:rPr>
  </w:style>
  <w:style w:type="paragraph" w:styleId="Heading8">
    <w:name w:val="heading 8"/>
    <w:basedOn w:val="Normal"/>
    <w:next w:val="Normal"/>
    <w:link w:val="Heading8Char"/>
    <w:qFormat/>
    <w:rsid w:val="001F4D95"/>
    <w:pPr>
      <w:ind w:left="720"/>
      <w:outlineLvl w:val="7"/>
    </w:pPr>
    <w:rPr>
      <w:i/>
    </w:rPr>
  </w:style>
  <w:style w:type="paragraph" w:styleId="Heading9">
    <w:name w:val="heading 9"/>
    <w:basedOn w:val="Normal"/>
    <w:next w:val="Normal"/>
    <w:link w:val="Heading9Char"/>
    <w:qFormat/>
    <w:rsid w:val="001F4D95"/>
    <w:pPr>
      <w:ind w:left="720"/>
      <w:outlineLvl w:val="8"/>
    </w:pPr>
    <w:rPr>
      <w:i/>
    </w:rPr>
  </w:style>
  <w:style w:type="character" w:default="1" w:styleId="DefaultParagraphFont">
    <w:name w:val="Default Paragraph Font"/>
    <w:uiPriority w:val="1"/>
    <w:unhideWhenUsed/>
    <w:rsid w:val="001F4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D95"/>
  </w:style>
  <w:style w:type="character" w:customStyle="1" w:styleId="Heading1Char">
    <w:name w:val="Heading 1 Char"/>
    <w:link w:val="Heading1"/>
    <w:rsid w:val="001F4D95"/>
    <w:rPr>
      <w:rFonts w:ascii="Times New Roman" w:eastAsia="Times New Roman" w:hAnsi="Times New Roman" w:cs="Times New Roman"/>
      <w:b/>
      <w:sz w:val="32"/>
      <w:szCs w:val="20"/>
      <w:lang w:eastAsia="en-US"/>
    </w:rPr>
  </w:style>
  <w:style w:type="paragraph" w:styleId="BodyText">
    <w:name w:val="Body Text"/>
    <w:basedOn w:val="Normal"/>
    <w:link w:val="BodyTextChar"/>
    <w:rsid w:val="001F4D95"/>
    <w:pPr>
      <w:spacing w:before="120" w:after="120"/>
      <w:contextualSpacing/>
    </w:pPr>
    <w:rPr>
      <w:rFonts w:ascii="Times New Roman" w:hAnsi="Times New Roman"/>
      <w:sz w:val="24"/>
      <w:szCs w:val="22"/>
    </w:rPr>
  </w:style>
  <w:style w:type="character" w:customStyle="1" w:styleId="BodyTextChar">
    <w:name w:val="Body Text Char"/>
    <w:link w:val="BodyText"/>
    <w:rsid w:val="001F4D95"/>
    <w:rPr>
      <w:rFonts w:ascii="Times New Roman" w:eastAsia="Times New Roman" w:hAnsi="Times New Roman" w:cs="Times New Roman"/>
      <w:sz w:val="24"/>
      <w:lang w:val="en-US" w:eastAsia="en-US"/>
    </w:rPr>
  </w:style>
  <w:style w:type="paragraph" w:styleId="Footer">
    <w:name w:val="footer"/>
    <w:basedOn w:val="Normal"/>
    <w:link w:val="FooterChar"/>
    <w:rsid w:val="001F4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4D95"/>
    <w:rPr>
      <w:rFonts w:ascii="Times New Roman" w:eastAsia="Times New Roman" w:hAnsi="Times New Roman" w:cs="Times New Roman"/>
      <w:sz w:val="16"/>
      <w:lang w:val="en-US" w:eastAsia="en-US"/>
    </w:rPr>
  </w:style>
  <w:style w:type="paragraph" w:styleId="ListBullet">
    <w:name w:val="List Bullet"/>
    <w:basedOn w:val="List"/>
    <w:rsid w:val="001F4D95"/>
    <w:pPr>
      <w:numPr>
        <w:numId w:val="13"/>
      </w:numPr>
      <w:tabs>
        <w:tab w:val="clear" w:pos="340"/>
      </w:tabs>
      <w:spacing w:before="40" w:after="40"/>
    </w:pPr>
  </w:style>
  <w:style w:type="character" w:customStyle="1" w:styleId="SpecialBold">
    <w:name w:val="Special Bold"/>
    <w:rsid w:val="001F4D95"/>
    <w:rPr>
      <w:b/>
      <w:spacing w:val="0"/>
    </w:rPr>
  </w:style>
  <w:style w:type="paragraph" w:styleId="ListBullet2">
    <w:name w:val="List Bullet 2"/>
    <w:basedOn w:val="List2"/>
    <w:rsid w:val="001F4D95"/>
    <w:pPr>
      <w:numPr>
        <w:numId w:val="14"/>
      </w:numPr>
      <w:tabs>
        <w:tab w:val="clear" w:pos="680"/>
      </w:tabs>
    </w:pPr>
  </w:style>
  <w:style w:type="paragraph" w:styleId="Header">
    <w:name w:val="header"/>
    <w:basedOn w:val="Normal"/>
    <w:link w:val="HeaderChar"/>
    <w:rsid w:val="001F4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4D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4D95"/>
    <w:pPr>
      <w:spacing w:before="240" w:after="120"/>
      <w:outlineLvl w:val="0"/>
    </w:pPr>
    <w:rPr>
      <w:rFonts w:ascii="Times New Roman" w:hAnsi="Times New Roman"/>
      <w:b/>
      <w:sz w:val="28"/>
    </w:rPr>
  </w:style>
  <w:style w:type="paragraph" w:customStyle="1" w:styleId="AllowPageBreak">
    <w:name w:val="AllowPageBreak"/>
    <w:rsid w:val="001F4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F4D95"/>
    <w:rPr>
      <w:rFonts w:ascii="Times New Roman" w:eastAsia="Times New Roman" w:hAnsi="Times New Roman" w:cs="Times New Roman"/>
      <w:b/>
      <w:sz w:val="28"/>
      <w:szCs w:val="40"/>
      <w:lang w:eastAsia="en-US"/>
    </w:rPr>
  </w:style>
  <w:style w:type="character" w:customStyle="1" w:styleId="Heading3Char">
    <w:name w:val="Heading 3 Char"/>
    <w:link w:val="Heading3"/>
    <w:rsid w:val="001F4D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4D95"/>
    <w:rPr>
      <w:rFonts w:ascii="Times New Roman" w:eastAsia="Times New Roman" w:hAnsi="Times New Roman" w:cs="Times New Roman"/>
      <w:b/>
      <w:szCs w:val="20"/>
      <w:lang w:eastAsia="en-US"/>
    </w:rPr>
  </w:style>
  <w:style w:type="character" w:customStyle="1" w:styleId="Heading5Char">
    <w:name w:val="Heading 5 Char"/>
    <w:link w:val="Heading5"/>
    <w:rsid w:val="001F4D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4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D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D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D95"/>
    <w:rPr>
      <w:rFonts w:ascii="Courier New" w:eastAsia="Times New Roman" w:hAnsi="Courier New" w:cs="Times New Roman"/>
      <w:i/>
      <w:szCs w:val="20"/>
      <w:lang w:val="en-US" w:eastAsia="en-US"/>
    </w:rPr>
  </w:style>
  <w:style w:type="paragraph" w:customStyle="1" w:styleId="HeadingBase">
    <w:name w:val="Heading Base"/>
    <w:rsid w:val="001F4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D95"/>
    <w:pPr>
      <w:tabs>
        <w:tab w:val="right" w:leader="dot" w:pos="9072"/>
      </w:tabs>
      <w:ind w:left="567"/>
    </w:pPr>
    <w:rPr>
      <w:szCs w:val="22"/>
    </w:rPr>
  </w:style>
  <w:style w:type="paragraph" w:customStyle="1" w:styleId="TOCBase">
    <w:name w:val="TOC Base"/>
    <w:rsid w:val="001F4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D95"/>
    <w:pPr>
      <w:tabs>
        <w:tab w:val="right" w:leader="dot" w:pos="9072"/>
      </w:tabs>
      <w:spacing w:before="40" w:after="40"/>
      <w:ind w:left="284"/>
    </w:pPr>
    <w:rPr>
      <w:rFonts w:ascii="Times New Roman" w:hAnsi="Times New Roman"/>
    </w:rPr>
  </w:style>
  <w:style w:type="paragraph" w:styleId="TOC1">
    <w:name w:val="toc 1"/>
    <w:basedOn w:val="TOCBase"/>
    <w:next w:val="Normal"/>
    <w:rsid w:val="001F4D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D95"/>
    <w:pPr>
      <w:spacing w:before="5040"/>
      <w:jc w:val="center"/>
    </w:pPr>
    <w:rPr>
      <w:sz w:val="48"/>
      <w:szCs w:val="72"/>
      <w:lang w:val="en-US"/>
    </w:rPr>
  </w:style>
  <w:style w:type="character" w:customStyle="1" w:styleId="TitleChar">
    <w:name w:val="Title Char"/>
    <w:link w:val="Title"/>
    <w:rsid w:val="001F4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D95"/>
    <w:pPr>
      <w:tabs>
        <w:tab w:val="left" w:pos="3600"/>
        <w:tab w:val="left" w:pos="3958"/>
      </w:tabs>
    </w:pPr>
  </w:style>
  <w:style w:type="paragraph" w:styleId="List">
    <w:name w:val="List"/>
    <w:basedOn w:val="BodyText"/>
    <w:next w:val="BodyText"/>
    <w:rsid w:val="001F4D95"/>
    <w:pPr>
      <w:tabs>
        <w:tab w:val="left" w:pos="340"/>
      </w:tabs>
      <w:spacing w:before="60" w:after="60"/>
      <w:ind w:left="340" w:hanging="340"/>
    </w:pPr>
  </w:style>
  <w:style w:type="paragraph" w:customStyle="1" w:styleId="Note">
    <w:name w:val="Note"/>
    <w:basedOn w:val="BodyText"/>
    <w:rsid w:val="001F4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D95"/>
    <w:pPr>
      <w:framePr w:wrap="auto" w:hAnchor="text" w:y="6049"/>
    </w:pPr>
    <w:rPr>
      <w:color w:val="000000"/>
      <w:sz w:val="40"/>
    </w:rPr>
  </w:style>
  <w:style w:type="paragraph" w:customStyle="1" w:styleId="TOCTitle">
    <w:name w:val="TOCTitle"/>
    <w:basedOn w:val="Heading1"/>
    <w:rsid w:val="001F4D95"/>
    <w:pPr>
      <w:spacing w:after="240"/>
      <w:jc w:val="center"/>
      <w:outlineLvl w:val="9"/>
    </w:pPr>
    <w:rPr>
      <w:caps/>
    </w:rPr>
  </w:style>
  <w:style w:type="paragraph" w:customStyle="1" w:styleId="Version">
    <w:name w:val="Version"/>
    <w:rsid w:val="001F4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D95"/>
    <w:pPr>
      <w:keepNext w:val="0"/>
      <w:tabs>
        <w:tab w:val="right" w:pos="4176"/>
      </w:tabs>
      <w:ind w:left="198" w:hanging="198"/>
    </w:pPr>
    <w:rPr>
      <w:rFonts w:ascii="Garamond" w:hAnsi="Garamond"/>
    </w:rPr>
  </w:style>
  <w:style w:type="paragraph" w:styleId="IndexHeading">
    <w:name w:val="index heading"/>
    <w:basedOn w:val="Normal"/>
    <w:next w:val="Index1"/>
    <w:semiHidden/>
    <w:rsid w:val="001F4D95"/>
    <w:pPr>
      <w:spacing w:before="120" w:after="120"/>
    </w:pPr>
    <w:rPr>
      <w:rFonts w:ascii="Arial" w:hAnsi="Arial"/>
      <w:b/>
      <w:color w:val="918585"/>
      <w:sz w:val="24"/>
    </w:rPr>
  </w:style>
  <w:style w:type="paragraph" w:customStyle="1" w:styleId="Chapter">
    <w:name w:val="Chapter"/>
    <w:basedOn w:val="Normal"/>
    <w:rsid w:val="001F4D95"/>
    <w:pPr>
      <w:spacing w:before="240"/>
    </w:pPr>
    <w:rPr>
      <w:rFonts w:ascii="Times New Roman" w:hAnsi="Times New Roman"/>
      <w:smallCaps/>
      <w:spacing w:val="80"/>
      <w:sz w:val="28"/>
    </w:rPr>
  </w:style>
  <w:style w:type="paragraph" w:customStyle="1" w:styleId="InChapter">
    <w:name w:val="InChapter"/>
    <w:basedOn w:val="Heading3"/>
    <w:rsid w:val="001F4D95"/>
    <w:pPr>
      <w:spacing w:after="240"/>
      <w:outlineLvl w:val="9"/>
    </w:pPr>
    <w:rPr>
      <w:noProof/>
    </w:rPr>
  </w:style>
  <w:style w:type="paragraph" w:styleId="Index2">
    <w:name w:val="index 2"/>
    <w:basedOn w:val="Normal"/>
    <w:next w:val="Normal"/>
    <w:semiHidden/>
    <w:rsid w:val="001F4D95"/>
    <w:pPr>
      <w:tabs>
        <w:tab w:val="right" w:pos="4176"/>
      </w:tabs>
      <w:ind w:left="568" w:hanging="284"/>
    </w:pPr>
    <w:rPr>
      <w:rFonts w:ascii="Garamond" w:hAnsi="Garamond"/>
    </w:rPr>
  </w:style>
  <w:style w:type="paragraph" w:customStyle="1" w:styleId="Byline">
    <w:name w:val="Byline"/>
    <w:rsid w:val="001F4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D95"/>
    <w:pPr>
      <w:tabs>
        <w:tab w:val="clear" w:pos="3600"/>
        <w:tab w:val="clear" w:pos="3958"/>
      </w:tabs>
      <w:jc w:val="right"/>
    </w:pPr>
  </w:style>
  <w:style w:type="character" w:styleId="Emphasis">
    <w:name w:val="Emphasis"/>
    <w:qFormat/>
    <w:rsid w:val="001F4D95"/>
    <w:rPr>
      <w:i/>
    </w:rPr>
  </w:style>
  <w:style w:type="paragraph" w:styleId="Caption">
    <w:name w:val="caption"/>
    <w:basedOn w:val="BodyText"/>
    <w:next w:val="Normal"/>
    <w:qFormat/>
    <w:rsid w:val="001F4D95"/>
    <w:pPr>
      <w:framePr w:w="2268" w:hSpace="181" w:vSpace="181" w:wrap="around" w:vAnchor="text" w:hAnchor="page" w:x="1135" w:y="285" w:anchorLock="1"/>
    </w:pPr>
    <w:rPr>
      <w:i/>
    </w:rPr>
  </w:style>
  <w:style w:type="paragraph" w:customStyle="1" w:styleId="MiniTOCTitle">
    <w:name w:val="MiniTOCTitle"/>
    <w:basedOn w:val="Heading4"/>
    <w:rsid w:val="001F4D95"/>
    <w:pPr>
      <w:spacing w:before="240"/>
      <w:outlineLvl w:val="9"/>
    </w:pPr>
    <w:rPr>
      <w:noProof/>
      <w:sz w:val="24"/>
    </w:rPr>
  </w:style>
  <w:style w:type="paragraph" w:customStyle="1" w:styleId="MiniTOCItem">
    <w:name w:val="MiniTOCItem"/>
    <w:basedOn w:val="ListBullet"/>
    <w:rsid w:val="001F4D95"/>
    <w:pPr>
      <w:numPr>
        <w:numId w:val="0"/>
      </w:numPr>
      <w:tabs>
        <w:tab w:val="right" w:leader="dot" w:pos="6521"/>
      </w:tabs>
      <w:spacing w:before="0" w:after="0"/>
    </w:pPr>
  </w:style>
  <w:style w:type="paragraph" w:customStyle="1" w:styleId="TOFTitle">
    <w:name w:val="TOFTitle"/>
    <w:basedOn w:val="TOCTitle"/>
    <w:rsid w:val="001F4D95"/>
  </w:style>
  <w:style w:type="paragraph" w:styleId="TableofFigures">
    <w:name w:val="table of figures"/>
    <w:basedOn w:val="Normal"/>
    <w:next w:val="Normal"/>
    <w:semiHidden/>
    <w:rsid w:val="001F4D95"/>
    <w:pPr>
      <w:tabs>
        <w:tab w:val="right" w:leader="dot" w:pos="9072"/>
      </w:tabs>
      <w:ind w:left="970" w:hanging="403"/>
    </w:pPr>
    <w:rPr>
      <w:rFonts w:ascii="Times New Roman" w:hAnsi="Times New Roman"/>
      <w:b/>
    </w:rPr>
  </w:style>
  <w:style w:type="paragraph" w:styleId="ListNumber">
    <w:name w:val="List Number"/>
    <w:basedOn w:val="List"/>
    <w:rsid w:val="001F4D95"/>
    <w:pPr>
      <w:numPr>
        <w:numId w:val="11"/>
      </w:numPr>
    </w:pPr>
  </w:style>
  <w:style w:type="character" w:customStyle="1" w:styleId="WingdingSymbols">
    <w:name w:val="Wingding Symbols"/>
    <w:rsid w:val="001F4D95"/>
    <w:rPr>
      <w:rFonts w:ascii="Wingdings" w:hAnsi="Wingdings"/>
    </w:rPr>
  </w:style>
  <w:style w:type="paragraph" w:customStyle="1" w:styleId="TableHeading">
    <w:name w:val="Table Heading"/>
    <w:basedOn w:val="HeadingBase"/>
    <w:rsid w:val="001F4D95"/>
    <w:pPr>
      <w:keepLines/>
      <w:pBdr>
        <w:bottom w:val="single" w:sz="6" w:space="1" w:color="918585"/>
      </w:pBdr>
      <w:spacing w:before="240"/>
    </w:pPr>
  </w:style>
  <w:style w:type="character" w:customStyle="1" w:styleId="HotSpot">
    <w:name w:val="HotSpot"/>
    <w:rsid w:val="001F4D95"/>
    <w:rPr>
      <w:color w:val="0033CC"/>
      <w:u w:val="none"/>
    </w:rPr>
  </w:style>
  <w:style w:type="paragraph" w:customStyle="1" w:styleId="BodyTextRight">
    <w:name w:val="Body Text Right"/>
    <w:basedOn w:val="BodyText"/>
    <w:rsid w:val="001F4D95"/>
    <w:pPr>
      <w:spacing w:before="0" w:after="0"/>
      <w:jc w:val="right"/>
    </w:pPr>
  </w:style>
  <w:style w:type="paragraph" w:styleId="Index3">
    <w:name w:val="index 3"/>
    <w:basedOn w:val="ListNumber2"/>
    <w:next w:val="Normal"/>
    <w:semiHidden/>
    <w:rsid w:val="001F4D95"/>
    <w:pPr>
      <w:numPr>
        <w:numId w:val="0"/>
      </w:numPr>
      <w:tabs>
        <w:tab w:val="right" w:leader="dot" w:pos="4176"/>
      </w:tabs>
    </w:pPr>
  </w:style>
  <w:style w:type="paragraph" w:styleId="ListNumber2">
    <w:name w:val="List Number 2"/>
    <w:basedOn w:val="List2"/>
    <w:rsid w:val="001F4D95"/>
    <w:pPr>
      <w:numPr>
        <w:numId w:val="10"/>
      </w:numPr>
      <w:tabs>
        <w:tab w:val="clear" w:pos="1060"/>
      </w:tabs>
    </w:pPr>
  </w:style>
  <w:style w:type="paragraph" w:customStyle="1" w:styleId="MarginNote">
    <w:name w:val="Margin Note"/>
    <w:basedOn w:val="BodyText"/>
    <w:rsid w:val="001F4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4D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D95"/>
    <w:rPr>
      <w:sz w:val="32"/>
    </w:rPr>
  </w:style>
  <w:style w:type="paragraph" w:customStyle="1" w:styleId="HeadingProcedure">
    <w:name w:val="Heading Procedure"/>
    <w:basedOn w:val="HeadingBase"/>
    <w:next w:val="Normal"/>
    <w:rsid w:val="001F4D95"/>
    <w:pPr>
      <w:tabs>
        <w:tab w:val="left" w:pos="0"/>
      </w:tabs>
      <w:spacing w:before="120" w:after="60"/>
    </w:pPr>
    <w:rPr>
      <w:i/>
      <w:color w:val="918585"/>
      <w:sz w:val="22"/>
    </w:rPr>
  </w:style>
  <w:style w:type="paragraph" w:customStyle="1" w:styleId="TableBodyText">
    <w:name w:val="Table Body Text"/>
    <w:basedOn w:val="BodyText"/>
    <w:rsid w:val="001F4D95"/>
    <w:pPr>
      <w:spacing w:before="60" w:after="60"/>
    </w:pPr>
  </w:style>
  <w:style w:type="paragraph" w:styleId="ListContinue">
    <w:name w:val="List Continue"/>
    <w:basedOn w:val="List"/>
    <w:rsid w:val="001F4D95"/>
    <w:pPr>
      <w:ind w:firstLine="0"/>
    </w:pPr>
  </w:style>
  <w:style w:type="paragraph" w:customStyle="1" w:styleId="ListNote">
    <w:name w:val="List Note"/>
    <w:basedOn w:val="List"/>
    <w:rsid w:val="001F4D95"/>
    <w:pPr>
      <w:pBdr>
        <w:top w:val="single" w:sz="6" w:space="2" w:color="918585"/>
        <w:bottom w:val="single" w:sz="6" w:space="2" w:color="918585"/>
      </w:pBdr>
      <w:tabs>
        <w:tab w:val="left" w:pos="1021"/>
      </w:tabs>
      <w:ind w:firstLine="0"/>
    </w:pPr>
  </w:style>
  <w:style w:type="paragraph" w:customStyle="1" w:styleId="Warning">
    <w:name w:val="Warning"/>
    <w:basedOn w:val="BodyText"/>
    <w:rsid w:val="001F4D95"/>
    <w:pPr>
      <w:shd w:val="clear" w:color="auto" w:fill="D9D9D9"/>
      <w:tabs>
        <w:tab w:val="left" w:pos="992"/>
      </w:tabs>
      <w:ind w:left="119" w:right="119"/>
    </w:pPr>
    <w:rPr>
      <w:sz w:val="20"/>
    </w:rPr>
  </w:style>
  <w:style w:type="paragraph" w:customStyle="1" w:styleId="MarginIcons">
    <w:name w:val="Margin Icons"/>
    <w:basedOn w:val="BodyText"/>
    <w:rsid w:val="001F4D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4D95"/>
    <w:rPr>
      <w:rFonts w:ascii="Courier New" w:hAnsi="Courier New"/>
    </w:rPr>
  </w:style>
  <w:style w:type="paragraph" w:customStyle="1" w:styleId="NoteBullet">
    <w:name w:val="Note Bullet"/>
    <w:basedOn w:val="Note"/>
    <w:rsid w:val="001F4D95"/>
    <w:pPr>
      <w:tabs>
        <w:tab w:val="clear" w:pos="680"/>
      </w:tabs>
      <w:spacing w:before="60" w:after="60"/>
    </w:pPr>
  </w:style>
  <w:style w:type="paragraph" w:customStyle="1" w:styleId="SubHeading2">
    <w:name w:val="SubHeading2"/>
    <w:basedOn w:val="HeadingBase"/>
    <w:rsid w:val="001F4D95"/>
    <w:pPr>
      <w:spacing w:before="240" w:after="60"/>
    </w:pPr>
    <w:rPr>
      <w:sz w:val="20"/>
    </w:rPr>
  </w:style>
  <w:style w:type="paragraph" w:customStyle="1" w:styleId="SubHeading1">
    <w:name w:val="SubHeading1"/>
    <w:basedOn w:val="HeadingBase"/>
    <w:rsid w:val="001F4D95"/>
    <w:pPr>
      <w:spacing w:before="240" w:after="60"/>
    </w:pPr>
    <w:rPr>
      <w:color w:val="918585"/>
      <w:sz w:val="22"/>
    </w:rPr>
  </w:style>
  <w:style w:type="paragraph" w:customStyle="1" w:styleId="SideHeading">
    <w:name w:val="Side Heading"/>
    <w:basedOn w:val="HeadingBase"/>
    <w:rsid w:val="001F4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D95"/>
    <w:pPr>
      <w:numPr>
        <w:numId w:val="12"/>
      </w:numPr>
    </w:pPr>
  </w:style>
  <w:style w:type="paragraph" w:styleId="PlainText">
    <w:name w:val="Plain Text"/>
    <w:basedOn w:val="Normal"/>
    <w:link w:val="PlainTextChar"/>
    <w:rsid w:val="001F4D95"/>
    <w:rPr>
      <w:sz w:val="20"/>
    </w:rPr>
  </w:style>
  <w:style w:type="character" w:customStyle="1" w:styleId="PlainTextChar">
    <w:name w:val="Plain Text Char"/>
    <w:basedOn w:val="DefaultParagraphFont"/>
    <w:link w:val="PlainText"/>
    <w:rsid w:val="001F4D95"/>
    <w:rPr>
      <w:rFonts w:ascii="Courier New" w:eastAsia="Times New Roman" w:hAnsi="Courier New" w:cs="Times New Roman"/>
      <w:sz w:val="20"/>
      <w:szCs w:val="20"/>
      <w:lang w:val="en-US" w:eastAsia="en-US"/>
    </w:rPr>
  </w:style>
  <w:style w:type="character" w:customStyle="1" w:styleId="MenuOption">
    <w:name w:val="Menu Option"/>
    <w:rsid w:val="001F4D95"/>
    <w:rPr>
      <w:b/>
      <w:smallCaps/>
    </w:rPr>
  </w:style>
  <w:style w:type="paragraph" w:customStyle="1" w:styleId="TableListNumber">
    <w:name w:val="Table List Number"/>
    <w:basedOn w:val="ListNumber"/>
    <w:rsid w:val="001F4D95"/>
    <w:pPr>
      <w:numPr>
        <w:numId w:val="0"/>
      </w:numPr>
    </w:pPr>
  </w:style>
  <w:style w:type="paragraph" w:styleId="TOC4">
    <w:name w:val="toc 4"/>
    <w:basedOn w:val="TOCBase"/>
    <w:next w:val="Normal"/>
    <w:semiHidden/>
    <w:rsid w:val="001F4D95"/>
    <w:pPr>
      <w:tabs>
        <w:tab w:val="right" w:leader="dot" w:pos="9071"/>
      </w:tabs>
      <w:ind w:left="1701"/>
    </w:pPr>
  </w:style>
  <w:style w:type="paragraph" w:customStyle="1" w:styleId="ListAlpha">
    <w:name w:val="List Alpha"/>
    <w:basedOn w:val="List"/>
    <w:rsid w:val="001F4D95"/>
    <w:pPr>
      <w:numPr>
        <w:numId w:val="9"/>
      </w:numPr>
    </w:pPr>
  </w:style>
  <w:style w:type="paragraph" w:customStyle="1" w:styleId="ListAlpha2">
    <w:name w:val="List Alpha 2"/>
    <w:basedOn w:val="List2"/>
    <w:rsid w:val="001F4D95"/>
    <w:pPr>
      <w:numPr>
        <w:numId w:val="8"/>
      </w:numPr>
    </w:pPr>
  </w:style>
  <w:style w:type="paragraph" w:styleId="List2">
    <w:name w:val="List 2"/>
    <w:basedOn w:val="BodyText"/>
    <w:rsid w:val="001F4D95"/>
    <w:pPr>
      <w:tabs>
        <w:tab w:val="left" w:pos="680"/>
      </w:tabs>
      <w:spacing w:before="60" w:after="60"/>
      <w:ind w:left="680" w:hanging="340"/>
    </w:pPr>
  </w:style>
  <w:style w:type="paragraph" w:styleId="List3">
    <w:name w:val="List 3"/>
    <w:basedOn w:val="BodyText"/>
    <w:rsid w:val="001F4D95"/>
    <w:pPr>
      <w:tabs>
        <w:tab w:val="left" w:pos="1021"/>
      </w:tabs>
      <w:spacing w:before="60" w:after="60"/>
      <w:ind w:left="1020" w:hanging="340"/>
    </w:pPr>
  </w:style>
  <w:style w:type="paragraph" w:styleId="List4">
    <w:name w:val="List 4"/>
    <w:basedOn w:val="BodyText"/>
    <w:rsid w:val="001F4D95"/>
    <w:pPr>
      <w:tabs>
        <w:tab w:val="left" w:pos="1361"/>
      </w:tabs>
      <w:spacing w:before="60" w:after="60"/>
      <w:ind w:left="1361" w:hanging="340"/>
    </w:pPr>
  </w:style>
  <w:style w:type="paragraph" w:styleId="List5">
    <w:name w:val="List 5"/>
    <w:basedOn w:val="BodyText"/>
    <w:rsid w:val="001F4D95"/>
    <w:pPr>
      <w:tabs>
        <w:tab w:val="left" w:pos="1701"/>
      </w:tabs>
      <w:spacing w:before="60" w:after="60"/>
      <w:ind w:left="1701" w:hanging="340"/>
    </w:pPr>
  </w:style>
  <w:style w:type="paragraph" w:styleId="ListBullet3">
    <w:name w:val="List Bullet 3"/>
    <w:basedOn w:val="List3"/>
    <w:rsid w:val="001F4D95"/>
    <w:pPr>
      <w:numPr>
        <w:numId w:val="15"/>
      </w:numPr>
      <w:tabs>
        <w:tab w:val="clear" w:pos="1021"/>
      </w:tabs>
      <w:ind w:left="1037" w:hanging="357"/>
    </w:pPr>
  </w:style>
  <w:style w:type="paragraph" w:styleId="ListBullet4">
    <w:name w:val="List Bullet 4"/>
    <w:basedOn w:val="List4"/>
    <w:rsid w:val="001F4D95"/>
    <w:pPr>
      <w:numPr>
        <w:numId w:val="3"/>
      </w:numPr>
    </w:pPr>
  </w:style>
  <w:style w:type="paragraph" w:styleId="ListBullet5">
    <w:name w:val="List Bullet 5"/>
    <w:basedOn w:val="List5"/>
    <w:rsid w:val="001F4D95"/>
    <w:pPr>
      <w:numPr>
        <w:numId w:val="4"/>
      </w:numPr>
    </w:pPr>
  </w:style>
  <w:style w:type="paragraph" w:styleId="ListContinue2">
    <w:name w:val="List Continue 2"/>
    <w:basedOn w:val="List2"/>
    <w:rsid w:val="001F4D95"/>
    <w:pPr>
      <w:ind w:firstLine="0"/>
    </w:pPr>
  </w:style>
  <w:style w:type="paragraph" w:styleId="ListContinue3">
    <w:name w:val="List Continue 3"/>
    <w:basedOn w:val="List3"/>
    <w:rsid w:val="001F4D95"/>
    <w:pPr>
      <w:ind w:left="1021" w:firstLine="0"/>
    </w:pPr>
  </w:style>
  <w:style w:type="paragraph" w:styleId="ListContinue4">
    <w:name w:val="List Continue 4"/>
    <w:basedOn w:val="List4"/>
    <w:rsid w:val="001F4D95"/>
    <w:pPr>
      <w:ind w:firstLine="0"/>
    </w:pPr>
  </w:style>
  <w:style w:type="paragraph" w:styleId="ListContinue5">
    <w:name w:val="List Continue 5"/>
    <w:basedOn w:val="List5"/>
    <w:rsid w:val="001F4D95"/>
    <w:pPr>
      <w:ind w:firstLine="0"/>
    </w:pPr>
  </w:style>
  <w:style w:type="paragraph" w:styleId="ListNumber3">
    <w:name w:val="List Number 3"/>
    <w:basedOn w:val="List3"/>
    <w:rsid w:val="001F4D95"/>
    <w:pPr>
      <w:numPr>
        <w:numId w:val="5"/>
      </w:numPr>
    </w:pPr>
  </w:style>
  <w:style w:type="paragraph" w:styleId="ListNumber4">
    <w:name w:val="List Number 4"/>
    <w:basedOn w:val="List4"/>
    <w:rsid w:val="001F4D95"/>
    <w:pPr>
      <w:numPr>
        <w:numId w:val="6"/>
      </w:numPr>
    </w:pPr>
  </w:style>
  <w:style w:type="paragraph" w:styleId="ListNumber5">
    <w:name w:val="List Number 5"/>
    <w:basedOn w:val="List5"/>
    <w:rsid w:val="001F4D95"/>
    <w:pPr>
      <w:numPr>
        <w:numId w:val="7"/>
      </w:numPr>
    </w:pPr>
  </w:style>
  <w:style w:type="paragraph" w:styleId="BlockText">
    <w:name w:val="Block Text"/>
    <w:basedOn w:val="Normal"/>
    <w:rsid w:val="001F4D95"/>
    <w:pPr>
      <w:spacing w:after="120"/>
      <w:ind w:left="1440" w:right="1440"/>
    </w:pPr>
  </w:style>
  <w:style w:type="character" w:customStyle="1" w:styleId="Subscript">
    <w:name w:val="Subscript"/>
    <w:rsid w:val="001F4D95"/>
    <w:rPr>
      <w:sz w:val="16"/>
      <w:vertAlign w:val="subscript"/>
    </w:rPr>
  </w:style>
  <w:style w:type="character" w:customStyle="1" w:styleId="Superscript">
    <w:name w:val="Superscript"/>
    <w:rsid w:val="001F4D95"/>
    <w:rPr>
      <w:sz w:val="16"/>
      <w:vertAlign w:val="superscript"/>
    </w:rPr>
  </w:style>
  <w:style w:type="character" w:customStyle="1" w:styleId="Symbols">
    <w:name w:val="Symbols"/>
    <w:rsid w:val="001F4D95"/>
    <w:rPr>
      <w:rFonts w:ascii="Symbol" w:hAnsi="Symbol"/>
    </w:rPr>
  </w:style>
  <w:style w:type="character" w:customStyle="1" w:styleId="MenuOptions">
    <w:name w:val="Menu Options"/>
    <w:rsid w:val="001F4D95"/>
    <w:rPr>
      <w:rFonts w:ascii="Arial Narrow" w:hAnsi="Arial Narrow"/>
      <w:smallCaps/>
    </w:rPr>
  </w:style>
  <w:style w:type="character" w:customStyle="1" w:styleId="Buttons">
    <w:name w:val="Buttons"/>
    <w:rsid w:val="001F4D95"/>
    <w:rPr>
      <w:b/>
    </w:rPr>
  </w:style>
  <w:style w:type="character" w:customStyle="1" w:styleId="Underlined">
    <w:name w:val="Underlined"/>
    <w:rsid w:val="001F4D95"/>
    <w:rPr>
      <w:u w:val="single"/>
    </w:rPr>
  </w:style>
  <w:style w:type="paragraph" w:customStyle="1" w:styleId="TableBodyTextRight">
    <w:name w:val="Table Body Text Right"/>
    <w:basedOn w:val="TableBodyText"/>
    <w:rsid w:val="001F4D95"/>
    <w:pPr>
      <w:widowControl w:val="0"/>
      <w:autoSpaceDE w:val="0"/>
      <w:autoSpaceDN w:val="0"/>
      <w:adjustRightInd w:val="0"/>
      <w:jc w:val="right"/>
    </w:pPr>
    <w:rPr>
      <w:rFonts w:cs="Arial"/>
      <w:szCs w:val="18"/>
    </w:rPr>
  </w:style>
  <w:style w:type="paragraph" w:customStyle="1" w:styleId="CopyrightText">
    <w:name w:val="Copyright Text"/>
    <w:basedOn w:val="BodyText"/>
    <w:rsid w:val="001F4D95"/>
    <w:rPr>
      <w:sz w:val="18"/>
    </w:rPr>
  </w:style>
  <w:style w:type="paragraph" w:customStyle="1" w:styleId="BodySmallRight">
    <w:name w:val="Body Small Right"/>
    <w:basedOn w:val="BodyTextRight"/>
    <w:rsid w:val="001F4D95"/>
    <w:rPr>
      <w:sz w:val="18"/>
      <w:szCs w:val="18"/>
    </w:rPr>
  </w:style>
  <w:style w:type="paragraph" w:customStyle="1" w:styleId="MarginEdition">
    <w:name w:val="Margin Edition"/>
    <w:basedOn w:val="MarginNote"/>
    <w:rsid w:val="001F4D95"/>
    <w:pPr>
      <w:spacing w:before="0" w:after="0"/>
    </w:pPr>
    <w:rPr>
      <w:rFonts w:ascii="Times New Roman" w:hAnsi="Times New Roman"/>
      <w:color w:val="999999"/>
    </w:rPr>
  </w:style>
  <w:style w:type="paragraph" w:customStyle="1" w:styleId="Spacer">
    <w:name w:val="Spacer"/>
    <w:basedOn w:val="Normal"/>
    <w:rsid w:val="001F4D95"/>
    <w:rPr>
      <w:sz w:val="2"/>
      <w:szCs w:val="2"/>
    </w:rPr>
  </w:style>
  <w:style w:type="character" w:customStyle="1" w:styleId="Small">
    <w:name w:val="Small"/>
    <w:rsid w:val="001F4D95"/>
    <w:rPr>
      <w:sz w:val="16"/>
    </w:rPr>
  </w:style>
  <w:style w:type="paragraph" w:customStyle="1" w:styleId="WideTable">
    <w:name w:val="Wide Table"/>
    <w:basedOn w:val="Normal"/>
    <w:rsid w:val="001F4D95"/>
    <w:pPr>
      <w:ind w:left="-1418"/>
    </w:pPr>
    <w:rPr>
      <w:sz w:val="2"/>
      <w:szCs w:val="2"/>
    </w:rPr>
  </w:style>
  <w:style w:type="character" w:styleId="PageNumber">
    <w:name w:val="page number"/>
    <w:rsid w:val="001F4D95"/>
  </w:style>
  <w:style w:type="paragraph" w:styleId="Quote">
    <w:name w:val="Quote"/>
    <w:basedOn w:val="Heading1"/>
    <w:link w:val="QuoteChar"/>
    <w:qFormat/>
    <w:rsid w:val="001F4D95"/>
    <w:rPr>
      <w:b w:val="0"/>
      <w:sz w:val="72"/>
      <w:szCs w:val="72"/>
      <w:lang w:val="en-NZ"/>
    </w:rPr>
  </w:style>
  <w:style w:type="character" w:customStyle="1" w:styleId="QuoteChar">
    <w:name w:val="Quote Char"/>
    <w:link w:val="Quote"/>
    <w:rsid w:val="001F4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D95"/>
    <w:pPr>
      <w:pageBreakBefore/>
    </w:pPr>
  </w:style>
  <w:style w:type="paragraph" w:customStyle="1" w:styleId="Border">
    <w:name w:val="Border"/>
    <w:basedOn w:val="Normal"/>
    <w:qFormat/>
    <w:rsid w:val="001F4D95"/>
    <w:pPr>
      <w:pBdr>
        <w:top w:val="single" w:sz="18" w:space="1" w:color="auto"/>
      </w:pBdr>
    </w:pPr>
    <w:rPr>
      <w:rFonts w:ascii="Times New Roman" w:hAnsi="Times New Roman"/>
      <w:color w:val="FFFFFF"/>
      <w:sz w:val="2"/>
    </w:rPr>
  </w:style>
  <w:style w:type="character" w:styleId="IntenseEmphasis">
    <w:name w:val="Intense Emphasis"/>
    <w:uiPriority w:val="21"/>
    <w:qFormat/>
    <w:rsid w:val="001F4D95"/>
    <w:rPr>
      <w:b/>
      <w:bCs/>
      <w:i/>
      <w:iCs/>
      <w:color w:val="auto"/>
    </w:rPr>
  </w:style>
  <w:style w:type="paragraph" w:styleId="IntenseQuote">
    <w:name w:val="Intense Quote"/>
    <w:basedOn w:val="Normal"/>
    <w:next w:val="Normal"/>
    <w:link w:val="IntenseQuoteChar"/>
    <w:uiPriority w:val="30"/>
    <w:qFormat/>
    <w:rsid w:val="001F4D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4D95"/>
    <w:rPr>
      <w:rFonts w:ascii="Courier New" w:eastAsia="Times New Roman" w:hAnsi="Courier New" w:cs="Times New Roman"/>
      <w:b/>
      <w:bCs/>
      <w:i/>
      <w:iCs/>
      <w:szCs w:val="20"/>
      <w:lang w:val="en-US" w:eastAsia="en-US"/>
    </w:rPr>
  </w:style>
  <w:style w:type="character" w:styleId="SubtleReference">
    <w:name w:val="Subtle Reference"/>
    <w:uiPriority w:val="31"/>
    <w:qFormat/>
    <w:rsid w:val="001F4D95"/>
    <w:rPr>
      <w:smallCaps/>
      <w:color w:val="auto"/>
      <w:u w:val="single"/>
    </w:rPr>
  </w:style>
  <w:style w:type="character" w:styleId="IntenseReference">
    <w:name w:val="Intense Reference"/>
    <w:uiPriority w:val="32"/>
    <w:qFormat/>
    <w:rsid w:val="001F4D95"/>
    <w:rPr>
      <w:b/>
      <w:bCs/>
      <w:smallCaps/>
      <w:color w:val="auto"/>
      <w:spacing w:val="5"/>
      <w:u w:val="single"/>
    </w:rPr>
  </w:style>
  <w:style w:type="paragraph" w:customStyle="1" w:styleId="2ColumnHeading">
    <w:name w:val="2Column Heading"/>
    <w:basedOn w:val="BodyText"/>
    <w:qFormat/>
    <w:rsid w:val="001F4D95"/>
    <w:pPr>
      <w:spacing w:after="60"/>
      <w:ind w:left="-2268"/>
    </w:pPr>
    <w:rPr>
      <w:b/>
    </w:rPr>
  </w:style>
  <w:style w:type="paragraph" w:customStyle="1" w:styleId="Heading1TOC">
    <w:name w:val="Heading1 TOC"/>
    <w:basedOn w:val="Normal"/>
    <w:qFormat/>
    <w:rsid w:val="001F4D95"/>
    <w:pPr>
      <w:spacing w:before="240" w:after="120"/>
    </w:pPr>
    <w:rPr>
      <w:rFonts w:ascii="Times New Roman" w:hAnsi="Times New Roman"/>
      <w:b/>
      <w:sz w:val="32"/>
    </w:rPr>
  </w:style>
  <w:style w:type="paragraph" w:customStyle="1" w:styleId="Heading2TOC">
    <w:name w:val="Heading2 TOC"/>
    <w:basedOn w:val="Normal"/>
    <w:qFormat/>
    <w:rsid w:val="001F4D95"/>
    <w:pPr>
      <w:spacing w:before="240" w:after="60"/>
    </w:pPr>
    <w:rPr>
      <w:rFonts w:ascii="Times New Roman" w:hAnsi="Times New Roman"/>
      <w:b/>
      <w:sz w:val="28"/>
    </w:rPr>
  </w:style>
  <w:style w:type="character" w:customStyle="1" w:styleId="Underline">
    <w:name w:val="Underline"/>
    <w:qFormat/>
    <w:rsid w:val="001F4D95"/>
    <w:rPr>
      <w:u w:val="single"/>
    </w:rPr>
  </w:style>
  <w:style w:type="character" w:customStyle="1" w:styleId="BoldandItalics">
    <w:name w:val="Bold and Italics"/>
    <w:qFormat/>
    <w:rsid w:val="001F4D95"/>
    <w:rPr>
      <w:b/>
      <w:i/>
      <w:u w:val="none"/>
    </w:rPr>
  </w:style>
  <w:style w:type="paragraph" w:styleId="BalloonText">
    <w:name w:val="Balloon Text"/>
    <w:basedOn w:val="Normal"/>
    <w:link w:val="BalloonTextChar"/>
    <w:rsid w:val="001F4D95"/>
    <w:rPr>
      <w:rFonts w:ascii="Tahoma" w:hAnsi="Tahoma" w:cs="Tahoma"/>
      <w:sz w:val="16"/>
      <w:szCs w:val="16"/>
    </w:rPr>
  </w:style>
  <w:style w:type="character" w:customStyle="1" w:styleId="BalloonTextChar">
    <w:name w:val="Balloon Text Char"/>
    <w:link w:val="BalloonText"/>
    <w:rsid w:val="001F4D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D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4D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2015</Words>
  <Characters>11780</Characters>
  <Application>Microsoft Office Word</Application>
  <DocSecurity>0</DocSecurity>
  <Lines>436</Lines>
  <Paragraphs>163</Paragraphs>
  <ScaleCrop>false</ScaleCrop>
  <Company>Author-it Software Corporation Ltd.</Company>
  <LinksUpToDate>false</LinksUpToDate>
  <CharactersWithSpaces>13669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UEENEEE019C Solve problems in multiple path a.c. circuits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2012-05-26T10:49:00Z</dcterms:created>
  <dcterms:modified xsi:type="dcterms:W3CDTF">2012-05-26T10:49:00Z</dcterms:modified>
</cp:coreProperties>
</file>