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EF6" w:rsidP="00D95EF6">
      <w:pPr>
        <w:pStyle w:val="Title"/>
      </w:pPr>
      <w:r>
        <w:fldChar w:fldCharType="begin"/>
      </w:r>
      <w:r>
        <w:instrText xml:space="preserve"> TITLE   \* MERGEFORMAT </w:instrText>
      </w:r>
      <w:r>
        <w:fldChar w:fldCharType="separate"/>
      </w:r>
      <w:r>
        <w:t>UEENEEE004B Solve problems in multiple path d.c. circuits</w:t>
      </w:r>
      <w:r>
        <w:fldChar w:fldCharType="end"/>
      </w:r>
    </w:p>
    <w:p w:rsidR="00D95EF6" w:rsidP="00D95EF6">
      <w:pPr>
        <w:pStyle w:val="Version"/>
        <w:sectPr w:rsidSect="00CD0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101" w:rsidP="00CD0101">
      <w:pPr>
        <w:pStyle w:val="SuperHeading"/>
      </w:pPr>
      <w:r w:rsidRPr="00CD0101">
        <w:t>UEENEEE004B Solve problems in multiple path d.c. circuits</w:t>
      </w:r>
    </w:p>
    <w:p w:rsidR="00000000" w:rsidRPr="00CD0101" w:rsidP="00CD0101">
      <w:pPr>
        <w:pStyle w:val="Heading1"/>
      </w:pPr>
      <w:bookmarkStart w:id="1" w:name="O_274514"/>
      <w:bookmarkEnd w:id="1"/>
      <w:r w:rsidRPr="00CD0101">
        <w:t>Modification History</w:t>
      </w:r>
    </w:p>
    <w:p w:rsidR="00000000" w:rsidRPr="00CD0101" w:rsidP="00CD0101">
      <w:pPr>
        <w:pStyle w:val="BodyText"/>
      </w:pPr>
      <w:r w:rsidRPr="00CD0101">
        <w:t>Not Applicable</w:t>
      </w:r>
    </w:p>
    <w:p w:rsidR="00000000" w:rsidRPr="00CD0101" w:rsidP="00CD0101">
      <w:pPr>
        <w:pStyle w:val="AllowPageBreak"/>
      </w:pPr>
    </w:p>
    <w:p w:rsidR="00000000" w:rsidRPr="00CD0101" w:rsidP="00CD0101">
      <w:pPr>
        <w:pStyle w:val="Heading1"/>
      </w:pPr>
      <w:bookmarkStart w:id="2" w:name="O_225372"/>
      <w:bookmarkEnd w:id="2"/>
      <w:r w:rsidRPr="00CD0101">
        <w:t>Unit Descriptor</w:t>
      </w:r>
    </w:p>
    <w:tbl>
      <w:tblPr>
        <w:tblW w:w="0" w:type="auto"/>
        <w:tblLayout w:type="fixed"/>
        <w:tblCellMar>
          <w:left w:w="62" w:type="dxa"/>
          <w:right w:w="62" w:type="dxa"/>
        </w:tblCellMar>
        <w:tblLook w:val="0000"/>
      </w:tblPr>
      <w:tblGrid>
        <w:gridCol w:w="2700"/>
        <w:gridCol w:w="5760"/>
      </w:tblGrid>
      <w:tr w:rsidTr="00D95E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1</w:t>
            </w:r>
            <w:r w:rsidRPr="00CD0101">
              <w:t>)</w:t>
            </w:r>
          </w:p>
          <w:p w:rsidR="00000000" w:rsidP="00CD0101">
            <w:pPr>
              <w:pStyle w:val="BodyText"/>
              <w:rPr>
                <w:lang w:val="en-NZ"/>
              </w:rPr>
            </w:pPr>
            <w:r w:rsidRPr="00CD0101">
              <w:rPr>
                <w:rStyle w:val="SpecialBold"/>
              </w:rPr>
              <w:t>1</w:t>
            </w:r>
            <w:r w:rsidRPr="00CD0101">
              <w:t>.</w:t>
            </w:r>
            <w:r w:rsidRPr="00CD0101">
              <w:rPr>
                <w:rStyle w:val="SpecialBold"/>
              </w:rPr>
              <w:t>1</w:t>
            </w:r>
            <w:r w:rsidRPr="00CD0101">
              <w:t xml:space="preserve">) </w:t>
            </w:r>
            <w:r w:rsidRPr="00CD0101">
              <w:rPr>
                <w:rStyle w:val="SpecialBold"/>
              </w:rPr>
              <w:t>Descriptor</w:t>
            </w:r>
          </w:p>
        </w:tc>
      </w:tr>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This unit covers determining correct operation of single source d.c. parallel and series-parallel circuits and providing solutions as they apply to various electrotechnology work functions. It encompasses working safely, problem solving procedures, includi</w:t>
            </w:r>
            <w:r w:rsidRPr="00CD0101">
              <w:t>ng the use of voltage, current and resistance measuring devices, providing solutions derived from measurements and calculations to predictable problems in multiple path circuit.</w:t>
            </w:r>
          </w:p>
        </w:tc>
      </w:tr>
    </w:tbl>
    <w:p w:rsidR="00D95EF6" w:rsidP="00CD0101">
      <w:pPr>
        <w:pStyle w:val="BodyText"/>
      </w:pPr>
    </w:p>
    <w:p w:rsidR="00D95EF6" w:rsidP="00CD0101">
      <w:pPr>
        <w:pStyle w:val="BodyText"/>
      </w:pPr>
    </w:p>
    <w:p w:rsidR="00000000" w:rsidRPr="00CD0101" w:rsidP="00CD0101">
      <w:pPr>
        <w:pStyle w:val="Heading1"/>
      </w:pPr>
      <w:bookmarkStart w:id="3" w:name="O_225377"/>
      <w:bookmarkEnd w:id="3"/>
      <w:r w:rsidRPr="00CD0101">
        <w:t>Application of the Unit</w:t>
      </w:r>
    </w:p>
    <w:tbl>
      <w:tblPr>
        <w:tblW w:w="0" w:type="auto"/>
        <w:tblLayout w:type="fixed"/>
        <w:tblCellMar>
          <w:left w:w="62" w:type="dxa"/>
          <w:right w:w="62" w:type="dxa"/>
        </w:tblCellMar>
        <w:tblLook w:val="0000"/>
      </w:tblPr>
      <w:tblGrid>
        <w:gridCol w:w="2700"/>
        <w:gridCol w:w="5760"/>
      </w:tblGrid>
      <w:tr w:rsidTr="00D95E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4</w:t>
            </w:r>
            <w:r w:rsidRPr="00CD0101">
              <w:t>)</w:t>
            </w:r>
          </w:p>
        </w:tc>
      </w:tr>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This unit is intended for competency development entry-level employment based programs incorporated in approved contracts of training.</w:t>
            </w:r>
          </w:p>
        </w:tc>
      </w:tr>
    </w:tbl>
    <w:p w:rsidR="00D95EF6" w:rsidP="00CD0101">
      <w:pPr>
        <w:pStyle w:val="BodyText"/>
      </w:pPr>
    </w:p>
    <w:p w:rsidR="00D95EF6" w:rsidP="00CD0101">
      <w:pPr>
        <w:pStyle w:val="BodyText"/>
      </w:pPr>
    </w:p>
    <w:p w:rsidR="00000000" w:rsidRPr="00CD0101" w:rsidP="00CD0101">
      <w:pPr>
        <w:pStyle w:val="Heading1"/>
      </w:pPr>
      <w:bookmarkStart w:id="4" w:name="O_225373"/>
      <w:bookmarkEnd w:id="4"/>
      <w:r w:rsidRPr="00CD0101">
        <w:t>Licensing/Regulatory Information</w:t>
      </w:r>
    </w:p>
    <w:tbl>
      <w:tblPr>
        <w:tblW w:w="0" w:type="auto"/>
        <w:tblLayout w:type="fixed"/>
        <w:tblCellMar>
          <w:left w:w="62" w:type="dxa"/>
          <w:right w:w="62" w:type="dxa"/>
        </w:tblCellMar>
        <w:tblLook w:val="0000"/>
      </w:tblPr>
      <w:tblGrid>
        <w:gridCol w:w="8460"/>
      </w:tblGrid>
      <w:tr w:rsidTr="00D95E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1</w:t>
            </w:r>
            <w:r w:rsidRPr="00CD0101">
              <w:t>.</w:t>
            </w:r>
            <w:r w:rsidRPr="00CD0101">
              <w:rPr>
                <w:rStyle w:val="SpecialBold"/>
              </w:rPr>
              <w:t>2</w:t>
            </w:r>
            <w:r w:rsidRPr="00CD0101">
              <w:t xml:space="preserve">) </w:t>
            </w:r>
            <w:r w:rsidRPr="00CD0101">
              <w:rPr>
                <w:rStyle w:val="SpecialBold"/>
              </w:rPr>
              <w:t>License to practice</w:t>
            </w:r>
          </w:p>
        </w:tc>
      </w:tr>
      <w:tr w:rsidTr="00D95E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The skills and knowledge described in this unit requires a license to practice in the workplace where plant and equipment is directly connected to installation wiring that operates at voltage above 50 V a.c. or 120 V d.c. However other conditions may apply</w:t>
            </w:r>
            <w:r w:rsidRPr="00CD0101">
              <w:t xml:space="preserve"> in some jurisdictions subject to regulations related to electrical work. Practice in the workplace and during training is also subject to regulations directly related to occupational health and safety and where applicable contracts of training such as app</w:t>
            </w:r>
            <w:r w:rsidRPr="00CD0101">
              <w:t>renticeships.</w:t>
            </w:r>
          </w:p>
        </w:tc>
      </w:tr>
    </w:tbl>
    <w:p w:rsidR="00D95EF6" w:rsidP="00CD0101">
      <w:pPr>
        <w:pStyle w:val="BodyText"/>
      </w:pPr>
    </w:p>
    <w:p w:rsidR="00D95EF6" w:rsidP="00CD0101">
      <w:pPr>
        <w:pStyle w:val="BodyText"/>
      </w:pPr>
    </w:p>
    <w:p w:rsidR="00000000" w:rsidRPr="00CD0101" w:rsidP="00CD0101">
      <w:pPr>
        <w:pStyle w:val="Heading1"/>
      </w:pPr>
      <w:bookmarkStart w:id="5" w:name="O_225374"/>
      <w:bookmarkEnd w:id="5"/>
      <w:r w:rsidRPr="00CD0101">
        <w:t>Pre-Requisites</w:t>
      </w:r>
    </w:p>
    <w:tbl>
      <w:tblPr>
        <w:tblW w:w="0" w:type="auto"/>
        <w:tblLayout w:type="fixed"/>
        <w:tblCellMar>
          <w:left w:w="62" w:type="dxa"/>
          <w:right w:w="62" w:type="dxa"/>
        </w:tblCellMar>
        <w:tblLook w:val="0000"/>
      </w:tblPr>
      <w:tblGrid>
        <w:gridCol w:w="2700"/>
        <w:gridCol w:w="5760"/>
      </w:tblGrid>
      <w:tr w:rsidTr="00D95E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Prerequisite Unit</w:t>
            </w:r>
            <w:r w:rsidRPr="00CD0101">
              <w:t>(</w:t>
            </w:r>
            <w:r w:rsidRPr="00CD0101">
              <w:rPr>
                <w:rStyle w:val="SpecialBold"/>
              </w:rPr>
              <w:t>s</w:t>
            </w:r>
            <w:r w:rsidRPr="00CD0101">
              <w:t>)</w:t>
            </w:r>
          </w:p>
        </w:tc>
        <w:tc>
          <w:tcPr>
            <w:tcW w:w="57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2</w:t>
            </w:r>
            <w:r w:rsidRPr="00CD0101">
              <w:t>)</w:t>
            </w:r>
          </w:p>
        </w:tc>
      </w:tr>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01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2</w:t>
            </w:r>
            <w:r w:rsidRPr="00CD0101">
              <w:t>.</w:t>
            </w:r>
            <w:r w:rsidRPr="00CD0101">
              <w:rPr>
                <w:rStyle w:val="SpecialBold"/>
              </w:rPr>
              <w:t>1</w:t>
            </w:r>
            <w:r w:rsidRPr="00CD0101">
              <w:t xml:space="preserve">) </w:t>
            </w:r>
            <w:r w:rsidRPr="00CD0101">
              <w:rPr>
                <w:rStyle w:val="SpecialBold"/>
              </w:rPr>
              <w:t>Competencies</w:t>
            </w:r>
          </w:p>
        </w:tc>
      </w:tr>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Granting competency in this unit shall be made only after competency in the following unit(s) has/have been confirmed.</w:t>
            </w:r>
          </w:p>
          <w:p w:rsidR="00000000" w:rsidRPr="00CD0101" w:rsidP="00CD0101">
            <w:pPr>
              <w:pStyle w:val="BodyText"/>
            </w:pPr>
            <w:r w:rsidRPr="00CD0101">
              <w:t>UEENEEE003B Solve problems in extra-low voltage single path circuits</w:t>
            </w:r>
          </w:p>
          <w:p w:rsidR="00000000" w:rsidRPr="00CD0101" w:rsidP="00CD0101">
            <w:pPr>
              <w:pStyle w:val="BodyText"/>
            </w:pPr>
            <w:r w:rsidRPr="00CD0101">
              <w:t>For the full prerequisite chain details for this unit please refer to Table 2 in Volume 1, Part 2</w:t>
            </w:r>
          </w:p>
        </w:tc>
      </w:tr>
    </w:tbl>
    <w:p w:rsidR="00D95EF6" w:rsidP="00CD0101">
      <w:pPr>
        <w:pStyle w:val="BodyText"/>
      </w:pPr>
    </w:p>
    <w:p w:rsidR="00D95EF6" w:rsidP="00CD0101">
      <w:pPr>
        <w:pStyle w:val="BodyText"/>
      </w:pPr>
    </w:p>
    <w:p w:rsidR="00000000" w:rsidRPr="00CD0101" w:rsidP="00CD0101">
      <w:pPr>
        <w:pStyle w:val="Heading1"/>
      </w:pPr>
      <w:bookmarkStart w:id="6" w:name="O_225376"/>
      <w:bookmarkEnd w:id="6"/>
      <w:r w:rsidRPr="00CD0101">
        <w:t>Employability Skills Information</w:t>
      </w:r>
    </w:p>
    <w:tbl>
      <w:tblPr>
        <w:tblW w:w="0" w:type="auto"/>
        <w:tblLayout w:type="fixed"/>
        <w:tblCellMar>
          <w:left w:w="62" w:type="dxa"/>
          <w:right w:w="62" w:type="dxa"/>
        </w:tblCellMar>
        <w:tblLook w:val="0000"/>
      </w:tblPr>
      <w:tblGrid>
        <w:gridCol w:w="2700"/>
        <w:gridCol w:w="5760"/>
      </w:tblGrid>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3</w:t>
            </w:r>
            <w:r w:rsidRPr="00CD0101">
              <w:t>)</w:t>
            </w:r>
          </w:p>
          <w:p w:rsidR="00000000" w:rsidRPr="00CD0101" w:rsidP="00CD0101">
            <w:pPr>
              <w:pStyle w:val="BodyText"/>
            </w:pPr>
            <w:r w:rsidRPr="00CD0101">
              <w:t>This unit co</w:t>
            </w:r>
            <w:r w:rsidRPr="00CD0101">
              <w:t>ntains Employability Skills</w:t>
            </w:r>
          </w:p>
          <w:p w:rsidR="00000000" w:rsidRPr="00CD0101" w:rsidP="00CD0101">
            <w:pPr>
              <w:pStyle w:val="BodyText"/>
            </w:pPr>
            <w:r w:rsidRPr="00CD010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D0101">
              <w:t>requirements.</w:t>
            </w:r>
          </w:p>
        </w:tc>
      </w:tr>
    </w:tbl>
    <w:p w:rsidR="00D95EF6" w:rsidP="00CD0101">
      <w:pPr>
        <w:pStyle w:val="BodyText"/>
      </w:pPr>
    </w:p>
    <w:p w:rsidR="00D95EF6" w:rsidP="00CD0101">
      <w:pPr>
        <w:pStyle w:val="BodyText"/>
      </w:pPr>
    </w:p>
    <w:p w:rsidR="00000000" w:rsidRPr="00CD0101" w:rsidP="00CD0101">
      <w:pPr>
        <w:pStyle w:val="Heading1"/>
      </w:pPr>
      <w:bookmarkStart w:id="7" w:name="O_292560"/>
      <w:bookmarkEnd w:id="7"/>
      <w:r w:rsidRPr="00CD0101">
        <w:t>Elements and Performance Criteria Pre-Content</w:t>
      </w:r>
    </w:p>
    <w:tbl>
      <w:tblPr>
        <w:tblW w:w="0" w:type="auto"/>
        <w:tblLayout w:type="fixed"/>
        <w:tblCellMar>
          <w:left w:w="62" w:type="dxa"/>
          <w:right w:w="62" w:type="dxa"/>
        </w:tblCellMar>
        <w:tblLook w:val="0000"/>
      </w:tblPr>
      <w:tblGrid>
        <w:gridCol w:w="2700"/>
        <w:gridCol w:w="5760"/>
      </w:tblGrid>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6</w:t>
            </w:r>
            <w:r w:rsidRPr="00CD010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Performance criteria describe the required performance needed to demonstrate achievement of the Element. Ass</w:t>
            </w:r>
            <w:r w:rsidRPr="00CD0101">
              <w:t>essment of performance is to be consistent with the evidence guide.</w:t>
            </w:r>
          </w:p>
        </w:tc>
      </w:tr>
    </w:tbl>
    <w:p w:rsidR="00000000" w:rsidRPr="00CD0101" w:rsidP="00CD0101">
      <w:pPr>
        <w:pStyle w:val="BodyText"/>
      </w:pPr>
    </w:p>
    <w:p w:rsidR="00000000" w:rsidRPr="00CD0101" w:rsidP="00CD0101">
      <w:pPr>
        <w:pStyle w:val="AllowPageBreak"/>
      </w:pPr>
    </w:p>
    <w:p w:rsidR="00000000" w:rsidRPr="00CD0101" w:rsidP="00CD0101">
      <w:pPr>
        <w:pStyle w:val="Heading1"/>
      </w:pPr>
      <w:bookmarkStart w:id="8" w:name="O_239228"/>
      <w:bookmarkEnd w:id="8"/>
      <w:r w:rsidRPr="00CD01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95EF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PERFORMANCE CRITERIA</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1</w:t>
            </w:r>
          </w:p>
        </w:tc>
        <w:tc>
          <w:tcPr>
            <w:tcW w:w="2296" w:type="dxa"/>
            <w:vMerge w:val="restart"/>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 xml:space="preserve">Prepare to work on multiple path d.c. electrical circuits. </w:t>
            </w: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1.1</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OHS procedures for a given work area are identified, obtained and understood.</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1.2</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OHS risk control work preparation measures and procedures are followed.</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1.3</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The nature of</w:t>
            </w:r>
            <w:r w:rsidRPr="00CD0101">
              <w:t xml:space="preserve"> the circuit(s) problem is obtained from documentation or from work supervisor to establish the scope of work to be undertaken.</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1.4</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Advice is sought from the work supervisor to ensure the work is coordinated effectively with others.</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1.5</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Sources of ma</w:t>
            </w:r>
            <w:r w:rsidRPr="00CD0101">
              <w:t>terials that may be required for the work are identified and accessed in accordance with established procedures.</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1.6</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Tools, equipment and testing devices needed to carry out the work are obtained and checked for correct operation and safety.</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w:t>
            </w:r>
          </w:p>
        </w:tc>
        <w:tc>
          <w:tcPr>
            <w:tcW w:w="2296" w:type="dxa"/>
            <w:vMerge w:val="restart"/>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Solve multiple path d.c. circuit problems.</w:t>
            </w: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2.1</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OHS risk control work measures and procedures are followed.</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2.2</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The need to test or measure live is determined in strict accordance with OHS requirements and when necessary conducted within established safe</w:t>
            </w:r>
            <w:r w:rsidRPr="00CD0101">
              <w:t>ty procedures.</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2.3</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Circuits are checked as being isolated where necessary in strict accordance OHS requirements and procedures.</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2.4</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Established methods are used to solve d.c. circuit problems from measure and calculated values as they apply to multiple path electrical circuit.</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2.5</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Unexpected situations are dealt with safely and with the approval of an authorised person.</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2.6</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Problems are solved without damage to apparatus, circuits, the surrounding environment or services and using sustainable energy practices.</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3</w:t>
            </w:r>
          </w:p>
        </w:tc>
        <w:tc>
          <w:tcPr>
            <w:tcW w:w="2296" w:type="dxa"/>
            <w:vMerge w:val="restart"/>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3.1</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OHS work completion risk control measures and procedure</w:t>
            </w:r>
            <w:r w:rsidRPr="00CD0101">
              <w:t>s are followed.</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3.2</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Work site is cleaned and made safe in accordance with established procedures.</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3.3</w:t>
            </w:r>
          </w:p>
        </w:tc>
        <w:tc>
          <w:tcPr>
            <w:tcW w:w="48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Justification for solutions used to solve circuit problems is documented.</w:t>
            </w:r>
          </w:p>
        </w:tc>
      </w:tr>
      <w:tr w:rsidTr="00D95E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3.4</w:t>
            </w:r>
          </w:p>
        </w:tc>
        <w:tc>
          <w:tcPr>
            <w:tcW w:w="48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Work completion</w:t>
            </w:r>
            <w:r w:rsidRPr="00CD0101">
              <w:t xml:space="preserve"> is documented and appropriate person(s) notified in accordance with established procedures.</w:t>
            </w:r>
          </w:p>
        </w:tc>
      </w:tr>
    </w:tbl>
    <w:p w:rsidR="00D95EF6" w:rsidP="00CD0101">
      <w:pPr>
        <w:pStyle w:val="BodyText"/>
      </w:pPr>
    </w:p>
    <w:p w:rsidR="00D95EF6" w:rsidP="00CD0101">
      <w:pPr>
        <w:pStyle w:val="BodyText"/>
      </w:pPr>
    </w:p>
    <w:p w:rsidR="00000000" w:rsidRPr="00CD0101" w:rsidP="00CD0101">
      <w:pPr>
        <w:pStyle w:val="Heading1"/>
      </w:pPr>
      <w:bookmarkStart w:id="9" w:name="O_263019"/>
      <w:bookmarkEnd w:id="9"/>
      <w:r w:rsidRPr="00CD0101">
        <w:t>Required Skills and Knowledge</w:t>
      </w:r>
    </w:p>
    <w:tbl>
      <w:tblPr>
        <w:tblW w:w="0" w:type="auto"/>
        <w:tblLayout w:type="fixed"/>
        <w:tblCellMar>
          <w:left w:w="62" w:type="dxa"/>
          <w:right w:w="62" w:type="dxa"/>
        </w:tblCellMar>
        <w:tblLook w:val="0000"/>
      </w:tblPr>
      <w:tblGrid>
        <w:gridCol w:w="2700"/>
        <w:gridCol w:w="1080"/>
        <w:gridCol w:w="4680"/>
      </w:tblGrid>
      <w:tr w:rsidTr="00D95EF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REQUIRED SKILLS AND KNOWLEDGE</w:t>
            </w:r>
          </w:p>
        </w:tc>
      </w:tr>
      <w:tr w:rsidTr="00D95EF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7</w:t>
            </w:r>
            <w:r w:rsidRPr="00CD0101">
              <w:t>) This describes the essential skills and knowledge and their level, requir</w:t>
            </w:r>
            <w:r w:rsidRPr="00CD0101">
              <w:t>ed for this unit.</w:t>
            </w:r>
          </w:p>
        </w:tc>
      </w:tr>
      <w:tr w:rsidTr="00D95EF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Evidence shall show that knowledge has been acquired of safe working practices and solving problems in multiple path d.c. circuits.</w:t>
            </w:r>
          </w:p>
          <w:p w:rsidR="00000000" w:rsidRPr="00CD0101" w:rsidP="00CD0101">
            <w:pPr>
              <w:pStyle w:val="BodyText"/>
            </w:pPr>
            <w:r w:rsidRPr="00CD0101">
              <w:t>All knowledge and skills detailed in this unit should be contextualised to current industry practices a</w:t>
            </w:r>
            <w:r w:rsidRPr="00CD0101">
              <w:t>nd technologies.</w:t>
            </w:r>
          </w:p>
          <w:p w:rsidR="00000000" w:rsidP="00CD0101">
            <w:pPr>
              <w:pStyle w:val="BodyText"/>
              <w:rPr>
                <w:lang w:val="en-NZ"/>
              </w:rPr>
            </w:pPr>
            <w:r w:rsidRPr="00CD0101">
              <w:t>The extent of the essential knowledge and associated skills (EKAS) required is given in Volume 2 - Part 2.2 EKAS.  It forms an integral part of this unit.</w:t>
            </w:r>
          </w:p>
        </w:tc>
      </w:tr>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2.8.2.1</w:t>
            </w:r>
          </w:p>
        </w:tc>
        <w:tc>
          <w:tcPr>
            <w:tcW w:w="468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Direct current circuit principles</w:t>
            </w:r>
          </w:p>
        </w:tc>
      </w:tr>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CD0101" w:rsidP="00CD0101">
            <w:pPr>
              <w:pStyle w:val="BodyText"/>
            </w:pPr>
          </w:p>
        </w:tc>
      </w:tr>
    </w:tbl>
    <w:p w:rsidR="00D95EF6" w:rsidP="00CD0101">
      <w:pPr>
        <w:pStyle w:val="BodyText"/>
      </w:pPr>
    </w:p>
    <w:p w:rsidR="00D95EF6" w:rsidP="00CD0101">
      <w:pPr>
        <w:pStyle w:val="BodyText"/>
      </w:pPr>
    </w:p>
    <w:p w:rsidR="00000000" w:rsidRPr="00CD0101" w:rsidP="00CD0101">
      <w:pPr>
        <w:pStyle w:val="Heading1"/>
      </w:pPr>
      <w:bookmarkStart w:id="10" w:name="O_247212"/>
      <w:bookmarkEnd w:id="10"/>
      <w:r w:rsidRPr="00CD0101">
        <w:t>Evidence Guide</w:t>
      </w:r>
    </w:p>
    <w:tbl>
      <w:tblPr>
        <w:tblW w:w="0" w:type="auto"/>
        <w:tblLayout w:type="fixed"/>
        <w:tblCellMar>
          <w:left w:w="62" w:type="dxa"/>
          <w:right w:w="62" w:type="dxa"/>
        </w:tblCellMar>
        <w:tblLook w:val="0000"/>
      </w:tblPr>
      <w:tblGrid>
        <w:gridCol w:w="2160"/>
        <w:gridCol w:w="720"/>
        <w:gridCol w:w="540"/>
        <w:gridCol w:w="5040"/>
      </w:tblGrid>
      <w:tr w:rsidTr="00D95EF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EVIDENCE GUIDE</w:t>
            </w:r>
          </w:p>
        </w:tc>
      </w:tr>
      <w:tr w:rsidTr="00D95E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9</w:t>
            </w:r>
            <w:r w:rsidRPr="00CD0101">
              <w:t xml:space="preserve">) The evidence guide provides advice on assessment and must be read in conjunction with the Performance Criteria, Required Skills and Knowledge, the Range Statement and the Assessment Guidelines for this Training Package. </w:t>
            </w:r>
          </w:p>
          <w:p w:rsidR="00000000" w:rsidP="00CD0101">
            <w:pPr>
              <w:pStyle w:val="BodyText"/>
              <w:rPr>
                <w:lang w:val="en-NZ"/>
              </w:rPr>
            </w:pPr>
            <w:r w:rsidRPr="00CD0101">
              <w:t>The Evidence Guide forms an integral part of this unit. It must be used in conjunction with all parts of the unit and performed in accordance with the Assessment Guidelines of this Training Package.</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9</w:t>
            </w:r>
            <w:r w:rsidRPr="00CD0101">
              <w:t>.</w:t>
            </w:r>
            <w:r w:rsidRPr="00CD0101">
              <w:rPr>
                <w:rStyle w:val="SpecialBold"/>
              </w:rPr>
              <w:t>1</w:t>
            </w:r>
            <w:r w:rsidRPr="00CD0101">
              <w:t xml:space="preserve">) </w:t>
            </w:r>
          </w:p>
          <w:p w:rsidR="00000000" w:rsidRPr="00CD0101" w:rsidP="00CD0101">
            <w:pPr>
              <w:pStyle w:val="BodyText"/>
            </w:pPr>
            <w:r w:rsidRPr="00CD0101">
              <w:t>Longitudinal competency development approaches to assessment, such as Profiling, require data to be reliably gathered in a form that can be consistently interpreted over time. This approach is best utilised in Apprenticeship programs and reduces assessment</w:t>
            </w:r>
            <w:r w:rsidRPr="00CD010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D0101">
              <w:t>ncy in a realistically simulated work environment. It is recognised that, in some circumstances, assessment in part or full can occur outside the workplace. However, it must be in accordance with industry and regulatory policy.</w:t>
            </w:r>
          </w:p>
          <w:p w:rsidR="00000000" w:rsidRPr="00CD0101" w:rsidP="00CD0101">
            <w:pPr>
              <w:pStyle w:val="BodyText"/>
            </w:pPr>
            <w:r w:rsidRPr="00CD0101">
              <w:t>Methods chosen for a particu</w:t>
            </w:r>
            <w:r w:rsidRPr="00CD0101">
              <w:t>lar assessment will be influenced by various factors. These include the extent of the assessment, the most effective locations for the assessment activities to take place, access to physical resources, additional safety measures that may be required and th</w:t>
            </w:r>
            <w:r w:rsidRPr="00CD0101">
              <w:t>e critical nature of the competencies being assessed.</w:t>
            </w:r>
          </w:p>
          <w:p w:rsidR="00000000" w:rsidRPr="00CD0101" w:rsidP="00CD0101">
            <w:pPr>
              <w:pStyle w:val="BodyText"/>
            </w:pPr>
            <w:r w:rsidRPr="00CD0101">
              <w:t>The critical safety nature of working with electricity, electrical equipment, gas or any other hazardous substance/material carries risk in deeming a person competent. Sources of evidence need to be 'ri</w:t>
            </w:r>
            <w:r w:rsidRPr="00CD0101">
              <w:t>ch' in nature to minimise error in judgment.</w:t>
            </w:r>
          </w:p>
          <w:p w:rsidR="00000000" w:rsidP="00CD0101">
            <w:pPr>
              <w:pStyle w:val="BodyText"/>
              <w:rPr>
                <w:lang w:val="en-NZ"/>
              </w:rPr>
            </w:pPr>
            <w:r w:rsidRPr="00CD0101">
              <w:t>Activities associated with normal everyday work have a bearing on the decision as to how much and how detailed the data gathered will contribute to its 'richness'. Some skills are more critical to safety and ope</w:t>
            </w:r>
            <w:r w:rsidRPr="00CD0101">
              <w:t>rational requirements while the same skills may be more or less frequently practised. These points are raised for the assessors to consider when choosing an assessment method and developing assessment instruments. Sample assessment instruments are included</w:t>
            </w:r>
            <w:r w:rsidRPr="00CD0101">
              <w:t xml:space="preserve"> for Assessors in the Assessment Guidelines of this Training Package.</w:t>
            </w:r>
          </w:p>
        </w:tc>
      </w:tr>
      <w:tr w:rsidTr="00D95E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9</w:t>
            </w:r>
            <w:r w:rsidRPr="00CD0101">
              <w:t>.</w:t>
            </w:r>
            <w:r w:rsidRPr="00CD0101">
              <w:rPr>
                <w:rStyle w:val="SpecialBold"/>
              </w:rPr>
              <w:t>2</w:t>
            </w:r>
            <w:r w:rsidRPr="00CD0101">
              <w:t xml:space="preserve">) </w:t>
            </w:r>
          </w:p>
          <w:p w:rsidR="00000000" w:rsidP="00CD0101">
            <w:pPr>
              <w:pStyle w:val="BodyText"/>
              <w:rPr>
                <w:lang w:val="en-NZ"/>
              </w:rPr>
            </w:pPr>
            <w:r w:rsidRPr="00CD0101">
              <w:t>Before the critical aspects of evidence are considered all prerequisites must be met.</w:t>
            </w:r>
          </w:p>
        </w:tc>
      </w:tr>
      <w:tr w:rsidTr="00D95E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D0101">
            <w:pPr>
              <w:pStyle w:val="ListBullet"/>
              <w:rPr>
                <w:lang w:val="en-NZ"/>
              </w:rPr>
            </w:pPr>
            <w:r w:rsidRPr="00CD0101">
              <w:t>A representative body of work performance demonstrated within the timeframes typically expected of the discipline, work function and industrial environment. In particular this shall incorporate evidence that shows a candidate is able to:</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0101" w:rsidP="00CD0101">
            <w:pPr>
              <w:pStyle w:val="ListBullet2"/>
            </w:pPr>
            <w:r w:rsidRPr="00CD0101">
              <w:t>Implement Occupational Health and Safety workplace procedures and practices, including the use of risk control measures as specified in the performance criteria and range statement</w:t>
            </w:r>
          </w:p>
          <w:p w:rsidR="00000000" w:rsidRPr="00CD0101" w:rsidP="00CD0101">
            <w:pPr>
              <w:pStyle w:val="ListBullet2"/>
            </w:pPr>
            <w:r w:rsidRPr="00CD0101">
              <w:t>Apply sustainable energy principles and practices as specified in the performance criteria and range statement</w:t>
            </w:r>
          </w:p>
          <w:p w:rsidR="00000000" w:rsidRPr="00CD0101" w:rsidP="00CD0101">
            <w:pPr>
              <w:pStyle w:val="ListBullet2"/>
            </w:pPr>
            <w:r w:rsidRPr="00CD0101">
              <w:t>Demonstrate an understanding of the essential knowledge and associated skills as described in this unit.  It may be required by some jurisdiction</w:t>
            </w:r>
            <w:r w:rsidRPr="00CD0101">
              <w:t xml:space="preserve">s that RTOs provide a percentile graded result for the purpose of regulatory or licensing requirements.   </w:t>
            </w:r>
          </w:p>
          <w:p w:rsidR="00000000" w:rsidRPr="00CD0101" w:rsidP="00CD0101">
            <w:pPr>
              <w:pStyle w:val="ListBullet2"/>
            </w:pPr>
            <w:r w:rsidRPr="00CD0101">
              <w:t>Demonstrate an appropriate level of skills enabling employment</w:t>
            </w:r>
          </w:p>
          <w:p w:rsidR="00000000" w:rsidP="00CD0101">
            <w:pPr>
              <w:pStyle w:val="ListBullet2"/>
              <w:rPr>
                <w:lang w:val="en-NZ"/>
              </w:rPr>
            </w:pPr>
            <w:r w:rsidRPr="00CD0101">
              <w:t>Conduct work observing the relevant Anti Discrimination legislation, regulations, poli</w:t>
            </w:r>
            <w:r w:rsidRPr="00CD0101">
              <w:t>ces and workplace procedures</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0101">
            <w:pPr>
              <w:pStyle w:val="ListBullet"/>
              <w:rPr>
                <w:lang w:val="en-NZ"/>
              </w:rPr>
            </w:pPr>
            <w:r w:rsidRPr="00CD0101">
              <w:t>Demonstrated consistent performance across a representative range of contexts from the prescribed items below:</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0101">
            <w:pPr>
              <w:pStyle w:val="ListBullet2"/>
              <w:rPr>
                <w:lang w:val="en-NZ"/>
              </w:rPr>
            </w:pPr>
            <w:r w:rsidRPr="00CD0101">
              <w:t>Solving problems in multiple path d.c. circuits as described in 8) and including:</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A</w:t>
            </w:r>
          </w:p>
        </w:tc>
        <w:tc>
          <w:tcPr>
            <w:tcW w:w="50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Determining the operating parameters of an existing circuit.</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B</w:t>
            </w:r>
          </w:p>
        </w:tc>
        <w:tc>
          <w:tcPr>
            <w:tcW w:w="50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Altering an existing circuit to comply with specified operating parameters.</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C</w:t>
            </w:r>
          </w:p>
        </w:tc>
        <w:tc>
          <w:tcPr>
            <w:tcW w:w="50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Developing circuits to comply with a specified function and operating parameters.</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D</w:t>
            </w:r>
          </w:p>
        </w:tc>
        <w:tc>
          <w:tcPr>
            <w:tcW w:w="504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Dealing with unplanned events by drawing on essential knowledge and skills to provide appropriate solutions incorporated in a holistic assessment with the above listed items.</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9</w:t>
            </w:r>
            <w:r w:rsidRPr="00CD0101">
              <w:t>.</w:t>
            </w:r>
            <w:r w:rsidRPr="00CD0101">
              <w:rPr>
                <w:rStyle w:val="SpecialBold"/>
              </w:rPr>
              <w:t>3</w:t>
            </w:r>
            <w:r w:rsidRPr="00CD0101">
              <w:t xml:space="preserve">) </w:t>
            </w:r>
          </w:p>
          <w:p w:rsidR="00000000" w:rsidRPr="00CD0101" w:rsidP="00CD0101">
            <w:pPr>
              <w:pStyle w:val="BodyText"/>
            </w:pPr>
            <w:r w:rsidRPr="00CD0101">
              <w:t>This unit should be asses</w:t>
            </w:r>
            <w:r w:rsidRPr="00CD0101">
              <w:t>sed as it relates to normal work practice using procedures, information and resources typical of a workplace. This should include:</w:t>
            </w:r>
          </w:p>
          <w:p w:rsidR="00000000" w:rsidRPr="00CD0101" w:rsidP="00CD0101">
            <w:pPr>
              <w:pStyle w:val="ListBullet"/>
            </w:pPr>
            <w:r w:rsidRPr="00CD0101">
              <w:t>OHS policy and work procedures and instructions.</w:t>
            </w:r>
          </w:p>
          <w:p w:rsidR="00000000" w:rsidRPr="00CD0101" w:rsidP="00CD0101">
            <w:pPr>
              <w:pStyle w:val="ListBullet"/>
            </w:pPr>
            <w:r w:rsidRPr="00CD0101">
              <w:t>Suitable work environment, facilities, equipment and materials to undertake actual work as prescribed in this unit.</w:t>
            </w:r>
          </w:p>
          <w:p w:rsidR="00000000" w:rsidRPr="00CD0101" w:rsidP="00CD0101">
            <w:pPr>
              <w:pStyle w:val="BodyText"/>
            </w:pPr>
            <w:r w:rsidRPr="00CD0101">
              <w:t>These should be used in the formal learning/assessment environment.</w:t>
            </w:r>
          </w:p>
          <w:p w:rsidR="00000000" w:rsidRPr="00CD0101" w:rsidP="00CD0101">
            <w:pPr>
              <w:pStyle w:val="BodyText"/>
            </w:pPr>
            <w:r w:rsidRPr="00CD0101">
              <w:t>Note:</w:t>
            </w:r>
          </w:p>
          <w:p w:rsidR="00000000" w:rsidP="00CD0101">
            <w:pPr>
              <w:pStyle w:val="BodyText"/>
              <w:rPr>
                <w:lang w:val="en-NZ"/>
              </w:rPr>
            </w:pPr>
            <w:r w:rsidRPr="00CD0101">
              <w:t>Where simulation is considered a suitable strategy for assessment,</w:t>
            </w:r>
            <w:r w:rsidRPr="00CD0101">
              <w:t xml:space="preserve"> conditions for assessment must be authentic and as far as possible reproduce and replicate the workplace and be consistent with the approved industry simulation policy.</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The resources used for assessment should reflect current industry practices in rel</w:t>
            </w:r>
            <w:r w:rsidRPr="00CD0101">
              <w:t>ation to solving problems in multiple path d.c. circuits.</w:t>
            </w:r>
          </w:p>
        </w:tc>
      </w:tr>
      <w:tr w:rsidTr="00D95E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9</w:t>
            </w:r>
            <w:r w:rsidRPr="00CD0101">
              <w:t>.</w:t>
            </w:r>
            <w:r w:rsidRPr="00CD0101">
              <w:rPr>
                <w:rStyle w:val="SpecialBold"/>
              </w:rPr>
              <w:t>4</w:t>
            </w:r>
            <w:r w:rsidRPr="00CD0101">
              <w:t xml:space="preserve">) </w:t>
            </w:r>
          </w:p>
          <w:p w:rsidR="00000000" w:rsidRPr="00CD0101" w:rsidP="00CD0101">
            <w:pPr>
              <w:pStyle w:val="BodyText"/>
            </w:pPr>
            <w:r w:rsidRPr="00CD0101">
              <w:t>This unit shall be assessed by methods given in Volume 1, Part 3 'Assessment Guidelines'.</w:t>
            </w:r>
          </w:p>
          <w:p w:rsidR="00000000" w:rsidP="00CD0101">
            <w:pPr>
              <w:pStyle w:val="BodyText"/>
              <w:rPr>
                <w:lang w:val="en-NZ"/>
              </w:rPr>
            </w:pPr>
            <w:r w:rsidRPr="00CD0101">
              <w:t xml:space="preserve">Note: </w:t>
            </w:r>
            <w:r w:rsidRPr="00CD0101">
              <w:br/>
            </w:r>
            <w:r w:rsidRPr="00CD0101">
              <w:t>Competent performance with inherent safe working practices is expected in the Industry to which this unit applies. This requires that the specified essential knowledge and associated skills are assessed in a structured environment which is primarily intend</w:t>
            </w:r>
            <w:r w:rsidRPr="00CD0101">
              <w:t>ed for learning/assessment and incorporates all necessary equipment and facilities for learners to develop and demonstrate the essential knowledge and skills described in this unit.</w:t>
            </w:r>
          </w:p>
        </w:tc>
      </w:tr>
      <w:tr w:rsidTr="00D95E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9</w:t>
            </w:r>
            <w:r w:rsidRPr="00CD0101">
              <w:t>.</w:t>
            </w:r>
            <w:r w:rsidRPr="00CD0101">
              <w:rPr>
                <w:rStyle w:val="SpecialBold"/>
              </w:rPr>
              <w:t>5</w:t>
            </w:r>
            <w:r w:rsidRPr="00CD0101">
              <w:t>)</w:t>
            </w:r>
          </w:p>
        </w:tc>
      </w:tr>
      <w:tr w:rsidTr="00D95E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 xml:space="preserve">There </w:t>
            </w:r>
            <w:r w:rsidRPr="00CD0101">
              <w:t>are no concurrent assessment recommendations for this unit.</w:t>
            </w:r>
          </w:p>
          <w:p w:rsidR="00000000" w:rsidRPr="00CD0101" w:rsidP="00CD0101">
            <w:pPr>
              <w:pStyle w:val="BodyText"/>
            </w:pPr>
            <w:r w:rsidRPr="00CD0101">
              <w:t>The critical aspects of occupational health and safety covered in unit UEENEEE001B and other discipline specific occupational health and safety units shall be incorporated in relation to this unit</w:t>
            </w:r>
            <w:r w:rsidRPr="00CD0101">
              <w:t>.</w:t>
            </w:r>
          </w:p>
        </w:tc>
      </w:tr>
    </w:tbl>
    <w:p w:rsidR="00D95EF6" w:rsidP="00CD0101">
      <w:pPr>
        <w:pStyle w:val="BodyText"/>
      </w:pPr>
    </w:p>
    <w:p w:rsidR="00D95EF6" w:rsidP="00CD0101">
      <w:pPr>
        <w:pStyle w:val="BodyText"/>
      </w:pPr>
    </w:p>
    <w:p w:rsidR="00000000" w:rsidRPr="00CD0101" w:rsidP="00CD0101">
      <w:pPr>
        <w:pStyle w:val="Heading1"/>
      </w:pPr>
      <w:bookmarkStart w:id="11" w:name="O_255195"/>
      <w:bookmarkEnd w:id="11"/>
      <w:r w:rsidRPr="00CD0101">
        <w:t>Range Statement</w:t>
      </w:r>
    </w:p>
    <w:tbl>
      <w:tblPr>
        <w:tblW w:w="0" w:type="auto"/>
        <w:tblLayout w:type="fixed"/>
        <w:tblCellMar>
          <w:left w:w="62" w:type="dxa"/>
          <w:right w:w="62" w:type="dxa"/>
        </w:tblCellMar>
        <w:tblLook w:val="0000"/>
      </w:tblPr>
      <w:tblGrid>
        <w:gridCol w:w="900"/>
        <w:gridCol w:w="180"/>
        <w:gridCol w:w="1080"/>
        <w:gridCol w:w="6300"/>
      </w:tblGrid>
      <w:tr w:rsidTr="00D95EF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RANGE STATEMENT</w:t>
            </w:r>
          </w:p>
        </w:tc>
      </w:tr>
      <w:tr w:rsidTr="00D95E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8</w:t>
            </w:r>
            <w:r w:rsidRPr="00CD0101">
              <w:t xml:space="preserve">) This relates to the unit as a whole providing the range of contexts and conditions to which the </w:t>
            </w:r>
            <w:r w:rsidRPr="00CD0101">
              <w:t>performance criteria apply. It allows for different work environments and situations that will affect performance.</w:t>
            </w:r>
          </w:p>
        </w:tc>
      </w:tr>
      <w:tr w:rsidTr="00D95E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This unit shall be demonstrated in relation to:</w:t>
            </w:r>
          </w:p>
        </w:tc>
      </w:tr>
      <w:tr w:rsidTr="00D95EF6">
        <w:tblPrEx>
          <w:tblW w:w="0" w:type="auto"/>
          <w:tblLayout w:type="fixed"/>
          <w:tblCellMar>
            <w:left w:w="62" w:type="dxa"/>
            <w:right w:w="62" w:type="dxa"/>
          </w:tblCellMar>
          <w:tblLook w:val="0000"/>
        </w:tblPrEx>
        <w:tc>
          <w:tcPr>
            <w:tcW w:w="900" w:type="dxa"/>
            <w:tcBorders>
              <w:top w:val="nil"/>
              <w:left w:val="nil"/>
              <w:bottom w:val="nil"/>
              <w:right w:val="nil"/>
            </w:tcBorders>
            <w:tcMar>
              <w:top w:w="0" w:type="dxa"/>
              <w:left w:w="62" w:type="dxa"/>
              <w:bottom w:w="0" w:type="dxa"/>
              <w:right w:w="62" w:type="dxa"/>
            </w:tcMar>
          </w:tcPr>
          <w:p w:rsidR="00000000" w:rsidP="00CD010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7560" w:type="dxa"/>
            <w:gridSpan w:val="3"/>
            <w:tcBorders>
              <w:top w:val="nil"/>
              <w:left w:val="nil"/>
              <w:bottom w:val="nil"/>
              <w:right w:val="nil"/>
            </w:tcBorders>
            <w:tcMar>
              <w:top w:w="0" w:type="dxa"/>
              <w:left w:w="62" w:type="dxa"/>
              <w:bottom w:w="0" w:type="dxa"/>
              <w:right w:w="62" w:type="dxa"/>
            </w:tcMar>
          </w:tcPr>
          <w:p w:rsidR="00000000" w:rsidP="00CD0101">
            <w:pPr>
              <w:pStyle w:val="ListBullet"/>
              <w:rPr>
                <w:lang w:val="en-NZ"/>
              </w:rPr>
            </w:pPr>
            <w:r w:rsidRPr="00CD0101">
              <w:t>Single source parallel and series-parallel d.c. circuits as they apply to problems related to installation, fault finding, maintenance or development work functions in any of the following disciplines:</w:t>
            </w:r>
          </w:p>
        </w:tc>
      </w:tr>
      <w:tr w:rsidTr="00D95EF6">
        <w:tblPrEx>
          <w:tblW w:w="0" w:type="auto"/>
          <w:tblLayout w:type="fixed"/>
          <w:tblCellMar>
            <w:left w:w="62" w:type="dxa"/>
            <w:right w:w="62" w:type="dxa"/>
          </w:tblCellMar>
          <w:tblLook w:val="0000"/>
        </w:tblPrEx>
        <w:tc>
          <w:tcPr>
            <w:tcW w:w="2160" w:type="dxa"/>
            <w:gridSpan w:val="3"/>
            <w:tcBorders>
              <w:top w:val="nil"/>
              <w:left w:val="nil"/>
              <w:bottom w:val="nil"/>
              <w:right w:val="nil"/>
            </w:tcBorders>
            <w:tcMar>
              <w:top w:w="0" w:type="dxa"/>
              <w:left w:w="62" w:type="dxa"/>
              <w:bottom w:w="0" w:type="dxa"/>
              <w:right w:w="62" w:type="dxa"/>
            </w:tcMar>
          </w:tcPr>
          <w:p w:rsidR="00000000" w:rsidP="00CD010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D0101" w:rsidP="00CD0101">
            <w:pPr>
              <w:pStyle w:val="ListBullet"/>
            </w:pPr>
            <w:r w:rsidRPr="00CD0101">
              <w:t xml:space="preserve">Computers </w:t>
            </w:r>
          </w:p>
          <w:p w:rsidR="00000000" w:rsidRPr="00CD0101" w:rsidP="00CD0101">
            <w:pPr>
              <w:pStyle w:val="ListBullet"/>
            </w:pPr>
            <w:r w:rsidRPr="00CD0101">
              <w:t>Data Communications</w:t>
            </w:r>
          </w:p>
          <w:p w:rsidR="00000000" w:rsidRPr="00CD0101" w:rsidP="00CD0101">
            <w:pPr>
              <w:pStyle w:val="ListBullet"/>
            </w:pPr>
            <w:r w:rsidRPr="00CD0101">
              <w:t>Electrical</w:t>
            </w:r>
          </w:p>
          <w:p w:rsidR="00000000" w:rsidRPr="00CD0101" w:rsidP="00CD0101">
            <w:pPr>
              <w:pStyle w:val="ListBullet"/>
            </w:pPr>
            <w:r w:rsidRPr="00CD0101">
              <w:t>Electronics</w:t>
            </w:r>
          </w:p>
          <w:p w:rsidR="00000000" w:rsidRPr="00CD0101" w:rsidP="00CD0101">
            <w:pPr>
              <w:pStyle w:val="ListBullet"/>
            </w:pPr>
            <w:r w:rsidRPr="00CD0101">
              <w:t>Fire protection</w:t>
            </w:r>
          </w:p>
          <w:p w:rsidR="00000000" w:rsidRPr="00CD0101" w:rsidP="00CD0101">
            <w:pPr>
              <w:pStyle w:val="ListBullet"/>
            </w:pPr>
            <w:r w:rsidRPr="00CD0101">
              <w:t>Instrumentation</w:t>
            </w:r>
          </w:p>
          <w:p w:rsidR="00000000" w:rsidP="00CD0101">
            <w:pPr>
              <w:pStyle w:val="ListBullet"/>
              <w:rPr>
                <w:lang w:val="en-NZ"/>
              </w:rPr>
            </w:pPr>
            <w:r w:rsidRPr="00CD0101">
              <w:t>Refrigeration and Air Conditioning, and</w:t>
            </w:r>
          </w:p>
        </w:tc>
      </w:tr>
      <w:tr w:rsidTr="00D95EF6">
        <w:tblPrEx>
          <w:tblW w:w="0" w:type="auto"/>
          <w:tblLayout w:type="fixed"/>
          <w:tblCellMar>
            <w:left w:w="62" w:type="dxa"/>
            <w:right w:w="62" w:type="dxa"/>
          </w:tblCellMar>
          <w:tblLook w:val="0000"/>
        </w:tblPrEx>
        <w:tc>
          <w:tcPr>
            <w:tcW w:w="1080" w:type="dxa"/>
            <w:gridSpan w:val="2"/>
            <w:tcBorders>
              <w:top w:val="nil"/>
              <w:left w:val="nil"/>
              <w:bottom w:val="nil"/>
              <w:right w:val="nil"/>
            </w:tcBorders>
            <w:tcMar>
              <w:top w:w="0" w:type="dxa"/>
              <w:left w:w="62" w:type="dxa"/>
              <w:bottom w:w="0" w:type="dxa"/>
              <w:right w:w="62" w:type="dxa"/>
            </w:tcMar>
          </w:tcPr>
          <w:p w:rsidR="00000000" w:rsidP="00CD010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CD0101">
            <w:pPr>
              <w:pStyle w:val="ListBullet"/>
              <w:rPr>
                <w:lang w:val="en-NZ"/>
              </w:rPr>
            </w:pPr>
            <w:r w:rsidRPr="00CD0101">
              <w:t>In relation to at least two of the following types of circuit problems and on at least two occasions:</w:t>
            </w:r>
          </w:p>
        </w:tc>
      </w:tr>
      <w:tr w:rsidTr="00D95E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CD0101">
            <w:pPr>
              <w:pStyle w:val="BodyText"/>
              <w:rPr>
                <w:lang w:val="en-NZ"/>
              </w:rPr>
            </w:pPr>
          </w:p>
        </w:tc>
      </w:tr>
      <w:tr w:rsidTr="00D95E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Generic terms used throughout this Vocational Standard shall be regarded as part of the Range Statement in which competency is demonstrated. The definition of these and other terms that apply are given in Volume 2, Part 2.1.</w:t>
            </w:r>
          </w:p>
        </w:tc>
      </w:tr>
    </w:tbl>
    <w:p w:rsidR="00D95EF6" w:rsidP="00CD0101">
      <w:pPr>
        <w:pStyle w:val="BodyText"/>
      </w:pPr>
    </w:p>
    <w:p w:rsidR="00D95EF6" w:rsidP="00CD0101">
      <w:pPr>
        <w:pStyle w:val="BodyText"/>
      </w:pPr>
    </w:p>
    <w:p w:rsidR="00000000" w:rsidRPr="00CD0101" w:rsidP="00CD0101">
      <w:pPr>
        <w:pStyle w:val="Heading1"/>
      </w:pPr>
      <w:bookmarkStart w:id="12" w:name="O_296208"/>
      <w:bookmarkEnd w:id="12"/>
      <w:r w:rsidRPr="00CD0101">
        <w:t>Unit Sec</w:t>
      </w:r>
      <w:r w:rsidRPr="00CD0101">
        <w:t>tor(s)</w:t>
      </w:r>
    </w:p>
    <w:p w:rsidR="00000000" w:rsidRPr="00CD0101" w:rsidP="00CD0101">
      <w:pPr>
        <w:pStyle w:val="BodyText"/>
      </w:pPr>
      <w:r w:rsidRPr="00CD0101">
        <w:t>Not Applicable</w:t>
      </w:r>
    </w:p>
    <w:p w:rsidR="00000000" w:rsidRPr="00CD0101" w:rsidP="00CD0101">
      <w:pPr>
        <w:pStyle w:val="AllowPageBreak"/>
      </w:pPr>
    </w:p>
    <w:p w:rsidR="00000000" w:rsidRPr="00CD0101" w:rsidP="00CD0101">
      <w:pPr>
        <w:pStyle w:val="Heading1"/>
      </w:pPr>
      <w:bookmarkStart w:id="13" w:name="O_225375"/>
      <w:bookmarkEnd w:id="13"/>
      <w:r w:rsidRPr="00CD010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95EF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2</w:t>
            </w:r>
            <w:r w:rsidRPr="00CD0101">
              <w:t>.</w:t>
            </w:r>
            <w:r w:rsidRPr="00CD0101">
              <w:rPr>
                <w:rStyle w:val="SpecialBold"/>
              </w:rPr>
              <w:t>2</w:t>
            </w:r>
            <w:r w:rsidRPr="00CD0101">
              <w:t xml:space="preserve">) </w:t>
            </w:r>
            <w:r w:rsidRPr="00CD0101">
              <w:rPr>
                <w:rStyle w:val="SpecialBold"/>
              </w:rPr>
              <w:t>Literacy and numeracy skills</w:t>
            </w:r>
          </w:p>
          <w:p w:rsidR="00000000" w:rsidP="00CD0101">
            <w:pPr>
              <w:pStyle w:val="BodyText"/>
              <w:rPr>
                <w:lang w:val="en-NZ"/>
              </w:rPr>
            </w:pPr>
            <w:r w:rsidRPr="00CD0101">
              <w:t xml:space="preserve">Participants are best equipped to achieve competency in this unit if they have reading, writing and numeracy skills indicated by the following scales. Description of </w:t>
            </w:r>
            <w:r w:rsidRPr="00CD0101">
              <w:t>each scale is given in Volume 2, Part 3 'Literacy and Numeracy'</w:t>
            </w:r>
          </w:p>
        </w:tc>
      </w:tr>
      <w:tr w:rsidTr="00D95EF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Reading</w:t>
            </w:r>
          </w:p>
        </w:tc>
        <w:tc>
          <w:tcPr>
            <w:tcW w:w="1182"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3</w:t>
            </w:r>
          </w:p>
        </w:tc>
        <w:tc>
          <w:tcPr>
            <w:tcW w:w="1739"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Writing</w:t>
            </w:r>
          </w:p>
        </w:tc>
        <w:tc>
          <w:tcPr>
            <w:tcW w:w="1182"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3</w:t>
            </w:r>
          </w:p>
        </w:tc>
        <w:tc>
          <w:tcPr>
            <w:tcW w:w="1721"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t>Numeracy</w:t>
            </w:r>
          </w:p>
        </w:tc>
        <w:tc>
          <w:tcPr>
            <w:tcW w:w="1182"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3</w:t>
            </w:r>
          </w:p>
        </w:tc>
      </w:tr>
    </w:tbl>
    <w:p w:rsidR="00D95EF6" w:rsidP="00CD0101">
      <w:pPr>
        <w:pStyle w:val="BodyText"/>
      </w:pPr>
    </w:p>
    <w:p w:rsidR="00D95EF6" w:rsidP="00CD0101">
      <w:pPr>
        <w:pStyle w:val="BodyText"/>
      </w:pPr>
    </w:p>
    <w:p w:rsidR="00000000" w:rsidRPr="00CD0101" w:rsidP="00CD0101">
      <w:pPr>
        <w:pStyle w:val="Heading1"/>
      </w:pPr>
      <w:bookmarkStart w:id="14" w:name="O_225378"/>
      <w:bookmarkEnd w:id="14"/>
      <w:r w:rsidRPr="00CD0101">
        <w:t>2.2) Literacy and numeracy skills</w:t>
      </w:r>
    </w:p>
    <w:tbl>
      <w:tblPr>
        <w:tblW w:w="0" w:type="auto"/>
        <w:tblLayout w:type="fixed"/>
        <w:tblCellMar>
          <w:left w:w="62" w:type="dxa"/>
          <w:right w:w="62" w:type="dxa"/>
        </w:tblCellMar>
        <w:tblLook w:val="0000"/>
      </w:tblPr>
      <w:tblGrid>
        <w:gridCol w:w="2700"/>
        <w:gridCol w:w="5760"/>
      </w:tblGrid>
      <w:tr w:rsidTr="00D95E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0101">
            <w:pPr>
              <w:pStyle w:val="BodyText"/>
              <w:rPr>
                <w:lang w:val="en-NZ"/>
              </w:rPr>
            </w:pPr>
            <w:r w:rsidRPr="00CD0101">
              <w:rPr>
                <w:rStyle w:val="SpecialBold"/>
              </w:rPr>
              <w:t>5</w:t>
            </w:r>
            <w:r w:rsidRPr="00CD0101">
              <w:t>)</w:t>
            </w:r>
          </w:p>
        </w:tc>
      </w:tr>
      <w:tr w:rsidTr="00D95E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101" w:rsidP="00CD0101">
            <w:pPr>
              <w:pStyle w:val="BodyText"/>
            </w:pPr>
            <w:r w:rsidRPr="00CD0101">
              <w:t>Electrotechnology</w:t>
            </w:r>
          </w:p>
        </w:tc>
      </w:tr>
    </w:tbl>
    <w:p w:rsidR="00D95EF6" w:rsidP="00CD0101">
      <w:pPr>
        <w:pStyle w:val="BodyText"/>
      </w:pPr>
    </w:p>
    <w:p w:rsidR="00D95EF6" w:rsidP="00CD0101">
      <w:pPr>
        <w:pStyle w:val="BodyText"/>
      </w:pPr>
    </w:p>
    <w:p w:rsidR="00000000" w:rsidRPr="00CD0101" w:rsidP="00CD0101"/>
    <w:sectPr w:rsidSect="00CD0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EF6" w:rsidP="00D95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F6" w:rsidP="00CD0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5EF6" w:rsidP="00CD01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95EF6" w:rsidP="00CD01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EF6" w:rsidP="00D95E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F6" w:rsidP="00CD0101">
    <w:pPr>
      <w:pStyle w:val="Header"/>
      <w:framePr w:wrap="around"/>
    </w:pPr>
    <w:r>
      <w:fldChar w:fldCharType="begin"/>
    </w:r>
    <w:r>
      <w:instrText xml:space="preserve"> TITLE   \* MERGEFORMAT </w:instrText>
    </w:r>
    <w:r>
      <w:fldChar w:fldCharType="separate"/>
    </w:r>
    <w:r>
      <w:t>UEENEEE004B Solve problems in multiple path d.c.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5EF6" w:rsidP="00CD01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E4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46A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4A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1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0101"/>
    <w:pPr>
      <w:spacing w:before="360" w:after="60"/>
      <w:outlineLvl w:val="0"/>
    </w:pPr>
    <w:rPr>
      <w:sz w:val="32"/>
    </w:rPr>
  </w:style>
  <w:style w:type="paragraph" w:styleId="Heading2">
    <w:name w:val="heading 2"/>
    <w:basedOn w:val="HeadingBase"/>
    <w:next w:val="BodyText"/>
    <w:link w:val="Heading2Char"/>
    <w:qFormat/>
    <w:rsid w:val="00CD0101"/>
    <w:pPr>
      <w:keepLines/>
      <w:spacing w:before="240" w:after="120"/>
      <w:outlineLvl w:val="1"/>
    </w:pPr>
    <w:rPr>
      <w:sz w:val="28"/>
      <w:szCs w:val="40"/>
    </w:rPr>
  </w:style>
  <w:style w:type="paragraph" w:styleId="Heading3">
    <w:name w:val="heading 3"/>
    <w:basedOn w:val="HeadingBase"/>
    <w:next w:val="BodyText"/>
    <w:link w:val="Heading3Char"/>
    <w:qFormat/>
    <w:rsid w:val="00CD0101"/>
    <w:pPr>
      <w:spacing w:before="180" w:after="120"/>
      <w:outlineLvl w:val="2"/>
    </w:pPr>
    <w:rPr>
      <w:spacing w:val="-10"/>
      <w:kern w:val="32"/>
    </w:rPr>
  </w:style>
  <w:style w:type="paragraph" w:styleId="Heading4">
    <w:name w:val="heading 4"/>
    <w:basedOn w:val="HeadingBase"/>
    <w:next w:val="BodyText"/>
    <w:link w:val="Heading4Char"/>
    <w:qFormat/>
    <w:rsid w:val="00CD0101"/>
    <w:pPr>
      <w:spacing w:before="160" w:after="120"/>
      <w:outlineLvl w:val="3"/>
    </w:pPr>
    <w:rPr>
      <w:sz w:val="22"/>
    </w:rPr>
  </w:style>
  <w:style w:type="paragraph" w:styleId="Heading5">
    <w:name w:val="heading 5"/>
    <w:basedOn w:val="HeadingBase"/>
    <w:next w:val="Normal"/>
    <w:link w:val="Heading5Char"/>
    <w:qFormat/>
    <w:rsid w:val="00CD0101"/>
    <w:pPr>
      <w:spacing w:before="80"/>
      <w:outlineLvl w:val="4"/>
    </w:pPr>
    <w:rPr>
      <w:color w:val="918585"/>
      <w:sz w:val="20"/>
    </w:rPr>
  </w:style>
  <w:style w:type="paragraph" w:styleId="Heading6">
    <w:name w:val="heading 6"/>
    <w:basedOn w:val="HeadingBase"/>
    <w:next w:val="Normal"/>
    <w:link w:val="Heading6Char"/>
    <w:qFormat/>
    <w:rsid w:val="00CD0101"/>
    <w:pPr>
      <w:spacing w:before="60"/>
      <w:outlineLvl w:val="5"/>
    </w:pPr>
    <w:rPr>
      <w:color w:val="918585"/>
      <w:sz w:val="20"/>
    </w:rPr>
  </w:style>
  <w:style w:type="paragraph" w:styleId="Heading7">
    <w:name w:val="heading 7"/>
    <w:basedOn w:val="Normal"/>
    <w:next w:val="Normal"/>
    <w:link w:val="Heading7Char"/>
    <w:qFormat/>
    <w:rsid w:val="00CD0101"/>
    <w:pPr>
      <w:ind w:left="720"/>
      <w:outlineLvl w:val="6"/>
    </w:pPr>
    <w:rPr>
      <w:i/>
    </w:rPr>
  </w:style>
  <w:style w:type="paragraph" w:styleId="Heading8">
    <w:name w:val="heading 8"/>
    <w:basedOn w:val="Normal"/>
    <w:next w:val="Normal"/>
    <w:link w:val="Heading8Char"/>
    <w:qFormat/>
    <w:rsid w:val="00CD0101"/>
    <w:pPr>
      <w:ind w:left="720"/>
      <w:outlineLvl w:val="7"/>
    </w:pPr>
    <w:rPr>
      <w:i/>
    </w:rPr>
  </w:style>
  <w:style w:type="paragraph" w:styleId="Heading9">
    <w:name w:val="heading 9"/>
    <w:basedOn w:val="Normal"/>
    <w:next w:val="Normal"/>
    <w:link w:val="Heading9Char"/>
    <w:qFormat/>
    <w:rsid w:val="00CD0101"/>
    <w:pPr>
      <w:ind w:left="720"/>
      <w:outlineLvl w:val="8"/>
    </w:pPr>
    <w:rPr>
      <w:i/>
    </w:rPr>
  </w:style>
  <w:style w:type="character" w:default="1" w:styleId="DefaultParagraphFont">
    <w:name w:val="Default Paragraph Font"/>
    <w:uiPriority w:val="1"/>
    <w:unhideWhenUsed/>
    <w:rsid w:val="00CD0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101"/>
  </w:style>
  <w:style w:type="character" w:customStyle="1" w:styleId="Heading1Char">
    <w:name w:val="Heading 1 Char"/>
    <w:basedOn w:val="DefaultParagraphFont"/>
    <w:link w:val="Heading1"/>
    <w:rsid w:val="00CD0101"/>
    <w:rPr>
      <w:rFonts w:ascii="Times New Roman" w:eastAsia="Times New Roman" w:hAnsi="Times New Roman" w:cs="Times New Roman"/>
      <w:b/>
      <w:sz w:val="32"/>
      <w:szCs w:val="20"/>
      <w:lang w:eastAsia="en-US"/>
    </w:rPr>
  </w:style>
  <w:style w:type="paragraph" w:styleId="BodyText">
    <w:name w:val="Body Text"/>
    <w:basedOn w:val="Normal"/>
    <w:link w:val="BodyTextChar"/>
    <w:rsid w:val="00CD01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0101"/>
    <w:rPr>
      <w:rFonts w:ascii="Times New Roman" w:eastAsia="Times New Roman" w:hAnsi="Times New Roman" w:cs="Times New Roman"/>
      <w:sz w:val="24"/>
      <w:lang w:val="en-US" w:eastAsia="en-US"/>
    </w:rPr>
  </w:style>
  <w:style w:type="paragraph" w:styleId="Footer">
    <w:name w:val="footer"/>
    <w:basedOn w:val="Normal"/>
    <w:link w:val="FooterChar"/>
    <w:rsid w:val="00CD0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101"/>
    <w:rPr>
      <w:rFonts w:ascii="Times New Roman" w:eastAsia="Times New Roman" w:hAnsi="Times New Roman" w:cs="Times New Roman"/>
      <w:sz w:val="16"/>
      <w:lang w:val="en-US" w:eastAsia="en-US"/>
    </w:rPr>
  </w:style>
  <w:style w:type="paragraph" w:styleId="ListBullet">
    <w:name w:val="List Bullet"/>
    <w:basedOn w:val="List"/>
    <w:rsid w:val="00CD0101"/>
    <w:pPr>
      <w:numPr>
        <w:numId w:val="13"/>
      </w:numPr>
      <w:tabs>
        <w:tab w:val="clear" w:pos="340"/>
      </w:tabs>
      <w:spacing w:before="40" w:after="40"/>
    </w:pPr>
  </w:style>
  <w:style w:type="character" w:customStyle="1" w:styleId="SpecialBold">
    <w:name w:val="Special Bold"/>
    <w:basedOn w:val="DefaultParagraphFont"/>
    <w:rsid w:val="00CD0101"/>
    <w:rPr>
      <w:b/>
      <w:spacing w:val="0"/>
    </w:rPr>
  </w:style>
  <w:style w:type="paragraph" w:styleId="ListBullet2">
    <w:name w:val="List Bullet 2"/>
    <w:basedOn w:val="List2"/>
    <w:rsid w:val="00CD0101"/>
    <w:pPr>
      <w:numPr>
        <w:numId w:val="14"/>
      </w:numPr>
      <w:tabs>
        <w:tab w:val="clear" w:pos="680"/>
      </w:tabs>
    </w:pPr>
  </w:style>
  <w:style w:type="paragraph" w:styleId="Header">
    <w:name w:val="header"/>
    <w:basedOn w:val="Normal"/>
    <w:link w:val="HeaderChar"/>
    <w:rsid w:val="00CD0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1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0101"/>
    <w:pPr>
      <w:spacing w:before="240" w:after="120"/>
      <w:outlineLvl w:val="0"/>
    </w:pPr>
    <w:rPr>
      <w:rFonts w:ascii="Times New Roman" w:hAnsi="Times New Roman"/>
      <w:b/>
      <w:sz w:val="28"/>
    </w:rPr>
  </w:style>
  <w:style w:type="paragraph" w:customStyle="1" w:styleId="AllowPageBreak">
    <w:name w:val="AllowPageBreak"/>
    <w:rsid w:val="00CD0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1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01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0101"/>
    <w:rPr>
      <w:rFonts w:ascii="Courier New" w:eastAsia="Times New Roman" w:hAnsi="Courier New" w:cs="Times New Roman"/>
      <w:i/>
      <w:szCs w:val="20"/>
      <w:lang w:val="en-US" w:eastAsia="en-US"/>
    </w:rPr>
  </w:style>
  <w:style w:type="paragraph" w:customStyle="1" w:styleId="HeadingBase">
    <w:name w:val="Heading Base"/>
    <w:rsid w:val="00CD0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101"/>
    <w:pPr>
      <w:tabs>
        <w:tab w:val="right" w:leader="dot" w:pos="9072"/>
      </w:tabs>
      <w:ind w:left="567"/>
    </w:pPr>
    <w:rPr>
      <w:szCs w:val="22"/>
    </w:rPr>
  </w:style>
  <w:style w:type="paragraph" w:customStyle="1" w:styleId="TOCBase">
    <w:name w:val="TOC Base"/>
    <w:rsid w:val="00CD0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101"/>
    <w:pPr>
      <w:tabs>
        <w:tab w:val="right" w:leader="dot" w:pos="9072"/>
      </w:tabs>
      <w:spacing w:before="40" w:after="40"/>
      <w:ind w:left="284"/>
    </w:pPr>
    <w:rPr>
      <w:rFonts w:ascii="Times New Roman" w:hAnsi="Times New Roman"/>
    </w:rPr>
  </w:style>
  <w:style w:type="paragraph" w:styleId="TOC1">
    <w:name w:val="toc 1"/>
    <w:basedOn w:val="TOCBase"/>
    <w:next w:val="Normal"/>
    <w:rsid w:val="00CD01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0101"/>
    <w:pPr>
      <w:spacing w:before="5040"/>
      <w:jc w:val="center"/>
    </w:pPr>
    <w:rPr>
      <w:sz w:val="48"/>
      <w:szCs w:val="72"/>
      <w:lang w:val="en-US"/>
    </w:rPr>
  </w:style>
  <w:style w:type="character" w:customStyle="1" w:styleId="TitleChar">
    <w:name w:val="Title Char"/>
    <w:basedOn w:val="DefaultParagraphFont"/>
    <w:link w:val="Title"/>
    <w:rsid w:val="00CD0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101"/>
    <w:pPr>
      <w:tabs>
        <w:tab w:val="left" w:pos="3600"/>
        <w:tab w:val="left" w:pos="3958"/>
      </w:tabs>
    </w:pPr>
  </w:style>
  <w:style w:type="paragraph" w:styleId="List">
    <w:name w:val="List"/>
    <w:basedOn w:val="BodyText"/>
    <w:next w:val="BodyText"/>
    <w:rsid w:val="00CD0101"/>
    <w:pPr>
      <w:tabs>
        <w:tab w:val="left" w:pos="340"/>
      </w:tabs>
      <w:spacing w:before="60" w:after="60"/>
      <w:ind w:left="340" w:hanging="340"/>
    </w:pPr>
  </w:style>
  <w:style w:type="paragraph" w:customStyle="1" w:styleId="Note">
    <w:name w:val="Note"/>
    <w:basedOn w:val="BodyText"/>
    <w:rsid w:val="00CD01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101"/>
    <w:pPr>
      <w:framePr w:wrap="auto" w:hAnchor="text" w:y="6049"/>
    </w:pPr>
    <w:rPr>
      <w:color w:val="000000"/>
      <w:sz w:val="40"/>
    </w:rPr>
  </w:style>
  <w:style w:type="paragraph" w:customStyle="1" w:styleId="TOCTitle">
    <w:name w:val="TOCTitle"/>
    <w:basedOn w:val="Heading1"/>
    <w:rsid w:val="00CD0101"/>
    <w:pPr>
      <w:spacing w:after="240"/>
      <w:jc w:val="center"/>
      <w:outlineLvl w:val="9"/>
    </w:pPr>
    <w:rPr>
      <w:caps/>
    </w:rPr>
  </w:style>
  <w:style w:type="paragraph" w:customStyle="1" w:styleId="Version">
    <w:name w:val="Version"/>
    <w:rsid w:val="00CD0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101"/>
    <w:pPr>
      <w:keepNext w:val="0"/>
      <w:tabs>
        <w:tab w:val="right" w:pos="4176"/>
      </w:tabs>
      <w:ind w:left="198" w:hanging="198"/>
    </w:pPr>
    <w:rPr>
      <w:rFonts w:ascii="Garamond" w:hAnsi="Garamond"/>
    </w:rPr>
  </w:style>
  <w:style w:type="paragraph" w:styleId="IndexHeading">
    <w:name w:val="index heading"/>
    <w:basedOn w:val="Normal"/>
    <w:next w:val="Index1"/>
    <w:semiHidden/>
    <w:rsid w:val="00CD0101"/>
    <w:pPr>
      <w:spacing w:before="120" w:after="120"/>
    </w:pPr>
    <w:rPr>
      <w:rFonts w:ascii="Arial" w:hAnsi="Arial"/>
      <w:b/>
      <w:color w:val="918585"/>
      <w:sz w:val="24"/>
    </w:rPr>
  </w:style>
  <w:style w:type="paragraph" w:customStyle="1" w:styleId="Chapter">
    <w:name w:val="Chapter"/>
    <w:basedOn w:val="Normal"/>
    <w:rsid w:val="00CD0101"/>
    <w:pPr>
      <w:spacing w:before="240"/>
    </w:pPr>
    <w:rPr>
      <w:rFonts w:ascii="Times New Roman" w:hAnsi="Times New Roman"/>
      <w:smallCaps/>
      <w:spacing w:val="80"/>
      <w:sz w:val="28"/>
    </w:rPr>
  </w:style>
  <w:style w:type="paragraph" w:customStyle="1" w:styleId="InChapter">
    <w:name w:val="InChapter"/>
    <w:basedOn w:val="Heading3"/>
    <w:rsid w:val="00CD0101"/>
    <w:pPr>
      <w:spacing w:after="240"/>
      <w:outlineLvl w:val="9"/>
    </w:pPr>
    <w:rPr>
      <w:noProof/>
    </w:rPr>
  </w:style>
  <w:style w:type="paragraph" w:styleId="Index2">
    <w:name w:val="index 2"/>
    <w:basedOn w:val="Normal"/>
    <w:next w:val="Normal"/>
    <w:semiHidden/>
    <w:rsid w:val="00CD0101"/>
    <w:pPr>
      <w:tabs>
        <w:tab w:val="right" w:pos="4176"/>
      </w:tabs>
      <w:ind w:left="568" w:hanging="284"/>
    </w:pPr>
    <w:rPr>
      <w:rFonts w:ascii="Garamond" w:hAnsi="Garamond"/>
    </w:rPr>
  </w:style>
  <w:style w:type="paragraph" w:customStyle="1" w:styleId="Byline">
    <w:name w:val="Byline"/>
    <w:rsid w:val="00CD0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101"/>
    <w:pPr>
      <w:tabs>
        <w:tab w:val="clear" w:pos="3600"/>
        <w:tab w:val="clear" w:pos="3958"/>
      </w:tabs>
      <w:jc w:val="right"/>
    </w:pPr>
  </w:style>
  <w:style w:type="character" w:styleId="Emphasis">
    <w:name w:val="Emphasis"/>
    <w:basedOn w:val="DefaultParagraphFont"/>
    <w:qFormat/>
    <w:rsid w:val="00CD0101"/>
    <w:rPr>
      <w:i/>
    </w:rPr>
  </w:style>
  <w:style w:type="paragraph" w:styleId="Caption">
    <w:name w:val="caption"/>
    <w:basedOn w:val="BodyText"/>
    <w:next w:val="Normal"/>
    <w:qFormat/>
    <w:rsid w:val="00CD0101"/>
    <w:pPr>
      <w:framePr w:w="2268" w:hSpace="181" w:vSpace="181" w:wrap="around" w:vAnchor="text" w:hAnchor="page" w:x="1135" w:y="285" w:anchorLock="1"/>
    </w:pPr>
    <w:rPr>
      <w:i/>
    </w:rPr>
  </w:style>
  <w:style w:type="paragraph" w:customStyle="1" w:styleId="MiniTOCTitle">
    <w:name w:val="MiniTOCTitle"/>
    <w:basedOn w:val="Heading4"/>
    <w:rsid w:val="00CD0101"/>
    <w:pPr>
      <w:spacing w:before="240"/>
      <w:outlineLvl w:val="9"/>
    </w:pPr>
    <w:rPr>
      <w:noProof/>
      <w:sz w:val="24"/>
    </w:rPr>
  </w:style>
  <w:style w:type="paragraph" w:customStyle="1" w:styleId="MiniTOCItem">
    <w:name w:val="MiniTOCItem"/>
    <w:basedOn w:val="ListBullet"/>
    <w:rsid w:val="00CD0101"/>
    <w:pPr>
      <w:numPr>
        <w:numId w:val="0"/>
      </w:numPr>
      <w:tabs>
        <w:tab w:val="right" w:leader="dot" w:pos="6521"/>
      </w:tabs>
      <w:spacing w:before="0" w:after="0"/>
    </w:pPr>
  </w:style>
  <w:style w:type="paragraph" w:customStyle="1" w:styleId="TOFTitle">
    <w:name w:val="TOFTitle"/>
    <w:basedOn w:val="TOCTitle"/>
    <w:rsid w:val="00CD0101"/>
  </w:style>
  <w:style w:type="paragraph" w:styleId="TableofFigures">
    <w:name w:val="table of figures"/>
    <w:basedOn w:val="Normal"/>
    <w:next w:val="Normal"/>
    <w:semiHidden/>
    <w:rsid w:val="00CD0101"/>
    <w:pPr>
      <w:tabs>
        <w:tab w:val="right" w:leader="dot" w:pos="9072"/>
      </w:tabs>
      <w:ind w:left="970" w:hanging="403"/>
    </w:pPr>
    <w:rPr>
      <w:rFonts w:ascii="Times New Roman" w:hAnsi="Times New Roman"/>
      <w:b/>
    </w:rPr>
  </w:style>
  <w:style w:type="paragraph" w:styleId="ListNumber">
    <w:name w:val="List Number"/>
    <w:basedOn w:val="List"/>
    <w:rsid w:val="00CD0101"/>
    <w:pPr>
      <w:numPr>
        <w:numId w:val="11"/>
      </w:numPr>
    </w:pPr>
  </w:style>
  <w:style w:type="character" w:customStyle="1" w:styleId="WingdingSymbols">
    <w:name w:val="Wingding Symbols"/>
    <w:rsid w:val="00CD0101"/>
    <w:rPr>
      <w:rFonts w:ascii="Wingdings" w:hAnsi="Wingdings"/>
    </w:rPr>
  </w:style>
  <w:style w:type="paragraph" w:customStyle="1" w:styleId="TableHeading">
    <w:name w:val="Table Heading"/>
    <w:basedOn w:val="HeadingBase"/>
    <w:rsid w:val="00CD0101"/>
    <w:pPr>
      <w:keepLines/>
      <w:pBdr>
        <w:bottom w:val="single" w:sz="6" w:space="1" w:color="918585"/>
      </w:pBdr>
      <w:spacing w:before="240"/>
    </w:pPr>
  </w:style>
  <w:style w:type="character" w:customStyle="1" w:styleId="HotSpot">
    <w:name w:val="HotSpot"/>
    <w:rsid w:val="00CD0101"/>
    <w:rPr>
      <w:color w:val="0033CC"/>
      <w:u w:val="none"/>
    </w:rPr>
  </w:style>
  <w:style w:type="paragraph" w:customStyle="1" w:styleId="BodyTextRight">
    <w:name w:val="Body Text Right"/>
    <w:basedOn w:val="BodyText"/>
    <w:rsid w:val="00CD0101"/>
    <w:pPr>
      <w:spacing w:before="0" w:after="0"/>
      <w:jc w:val="right"/>
    </w:pPr>
  </w:style>
  <w:style w:type="paragraph" w:styleId="Index3">
    <w:name w:val="index 3"/>
    <w:basedOn w:val="ListNumber2"/>
    <w:next w:val="Normal"/>
    <w:semiHidden/>
    <w:rsid w:val="00CD0101"/>
    <w:pPr>
      <w:numPr>
        <w:numId w:val="0"/>
      </w:numPr>
      <w:tabs>
        <w:tab w:val="right" w:leader="dot" w:pos="4176"/>
      </w:tabs>
    </w:pPr>
  </w:style>
  <w:style w:type="paragraph" w:styleId="ListNumber2">
    <w:name w:val="List Number 2"/>
    <w:basedOn w:val="List2"/>
    <w:rsid w:val="00CD0101"/>
    <w:pPr>
      <w:numPr>
        <w:numId w:val="10"/>
      </w:numPr>
      <w:tabs>
        <w:tab w:val="clear" w:pos="1060"/>
      </w:tabs>
    </w:pPr>
  </w:style>
  <w:style w:type="paragraph" w:customStyle="1" w:styleId="MarginNote">
    <w:name w:val="Margin Note"/>
    <w:basedOn w:val="BodyText"/>
    <w:rsid w:val="00CD0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1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0101"/>
    <w:rPr>
      <w:sz w:val="32"/>
    </w:rPr>
  </w:style>
  <w:style w:type="paragraph" w:customStyle="1" w:styleId="HeadingProcedure">
    <w:name w:val="Heading Procedure"/>
    <w:basedOn w:val="HeadingBase"/>
    <w:next w:val="Normal"/>
    <w:rsid w:val="00CD0101"/>
    <w:pPr>
      <w:tabs>
        <w:tab w:val="left" w:pos="0"/>
      </w:tabs>
      <w:spacing w:before="120" w:after="60"/>
    </w:pPr>
    <w:rPr>
      <w:i/>
      <w:color w:val="918585"/>
      <w:sz w:val="22"/>
    </w:rPr>
  </w:style>
  <w:style w:type="paragraph" w:customStyle="1" w:styleId="TableBodyText">
    <w:name w:val="Table Body Text"/>
    <w:basedOn w:val="BodyText"/>
    <w:rsid w:val="00CD0101"/>
    <w:pPr>
      <w:spacing w:before="60" w:after="60"/>
    </w:pPr>
  </w:style>
  <w:style w:type="paragraph" w:styleId="ListContinue">
    <w:name w:val="List Continue"/>
    <w:basedOn w:val="List"/>
    <w:rsid w:val="00CD0101"/>
    <w:pPr>
      <w:ind w:firstLine="0"/>
    </w:pPr>
  </w:style>
  <w:style w:type="paragraph" w:customStyle="1" w:styleId="ListNote">
    <w:name w:val="List Note"/>
    <w:basedOn w:val="List"/>
    <w:rsid w:val="00CD0101"/>
    <w:pPr>
      <w:pBdr>
        <w:top w:val="single" w:sz="6" w:space="2" w:color="918585"/>
        <w:bottom w:val="single" w:sz="6" w:space="2" w:color="918585"/>
      </w:pBdr>
      <w:tabs>
        <w:tab w:val="left" w:pos="1021"/>
      </w:tabs>
      <w:ind w:firstLine="0"/>
    </w:pPr>
  </w:style>
  <w:style w:type="paragraph" w:customStyle="1" w:styleId="Warning">
    <w:name w:val="Warning"/>
    <w:basedOn w:val="BodyText"/>
    <w:rsid w:val="00CD0101"/>
    <w:pPr>
      <w:shd w:val="clear" w:color="auto" w:fill="D9D9D9"/>
      <w:tabs>
        <w:tab w:val="left" w:pos="992"/>
      </w:tabs>
      <w:ind w:left="119" w:right="119"/>
    </w:pPr>
    <w:rPr>
      <w:sz w:val="20"/>
    </w:rPr>
  </w:style>
  <w:style w:type="paragraph" w:customStyle="1" w:styleId="MarginIcons">
    <w:name w:val="Margin Icons"/>
    <w:basedOn w:val="BodyText"/>
    <w:rsid w:val="00CD0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101"/>
    <w:rPr>
      <w:rFonts w:ascii="Courier New" w:hAnsi="Courier New"/>
    </w:rPr>
  </w:style>
  <w:style w:type="paragraph" w:customStyle="1" w:styleId="NoteBullet">
    <w:name w:val="Note Bullet"/>
    <w:basedOn w:val="Note"/>
    <w:rsid w:val="00CD0101"/>
    <w:pPr>
      <w:tabs>
        <w:tab w:val="clear" w:pos="680"/>
      </w:tabs>
      <w:spacing w:before="60" w:after="60"/>
    </w:pPr>
  </w:style>
  <w:style w:type="paragraph" w:customStyle="1" w:styleId="SubHeading2">
    <w:name w:val="SubHeading2"/>
    <w:basedOn w:val="HeadingBase"/>
    <w:rsid w:val="00CD0101"/>
    <w:pPr>
      <w:spacing w:before="240" w:after="60"/>
    </w:pPr>
    <w:rPr>
      <w:sz w:val="20"/>
    </w:rPr>
  </w:style>
  <w:style w:type="paragraph" w:customStyle="1" w:styleId="SubHeading1">
    <w:name w:val="SubHeading1"/>
    <w:basedOn w:val="HeadingBase"/>
    <w:rsid w:val="00CD0101"/>
    <w:pPr>
      <w:spacing w:before="240" w:after="60"/>
    </w:pPr>
    <w:rPr>
      <w:color w:val="918585"/>
      <w:sz w:val="22"/>
    </w:rPr>
  </w:style>
  <w:style w:type="paragraph" w:customStyle="1" w:styleId="SideHeading">
    <w:name w:val="Side Heading"/>
    <w:basedOn w:val="HeadingBase"/>
    <w:rsid w:val="00CD0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101"/>
    <w:pPr>
      <w:numPr>
        <w:numId w:val="12"/>
      </w:numPr>
    </w:pPr>
  </w:style>
  <w:style w:type="paragraph" w:styleId="PlainText">
    <w:name w:val="Plain Text"/>
    <w:basedOn w:val="Normal"/>
    <w:link w:val="PlainTextChar"/>
    <w:rsid w:val="00CD0101"/>
    <w:rPr>
      <w:sz w:val="20"/>
    </w:rPr>
  </w:style>
  <w:style w:type="character" w:customStyle="1" w:styleId="PlainTextChar">
    <w:name w:val="Plain Text Char"/>
    <w:basedOn w:val="DefaultParagraphFont"/>
    <w:link w:val="PlainText"/>
    <w:rsid w:val="00CD01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0101"/>
    <w:rPr>
      <w:b/>
      <w:smallCaps/>
    </w:rPr>
  </w:style>
  <w:style w:type="paragraph" w:customStyle="1" w:styleId="TableListNumber">
    <w:name w:val="Table List Number"/>
    <w:basedOn w:val="ListNumber"/>
    <w:rsid w:val="00CD0101"/>
    <w:pPr>
      <w:numPr>
        <w:numId w:val="0"/>
      </w:numPr>
    </w:pPr>
  </w:style>
  <w:style w:type="paragraph" w:styleId="TOC4">
    <w:name w:val="toc 4"/>
    <w:basedOn w:val="TOCBase"/>
    <w:next w:val="Normal"/>
    <w:semiHidden/>
    <w:rsid w:val="00CD0101"/>
    <w:pPr>
      <w:tabs>
        <w:tab w:val="right" w:leader="dot" w:pos="9071"/>
      </w:tabs>
      <w:ind w:left="1701"/>
    </w:pPr>
  </w:style>
  <w:style w:type="paragraph" w:customStyle="1" w:styleId="ListAlpha">
    <w:name w:val="List Alpha"/>
    <w:basedOn w:val="List"/>
    <w:rsid w:val="00CD0101"/>
    <w:pPr>
      <w:numPr>
        <w:numId w:val="9"/>
      </w:numPr>
    </w:pPr>
  </w:style>
  <w:style w:type="paragraph" w:customStyle="1" w:styleId="ListAlpha2">
    <w:name w:val="List Alpha 2"/>
    <w:basedOn w:val="List2"/>
    <w:rsid w:val="00CD0101"/>
    <w:pPr>
      <w:numPr>
        <w:numId w:val="8"/>
      </w:numPr>
    </w:pPr>
  </w:style>
  <w:style w:type="paragraph" w:styleId="List2">
    <w:name w:val="List 2"/>
    <w:basedOn w:val="BodyText"/>
    <w:rsid w:val="00CD0101"/>
    <w:pPr>
      <w:tabs>
        <w:tab w:val="left" w:pos="680"/>
      </w:tabs>
      <w:spacing w:before="60" w:after="60"/>
      <w:ind w:left="680" w:hanging="340"/>
    </w:pPr>
  </w:style>
  <w:style w:type="paragraph" w:styleId="List3">
    <w:name w:val="List 3"/>
    <w:basedOn w:val="BodyText"/>
    <w:rsid w:val="00CD0101"/>
    <w:pPr>
      <w:tabs>
        <w:tab w:val="left" w:pos="1021"/>
      </w:tabs>
      <w:spacing w:before="60" w:after="60"/>
      <w:ind w:left="1020" w:hanging="340"/>
    </w:pPr>
  </w:style>
  <w:style w:type="paragraph" w:styleId="List4">
    <w:name w:val="List 4"/>
    <w:basedOn w:val="BodyText"/>
    <w:rsid w:val="00CD0101"/>
    <w:pPr>
      <w:tabs>
        <w:tab w:val="left" w:pos="1361"/>
      </w:tabs>
      <w:spacing w:before="60" w:after="60"/>
      <w:ind w:left="1361" w:hanging="340"/>
    </w:pPr>
  </w:style>
  <w:style w:type="paragraph" w:styleId="List5">
    <w:name w:val="List 5"/>
    <w:basedOn w:val="BodyText"/>
    <w:rsid w:val="00CD0101"/>
    <w:pPr>
      <w:tabs>
        <w:tab w:val="left" w:pos="1701"/>
      </w:tabs>
      <w:spacing w:before="60" w:after="60"/>
      <w:ind w:left="1701" w:hanging="340"/>
    </w:pPr>
  </w:style>
  <w:style w:type="paragraph" w:styleId="ListBullet3">
    <w:name w:val="List Bullet 3"/>
    <w:basedOn w:val="List3"/>
    <w:rsid w:val="00CD0101"/>
    <w:pPr>
      <w:numPr>
        <w:numId w:val="15"/>
      </w:numPr>
      <w:tabs>
        <w:tab w:val="clear" w:pos="1021"/>
      </w:tabs>
      <w:ind w:left="1037" w:hanging="357"/>
    </w:pPr>
  </w:style>
  <w:style w:type="paragraph" w:styleId="ListBullet4">
    <w:name w:val="List Bullet 4"/>
    <w:basedOn w:val="List4"/>
    <w:rsid w:val="00CD0101"/>
    <w:pPr>
      <w:numPr>
        <w:numId w:val="3"/>
      </w:numPr>
    </w:pPr>
  </w:style>
  <w:style w:type="paragraph" w:styleId="ListBullet5">
    <w:name w:val="List Bullet 5"/>
    <w:basedOn w:val="List5"/>
    <w:rsid w:val="00CD0101"/>
    <w:pPr>
      <w:numPr>
        <w:numId w:val="4"/>
      </w:numPr>
    </w:pPr>
  </w:style>
  <w:style w:type="paragraph" w:styleId="ListContinue2">
    <w:name w:val="List Continue 2"/>
    <w:basedOn w:val="List2"/>
    <w:rsid w:val="00CD0101"/>
    <w:pPr>
      <w:ind w:firstLine="0"/>
    </w:pPr>
  </w:style>
  <w:style w:type="paragraph" w:styleId="ListContinue3">
    <w:name w:val="List Continue 3"/>
    <w:basedOn w:val="List3"/>
    <w:rsid w:val="00CD0101"/>
    <w:pPr>
      <w:ind w:left="1021" w:firstLine="0"/>
    </w:pPr>
  </w:style>
  <w:style w:type="paragraph" w:styleId="ListContinue4">
    <w:name w:val="List Continue 4"/>
    <w:basedOn w:val="List4"/>
    <w:rsid w:val="00CD0101"/>
    <w:pPr>
      <w:ind w:firstLine="0"/>
    </w:pPr>
  </w:style>
  <w:style w:type="paragraph" w:styleId="ListContinue5">
    <w:name w:val="List Continue 5"/>
    <w:basedOn w:val="List5"/>
    <w:rsid w:val="00CD0101"/>
    <w:pPr>
      <w:ind w:firstLine="0"/>
    </w:pPr>
  </w:style>
  <w:style w:type="paragraph" w:styleId="ListNumber3">
    <w:name w:val="List Number 3"/>
    <w:basedOn w:val="List3"/>
    <w:rsid w:val="00CD0101"/>
    <w:pPr>
      <w:numPr>
        <w:numId w:val="5"/>
      </w:numPr>
    </w:pPr>
  </w:style>
  <w:style w:type="paragraph" w:styleId="ListNumber4">
    <w:name w:val="List Number 4"/>
    <w:basedOn w:val="List4"/>
    <w:rsid w:val="00CD0101"/>
    <w:pPr>
      <w:numPr>
        <w:numId w:val="6"/>
      </w:numPr>
    </w:pPr>
  </w:style>
  <w:style w:type="paragraph" w:styleId="ListNumber5">
    <w:name w:val="List Number 5"/>
    <w:basedOn w:val="List5"/>
    <w:rsid w:val="00CD0101"/>
    <w:pPr>
      <w:numPr>
        <w:numId w:val="7"/>
      </w:numPr>
    </w:pPr>
  </w:style>
  <w:style w:type="paragraph" w:styleId="BlockText">
    <w:name w:val="Block Text"/>
    <w:basedOn w:val="Normal"/>
    <w:rsid w:val="00CD0101"/>
    <w:pPr>
      <w:spacing w:after="120"/>
      <w:ind w:left="1440" w:right="1440"/>
    </w:pPr>
  </w:style>
  <w:style w:type="character" w:customStyle="1" w:styleId="Subscript">
    <w:name w:val="Subscript"/>
    <w:basedOn w:val="DefaultParagraphFont"/>
    <w:rsid w:val="00CD0101"/>
    <w:rPr>
      <w:sz w:val="16"/>
      <w:vertAlign w:val="subscript"/>
    </w:rPr>
  </w:style>
  <w:style w:type="character" w:customStyle="1" w:styleId="Superscript">
    <w:name w:val="Superscript"/>
    <w:basedOn w:val="DefaultParagraphFont"/>
    <w:rsid w:val="00CD0101"/>
    <w:rPr>
      <w:sz w:val="16"/>
      <w:vertAlign w:val="superscript"/>
    </w:rPr>
  </w:style>
  <w:style w:type="character" w:customStyle="1" w:styleId="Symbols">
    <w:name w:val="Symbols"/>
    <w:basedOn w:val="DefaultParagraphFont"/>
    <w:rsid w:val="00CD0101"/>
    <w:rPr>
      <w:rFonts w:ascii="Symbol" w:hAnsi="Symbol"/>
    </w:rPr>
  </w:style>
  <w:style w:type="character" w:customStyle="1" w:styleId="MenuOptions">
    <w:name w:val="Menu Options"/>
    <w:basedOn w:val="DefaultParagraphFont"/>
    <w:rsid w:val="00CD0101"/>
    <w:rPr>
      <w:rFonts w:ascii="Arial Narrow" w:hAnsi="Arial Narrow"/>
      <w:smallCaps/>
    </w:rPr>
  </w:style>
  <w:style w:type="character" w:customStyle="1" w:styleId="Buttons">
    <w:name w:val="Buttons"/>
    <w:basedOn w:val="DefaultParagraphFont"/>
    <w:rsid w:val="00CD0101"/>
    <w:rPr>
      <w:b/>
    </w:rPr>
  </w:style>
  <w:style w:type="character" w:customStyle="1" w:styleId="Underlined">
    <w:name w:val="Underlined"/>
    <w:basedOn w:val="DefaultParagraphFont"/>
    <w:rsid w:val="00CD0101"/>
    <w:rPr>
      <w:u w:val="single"/>
    </w:rPr>
  </w:style>
  <w:style w:type="paragraph" w:customStyle="1" w:styleId="TableBodyTextRight">
    <w:name w:val="Table Body Text Right"/>
    <w:basedOn w:val="TableBodyText"/>
    <w:rsid w:val="00CD0101"/>
    <w:pPr>
      <w:widowControl w:val="0"/>
      <w:autoSpaceDE w:val="0"/>
      <w:autoSpaceDN w:val="0"/>
      <w:adjustRightInd w:val="0"/>
      <w:jc w:val="right"/>
    </w:pPr>
    <w:rPr>
      <w:rFonts w:cs="Arial"/>
      <w:szCs w:val="18"/>
    </w:rPr>
  </w:style>
  <w:style w:type="paragraph" w:customStyle="1" w:styleId="CopyrightText">
    <w:name w:val="Copyright Text"/>
    <w:basedOn w:val="BodyText"/>
    <w:rsid w:val="00CD0101"/>
    <w:rPr>
      <w:sz w:val="18"/>
    </w:rPr>
  </w:style>
  <w:style w:type="paragraph" w:customStyle="1" w:styleId="BodySmallRight">
    <w:name w:val="Body Small Right"/>
    <w:basedOn w:val="BodyTextRight"/>
    <w:rsid w:val="00CD0101"/>
    <w:rPr>
      <w:sz w:val="18"/>
      <w:szCs w:val="18"/>
    </w:rPr>
  </w:style>
  <w:style w:type="paragraph" w:customStyle="1" w:styleId="MarginEdition">
    <w:name w:val="Margin Edition"/>
    <w:basedOn w:val="MarginNote"/>
    <w:rsid w:val="00CD0101"/>
    <w:pPr>
      <w:spacing w:before="0" w:after="0"/>
    </w:pPr>
    <w:rPr>
      <w:rFonts w:ascii="Times New Roman" w:hAnsi="Times New Roman"/>
      <w:color w:val="999999"/>
    </w:rPr>
  </w:style>
  <w:style w:type="paragraph" w:customStyle="1" w:styleId="Spacer">
    <w:name w:val="Spacer"/>
    <w:basedOn w:val="Normal"/>
    <w:rsid w:val="00CD0101"/>
    <w:rPr>
      <w:sz w:val="2"/>
      <w:szCs w:val="2"/>
    </w:rPr>
  </w:style>
  <w:style w:type="character" w:customStyle="1" w:styleId="Small">
    <w:name w:val="Small"/>
    <w:basedOn w:val="DefaultParagraphFont"/>
    <w:rsid w:val="00CD0101"/>
    <w:rPr>
      <w:sz w:val="16"/>
    </w:rPr>
  </w:style>
  <w:style w:type="paragraph" w:customStyle="1" w:styleId="WideTable">
    <w:name w:val="Wide Table"/>
    <w:basedOn w:val="Normal"/>
    <w:rsid w:val="00CD0101"/>
    <w:pPr>
      <w:ind w:left="-1418"/>
    </w:pPr>
    <w:rPr>
      <w:sz w:val="2"/>
      <w:szCs w:val="2"/>
    </w:rPr>
  </w:style>
  <w:style w:type="character" w:styleId="PageNumber">
    <w:name w:val="page number"/>
    <w:basedOn w:val="DefaultParagraphFont"/>
    <w:rsid w:val="00CD0101"/>
  </w:style>
  <w:style w:type="paragraph" w:styleId="Quote">
    <w:name w:val="Quote"/>
    <w:basedOn w:val="Heading1"/>
    <w:link w:val="QuoteChar"/>
    <w:qFormat/>
    <w:rsid w:val="00CD0101"/>
    <w:rPr>
      <w:b w:val="0"/>
      <w:sz w:val="72"/>
      <w:szCs w:val="72"/>
      <w:lang w:val="en-NZ"/>
    </w:rPr>
  </w:style>
  <w:style w:type="character" w:customStyle="1" w:styleId="QuoteChar">
    <w:name w:val="Quote Char"/>
    <w:basedOn w:val="DefaultParagraphFont"/>
    <w:link w:val="Quote"/>
    <w:rsid w:val="00CD0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101"/>
    <w:pPr>
      <w:pageBreakBefore/>
    </w:pPr>
  </w:style>
  <w:style w:type="paragraph" w:customStyle="1" w:styleId="Border">
    <w:name w:val="Border"/>
    <w:basedOn w:val="Normal"/>
    <w:qFormat/>
    <w:rsid w:val="00CD0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101"/>
    <w:rPr>
      <w:b/>
      <w:bCs/>
      <w:i/>
      <w:iCs/>
      <w:color w:val="auto"/>
    </w:rPr>
  </w:style>
  <w:style w:type="paragraph" w:styleId="IntenseQuote">
    <w:name w:val="Intense Quote"/>
    <w:basedOn w:val="Normal"/>
    <w:next w:val="Normal"/>
    <w:link w:val="IntenseQuoteChar"/>
    <w:uiPriority w:val="30"/>
    <w:qFormat/>
    <w:rsid w:val="00CD0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1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0101"/>
    <w:rPr>
      <w:smallCaps/>
      <w:color w:val="auto"/>
      <w:u w:val="single"/>
    </w:rPr>
  </w:style>
  <w:style w:type="character" w:styleId="IntenseReference">
    <w:name w:val="Intense Reference"/>
    <w:basedOn w:val="DefaultParagraphFont"/>
    <w:uiPriority w:val="32"/>
    <w:qFormat/>
    <w:rsid w:val="00CD0101"/>
    <w:rPr>
      <w:b/>
      <w:bCs/>
      <w:smallCaps/>
      <w:color w:val="auto"/>
      <w:spacing w:val="5"/>
      <w:u w:val="single"/>
    </w:rPr>
  </w:style>
  <w:style w:type="paragraph" w:customStyle="1" w:styleId="2ColumnHeading">
    <w:name w:val="2Column Heading"/>
    <w:basedOn w:val="BodyText"/>
    <w:qFormat/>
    <w:rsid w:val="00CD0101"/>
    <w:pPr>
      <w:spacing w:after="60"/>
      <w:ind w:left="-2268"/>
    </w:pPr>
    <w:rPr>
      <w:b/>
    </w:rPr>
  </w:style>
  <w:style w:type="paragraph" w:customStyle="1" w:styleId="Heading1TOC">
    <w:name w:val="Heading1 TOC"/>
    <w:basedOn w:val="Normal"/>
    <w:qFormat/>
    <w:rsid w:val="00CD0101"/>
    <w:pPr>
      <w:spacing w:before="240" w:after="120"/>
    </w:pPr>
    <w:rPr>
      <w:rFonts w:ascii="Times New Roman" w:hAnsi="Times New Roman"/>
      <w:b/>
      <w:sz w:val="32"/>
    </w:rPr>
  </w:style>
  <w:style w:type="paragraph" w:customStyle="1" w:styleId="Heading2TOC">
    <w:name w:val="Heading2 TOC"/>
    <w:basedOn w:val="Normal"/>
    <w:qFormat/>
    <w:rsid w:val="00CD0101"/>
    <w:pPr>
      <w:spacing w:before="240" w:after="60"/>
    </w:pPr>
    <w:rPr>
      <w:rFonts w:ascii="Times New Roman" w:hAnsi="Times New Roman"/>
      <w:b/>
      <w:sz w:val="28"/>
    </w:rPr>
  </w:style>
  <w:style w:type="character" w:customStyle="1" w:styleId="Underline">
    <w:name w:val="Underline"/>
    <w:basedOn w:val="DefaultParagraphFont"/>
    <w:qFormat/>
    <w:rsid w:val="00CD0101"/>
    <w:rPr>
      <w:u w:val="single"/>
    </w:rPr>
  </w:style>
  <w:style w:type="character" w:customStyle="1" w:styleId="BoldandItalics">
    <w:name w:val="Bold and Italics"/>
    <w:qFormat/>
    <w:rsid w:val="00CD0101"/>
    <w:rPr>
      <w:b/>
      <w:i/>
      <w:u w:val="none"/>
    </w:rPr>
  </w:style>
  <w:style w:type="paragraph" w:styleId="BalloonText">
    <w:name w:val="Balloon Text"/>
    <w:basedOn w:val="Normal"/>
    <w:link w:val="BalloonTextChar"/>
    <w:rsid w:val="00CD0101"/>
    <w:rPr>
      <w:rFonts w:ascii="Tahoma" w:hAnsi="Tahoma" w:cs="Tahoma"/>
      <w:sz w:val="16"/>
      <w:szCs w:val="16"/>
    </w:rPr>
  </w:style>
  <w:style w:type="character" w:customStyle="1" w:styleId="BalloonTextChar">
    <w:name w:val="Balloon Text Char"/>
    <w:basedOn w:val="DefaultParagraphFont"/>
    <w:link w:val="BalloonText"/>
    <w:rsid w:val="00CD01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01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01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1808</Words>
  <Characters>10588</Characters>
  <Application>Microsoft Office Word</Application>
  <DocSecurity>0</DocSecurity>
  <Lines>404</Lines>
  <Paragraphs>159</Paragraphs>
  <ScaleCrop>false</ScaleCrop>
  <Company>Author-it Software Corporation Ltd.</Company>
  <LinksUpToDate>false</LinksUpToDate>
  <CharactersWithSpaces>12272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UEENEEE004B Solve problems in multiple path d.c. circuits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2012-05-26T10:48:00Z</dcterms:created>
  <dcterms:modified xsi:type="dcterms:W3CDTF">2012-05-26T10:48:00Z</dcterms:modified>
</cp:coreProperties>
</file>