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F0EF4" w:rsidP="008F0EF4">
      <w:pPr>
        <w:pStyle w:val="Title"/>
      </w:pPr>
      <w:bookmarkStart w:id="0" w:name="_GoBack"/>
      <w:bookmarkEnd w:id="0"/>
      <w:r>
        <w:fldChar w:fldCharType="begin"/>
      </w:r>
      <w:r>
        <w:instrText xml:space="preserve"> TITLE   \* MERGEFORMAT </w:instrText>
      </w:r>
      <w:r>
        <w:fldChar w:fldCharType="separate"/>
      </w:r>
      <w:r>
        <w:t>UEENEEC002B Source and purchase material/parts for installation or service jobs</w:t>
      </w:r>
      <w:r>
        <w:fldChar w:fldCharType="end"/>
      </w:r>
    </w:p>
    <w:p w:rsidR="008F0EF4" w:rsidP="008F0EF4">
      <w:pPr>
        <w:pStyle w:val="Version"/>
        <w:sectPr w:rsidSect="00C06F0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C06F01" w:rsidP="00C06F01">
      <w:pPr>
        <w:pStyle w:val="SuperHeading"/>
      </w:pPr>
      <w:r w:rsidRPr="00C06F01">
        <w:t>UEENEEC002B Source and purchase material/parts for installation or service jobs</w:t>
      </w:r>
    </w:p>
    <w:p w:rsidR="00000000" w:rsidRPr="00C06F01" w:rsidP="00C06F01">
      <w:pPr>
        <w:pStyle w:val="Heading1"/>
      </w:pPr>
      <w:bookmarkStart w:id="1" w:name="O_436259"/>
      <w:bookmarkEnd w:id="1"/>
      <w:r w:rsidRPr="00C06F01">
        <w:t>Modification History</w:t>
      </w:r>
    </w:p>
    <w:p w:rsidR="00000000" w:rsidRPr="00C06F01" w:rsidP="00C06F01">
      <w:pPr>
        <w:pStyle w:val="BodyText"/>
      </w:pPr>
      <w:r w:rsidRPr="00C06F01">
        <w:t>Not Applicable</w:t>
      </w:r>
    </w:p>
    <w:p w:rsidR="00000000" w:rsidRPr="00C06F01" w:rsidP="00C06F01">
      <w:pPr>
        <w:pStyle w:val="AllowPageBreak"/>
      </w:pPr>
    </w:p>
    <w:p w:rsidR="00000000" w:rsidRPr="00C06F01" w:rsidP="00C06F01">
      <w:pPr>
        <w:pStyle w:val="Heading1"/>
      </w:pPr>
      <w:bookmarkStart w:id="2" w:name="O_436255"/>
      <w:bookmarkEnd w:id="2"/>
      <w:r w:rsidRPr="00C06F01">
        <w:t>Unit Descriptor</w:t>
      </w:r>
    </w:p>
    <w:tbl>
      <w:tblPr>
        <w:tblW w:w="0" w:type="auto"/>
        <w:tblLayout w:type="fixed"/>
        <w:tblCellMar>
          <w:left w:w="62" w:type="dxa"/>
          <w:right w:w="62" w:type="dxa"/>
        </w:tblCellMar>
        <w:tblLook w:val="0000"/>
      </w:tblPr>
      <w:tblGrid>
        <w:gridCol w:w="2700"/>
        <w:gridCol w:w="5760"/>
      </w:tblGrid>
      <w:tr w:rsidTr="008F0EF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06F01" w:rsidP="00C06F01">
            <w:pPr>
              <w:pStyle w:val="BodyText"/>
            </w:pPr>
            <w:r w:rsidRPr="00C06F01">
              <w:rPr>
                <w:rStyle w:val="SpecialBold"/>
              </w:rPr>
              <w:t>U</w:t>
            </w:r>
            <w:r w:rsidRPr="00C06F01">
              <w:rPr>
                <w:rStyle w:val="SpecialBold"/>
              </w:rPr>
              <w:t>nit Descriptor</w:t>
            </w:r>
          </w:p>
        </w:tc>
        <w:tc>
          <w:tcPr>
            <w:tcW w:w="5760" w:type="dxa"/>
            <w:tcBorders>
              <w:top w:val="nil"/>
              <w:left w:val="nil"/>
              <w:bottom w:val="nil"/>
              <w:right w:val="nil"/>
            </w:tcBorders>
            <w:tcMar>
              <w:top w:w="0" w:type="dxa"/>
              <w:left w:w="62" w:type="dxa"/>
              <w:bottom w:w="0" w:type="dxa"/>
              <w:right w:w="62" w:type="dxa"/>
            </w:tcMar>
          </w:tcPr>
          <w:p w:rsidR="00000000" w:rsidRPr="00C06F01" w:rsidP="00C06F01">
            <w:pPr>
              <w:pStyle w:val="BodyText"/>
            </w:pPr>
            <w:r w:rsidRPr="00C06F01">
              <w:rPr>
                <w:rStyle w:val="SpecialBold"/>
              </w:rPr>
              <w:t>1) Scope:</w:t>
            </w:r>
          </w:p>
          <w:p w:rsidR="00000000" w:rsidP="00C06F01">
            <w:pPr>
              <w:pStyle w:val="BodyText"/>
              <w:rPr>
                <w:lang w:val="en-NZ"/>
              </w:rPr>
            </w:pPr>
            <w:r w:rsidRPr="00C06F01">
              <w:rPr>
                <w:rStyle w:val="SpecialBold"/>
              </w:rPr>
              <w:t>1.1)</w:t>
            </w:r>
            <w:r w:rsidRPr="00C06F01">
              <w:t xml:space="preserve"> </w:t>
            </w:r>
            <w:r w:rsidRPr="00C06F01">
              <w:rPr>
                <w:rStyle w:val="SpecialBold"/>
              </w:rPr>
              <w:t>Descriptor</w:t>
            </w:r>
          </w:p>
        </w:tc>
      </w:tr>
      <w:tr w:rsidTr="008F0EF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06F01" w:rsidP="00C06F01">
            <w:pPr>
              <w:pStyle w:val="BodyText"/>
            </w:pPr>
            <w:r w:rsidRPr="00C06F01">
              <w:t xml:space="preserve">This unit covers sourcing and purchasing/ordering materials/parts for installation or service jobs. It encompasses following job specification, </w:t>
            </w:r>
            <w:r w:rsidRPr="00C06F01">
              <w:t>using manufacturer's catalogues, making telephone, internet or email enquiries, selecting compliance materials and completing the necessary purchasing documentation.</w:t>
            </w:r>
          </w:p>
          <w:p w:rsidR="00000000" w:rsidRPr="00C06F01" w:rsidP="00C06F01">
            <w:pPr>
              <w:pStyle w:val="BodyText"/>
            </w:pPr>
            <w:r w:rsidRPr="00C06F01">
              <w:t>Note: In the unit the value of materials for installation jobs is limited to $20k.</w:t>
            </w:r>
          </w:p>
        </w:tc>
      </w:tr>
    </w:tbl>
    <w:p w:rsidR="008F0EF4" w:rsidP="00C06F01">
      <w:pPr>
        <w:pStyle w:val="BodyText"/>
      </w:pPr>
    </w:p>
    <w:p w:rsidR="008F0EF4" w:rsidP="00C06F01">
      <w:pPr>
        <w:pStyle w:val="BodyText"/>
      </w:pPr>
    </w:p>
    <w:p w:rsidR="00000000" w:rsidRPr="00C06F01" w:rsidP="00C06F01">
      <w:pPr>
        <w:pStyle w:val="Heading1"/>
      </w:pPr>
      <w:bookmarkStart w:id="3" w:name="O_436268"/>
      <w:bookmarkEnd w:id="3"/>
      <w:r w:rsidRPr="00C06F01">
        <w:t>Application of the Unit</w:t>
      </w:r>
    </w:p>
    <w:tbl>
      <w:tblPr>
        <w:tblW w:w="0" w:type="auto"/>
        <w:tblLayout w:type="fixed"/>
        <w:tblCellMar>
          <w:left w:w="62" w:type="dxa"/>
          <w:right w:w="62" w:type="dxa"/>
        </w:tblCellMar>
        <w:tblLook w:val="0000"/>
      </w:tblPr>
      <w:tblGrid>
        <w:gridCol w:w="2700"/>
        <w:gridCol w:w="5760"/>
      </w:tblGrid>
      <w:tr w:rsidTr="008F0EF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06F01" w:rsidP="00C06F01">
            <w:pPr>
              <w:pStyle w:val="BodyText"/>
            </w:pPr>
            <w:r w:rsidRPr="00C06F01">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C06F01">
            <w:pPr>
              <w:pStyle w:val="BodyText"/>
              <w:rPr>
                <w:lang w:val="en-NZ"/>
              </w:rPr>
            </w:pPr>
            <w:r w:rsidRPr="00C06F01">
              <w:rPr>
                <w:rStyle w:val="SpecialBold"/>
              </w:rPr>
              <w:t>2)</w:t>
            </w:r>
          </w:p>
        </w:tc>
      </w:tr>
      <w:tr w:rsidTr="008F0EF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06F01" w:rsidP="00C06F01">
            <w:pPr>
              <w:pStyle w:val="BodyText"/>
            </w:pPr>
            <w:r w:rsidRPr="00C06F01">
              <w:t xml:space="preserve">This unit is intended for competency development entry-level employment-based programs incorporated in approved contracts of training. It applies to any formal recognition for this standard </w:t>
            </w:r>
            <w:r w:rsidRPr="00C06F01">
              <w:t>at the aligned AQF 3 level or higher.</w:t>
            </w:r>
          </w:p>
        </w:tc>
      </w:tr>
    </w:tbl>
    <w:p w:rsidR="008F0EF4" w:rsidP="00C06F01">
      <w:pPr>
        <w:pStyle w:val="BodyText"/>
      </w:pPr>
    </w:p>
    <w:p w:rsidR="008F0EF4" w:rsidP="00C06F01">
      <w:pPr>
        <w:pStyle w:val="BodyText"/>
      </w:pPr>
    </w:p>
    <w:p w:rsidR="00000000" w:rsidRPr="00C06F01" w:rsidP="00C06F01">
      <w:pPr>
        <w:pStyle w:val="Heading1"/>
      </w:pPr>
      <w:bookmarkStart w:id="4" w:name="O_436260"/>
      <w:bookmarkEnd w:id="4"/>
      <w:r w:rsidRPr="00C06F01">
        <w:t>Licensing/Regulatory Information</w:t>
      </w:r>
    </w:p>
    <w:tbl>
      <w:tblPr>
        <w:tblW w:w="0" w:type="auto"/>
        <w:tblLayout w:type="fixed"/>
        <w:tblCellMar>
          <w:left w:w="62" w:type="dxa"/>
          <w:right w:w="62" w:type="dxa"/>
        </w:tblCellMar>
        <w:tblLook w:val="0000"/>
      </w:tblPr>
      <w:tblGrid>
        <w:gridCol w:w="2700"/>
        <w:gridCol w:w="5760"/>
      </w:tblGrid>
      <w:tr w:rsidTr="008F0EF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06F01" w:rsidP="00C06F01">
            <w:pPr>
              <w:pStyle w:val="BodyText"/>
            </w:pPr>
            <w:r w:rsidRPr="00C06F01">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C06F01">
            <w:pPr>
              <w:pStyle w:val="BodyText"/>
              <w:rPr>
                <w:lang w:val="en-NZ"/>
              </w:rPr>
            </w:pPr>
            <w:r w:rsidRPr="00C06F01">
              <w:rPr>
                <w:rStyle w:val="SpecialBold"/>
              </w:rPr>
              <w:t xml:space="preserve">3) </w:t>
            </w:r>
          </w:p>
        </w:tc>
      </w:tr>
      <w:tr w:rsidTr="008F0EF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06F01" w:rsidP="00C06F01">
            <w:pPr>
              <w:pStyle w:val="BodyText"/>
            </w:pPr>
            <w:r w:rsidRPr="00C06F01">
              <w:t>The skills and knowledge described in this unit do not require a licence to practise in the workp</w:t>
            </w:r>
            <w:r w:rsidRPr="00C06F01">
              <w:t xml:space="preserve">lace. However, practice in this unit is subject to regulations directly related to occupational health and safety and where </w:t>
            </w:r>
            <w:r w:rsidRPr="00C06F01">
              <w:t>applicable contracts of training such as apprenticeships.</w:t>
            </w:r>
          </w:p>
        </w:tc>
      </w:tr>
    </w:tbl>
    <w:p w:rsidR="00000000" w:rsidRPr="00C06F01" w:rsidP="00C06F01">
      <w:pPr>
        <w:pStyle w:val="BodyText"/>
      </w:pPr>
    </w:p>
    <w:p w:rsidR="00000000" w:rsidRPr="00C06F01" w:rsidP="00C06F01">
      <w:pPr>
        <w:pStyle w:val="AllowPageBreak"/>
      </w:pPr>
    </w:p>
    <w:p w:rsidR="00000000" w:rsidRPr="00C06F01" w:rsidP="00C06F01">
      <w:pPr>
        <w:pStyle w:val="Heading1"/>
      </w:pPr>
      <w:bookmarkStart w:id="5" w:name="O_436258"/>
      <w:bookmarkEnd w:id="5"/>
      <w:r w:rsidRPr="00C06F01">
        <w:t>Pre-Requisites</w:t>
      </w:r>
    </w:p>
    <w:tbl>
      <w:tblPr>
        <w:tblW w:w="0" w:type="auto"/>
        <w:tblLayout w:type="fixed"/>
        <w:tblCellMar>
          <w:left w:w="62" w:type="dxa"/>
          <w:right w:w="62" w:type="dxa"/>
        </w:tblCellMar>
        <w:tblLook w:val="0000"/>
      </w:tblPr>
      <w:tblGrid>
        <w:gridCol w:w="2700"/>
        <w:gridCol w:w="5760"/>
      </w:tblGrid>
      <w:tr w:rsidTr="008F0EF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06F01" w:rsidP="00C06F01">
            <w:pPr>
              <w:pStyle w:val="BodyText"/>
            </w:pPr>
            <w:r w:rsidRPr="00C06F01">
              <w:rPr>
                <w:rStyle w:val="SpecialBold"/>
              </w:rPr>
              <w:t>Prerequisite Unit(s)</w:t>
            </w:r>
          </w:p>
        </w:tc>
        <w:tc>
          <w:tcPr>
            <w:tcW w:w="5760" w:type="dxa"/>
            <w:tcBorders>
              <w:top w:val="nil"/>
              <w:left w:val="nil"/>
              <w:bottom w:val="nil"/>
              <w:right w:val="nil"/>
            </w:tcBorders>
            <w:tcMar>
              <w:top w:w="0" w:type="dxa"/>
              <w:left w:w="62" w:type="dxa"/>
              <w:bottom w:w="0" w:type="dxa"/>
              <w:right w:w="62" w:type="dxa"/>
            </w:tcMar>
          </w:tcPr>
          <w:p w:rsidR="00000000" w:rsidP="00C06F01">
            <w:pPr>
              <w:pStyle w:val="BodyText"/>
              <w:rPr>
                <w:lang w:val="en-NZ"/>
              </w:rPr>
            </w:pPr>
            <w:r w:rsidRPr="00C06F01">
              <w:rPr>
                <w:rStyle w:val="SpecialBold"/>
              </w:rPr>
              <w:t xml:space="preserve">4) </w:t>
            </w:r>
          </w:p>
        </w:tc>
      </w:tr>
      <w:tr w:rsidTr="008F0EF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C06F01" w:rsidP="00C06F01">
            <w:pPr>
              <w:pStyle w:val="BodyText"/>
            </w:pPr>
            <w:r w:rsidRPr="00C06F01">
              <w:rPr>
                <w:rStyle w:val="SpecialBold"/>
              </w:rPr>
              <w:t>Competencies</w:t>
            </w:r>
          </w:p>
        </w:tc>
        <w:tc>
          <w:tcPr>
            <w:tcW w:w="5760" w:type="dxa"/>
            <w:tcBorders>
              <w:top w:val="nil"/>
              <w:left w:val="nil"/>
              <w:bottom w:val="nil"/>
              <w:right w:val="nil"/>
            </w:tcBorders>
            <w:tcMar>
              <w:top w:w="0" w:type="dxa"/>
              <w:left w:w="62" w:type="dxa"/>
              <w:bottom w:w="0" w:type="dxa"/>
              <w:right w:w="62" w:type="dxa"/>
            </w:tcMar>
          </w:tcPr>
          <w:p w:rsidR="00000000" w:rsidP="00C06F01">
            <w:pPr>
              <w:pStyle w:val="BodyText"/>
              <w:rPr>
                <w:lang w:val="en-NZ"/>
              </w:rPr>
            </w:pPr>
            <w:r w:rsidRPr="00C06F01">
              <w:rPr>
                <w:rStyle w:val="SpecialBold"/>
              </w:rPr>
              <w:t>4.1)</w:t>
            </w:r>
          </w:p>
        </w:tc>
      </w:tr>
      <w:tr w:rsidTr="008F0EF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06F01" w:rsidP="00C06F01">
            <w:pPr>
              <w:pStyle w:val="BodyText"/>
            </w:pPr>
            <w:r w:rsidRPr="00C06F01">
              <w:t>There are no prerequisite competencies for this unit.</w:t>
            </w:r>
          </w:p>
        </w:tc>
      </w:tr>
    </w:tbl>
    <w:p w:rsidR="00000000" w:rsidRPr="00C06F01" w:rsidP="00C06F01">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8F0EF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C06F01" w:rsidP="00C06F01">
            <w:pPr>
              <w:pStyle w:val="BodyText"/>
            </w:pPr>
            <w:r w:rsidRPr="00C06F01">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C06F01" w:rsidP="00C06F01">
            <w:pPr>
              <w:pStyle w:val="BodyText"/>
            </w:pPr>
            <w:r w:rsidRPr="00C06F01">
              <w:rPr>
                <w:rStyle w:val="SpecialBold"/>
              </w:rPr>
              <w:t xml:space="preserve">4.2) </w:t>
            </w:r>
          </w:p>
          <w:p w:rsidR="00000000" w:rsidP="00C06F01">
            <w:pPr>
              <w:pStyle w:val="BodyText"/>
              <w:rPr>
                <w:lang w:val="en-NZ"/>
              </w:rPr>
            </w:pPr>
            <w:r w:rsidRPr="00C06F01">
              <w:t>Participants are best equipped to achieve competency in this unit if they have reading, writing and numeracy skills indicated by the following scales. Descrip</w:t>
            </w:r>
            <w:r w:rsidRPr="00C06F01">
              <w:t>tion of each scale is given in Volume 2, Part 3 'Literacy and Numeracy'</w:t>
            </w:r>
          </w:p>
        </w:tc>
      </w:tr>
      <w:tr w:rsidTr="008F0EF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C06F01">
            <w:pPr>
              <w:pStyle w:val="BodyText"/>
              <w:rPr>
                <w:lang w:val="en-NZ"/>
              </w:rPr>
            </w:pPr>
            <w:r w:rsidRPr="00C06F01">
              <w:t>Reading</w:t>
            </w:r>
          </w:p>
        </w:tc>
        <w:tc>
          <w:tcPr>
            <w:tcW w:w="810" w:type="dxa"/>
            <w:tcBorders>
              <w:top w:val="nil"/>
              <w:left w:val="nil"/>
              <w:bottom w:val="nil"/>
              <w:right w:val="nil"/>
            </w:tcBorders>
            <w:tcMar>
              <w:top w:w="0" w:type="dxa"/>
              <w:left w:w="62" w:type="dxa"/>
              <w:bottom w:w="0" w:type="dxa"/>
              <w:right w:w="62" w:type="dxa"/>
            </w:tcMar>
          </w:tcPr>
          <w:p w:rsidR="00000000" w:rsidP="00C06F01">
            <w:pPr>
              <w:pStyle w:val="BodyText"/>
              <w:rPr>
                <w:lang w:val="en-NZ"/>
              </w:rPr>
            </w:pPr>
            <w:r w:rsidRPr="00C06F01">
              <w:t>4</w:t>
            </w:r>
          </w:p>
        </w:tc>
        <w:tc>
          <w:tcPr>
            <w:tcW w:w="990" w:type="dxa"/>
            <w:tcBorders>
              <w:top w:val="nil"/>
              <w:left w:val="nil"/>
              <w:bottom w:val="nil"/>
              <w:right w:val="nil"/>
            </w:tcBorders>
            <w:tcMar>
              <w:top w:w="0" w:type="dxa"/>
              <w:left w:w="62" w:type="dxa"/>
              <w:bottom w:w="0" w:type="dxa"/>
              <w:right w:w="62" w:type="dxa"/>
            </w:tcMar>
          </w:tcPr>
          <w:p w:rsidR="00000000" w:rsidP="00C06F01">
            <w:pPr>
              <w:pStyle w:val="BodyText"/>
              <w:rPr>
                <w:lang w:val="en-NZ"/>
              </w:rPr>
            </w:pPr>
            <w:r w:rsidRPr="00C06F01">
              <w:t>Writing</w:t>
            </w:r>
          </w:p>
        </w:tc>
        <w:tc>
          <w:tcPr>
            <w:tcW w:w="900" w:type="dxa"/>
            <w:tcBorders>
              <w:top w:val="nil"/>
              <w:left w:val="nil"/>
              <w:bottom w:val="nil"/>
              <w:right w:val="nil"/>
            </w:tcBorders>
            <w:tcMar>
              <w:top w:w="0" w:type="dxa"/>
              <w:left w:w="62" w:type="dxa"/>
              <w:bottom w:w="0" w:type="dxa"/>
              <w:right w:w="62" w:type="dxa"/>
            </w:tcMar>
          </w:tcPr>
          <w:p w:rsidR="00000000" w:rsidP="00C06F01">
            <w:pPr>
              <w:pStyle w:val="BodyText"/>
              <w:rPr>
                <w:lang w:val="en-NZ"/>
              </w:rPr>
            </w:pPr>
            <w:r w:rsidRPr="00C06F01">
              <w:t>4</w:t>
            </w:r>
          </w:p>
        </w:tc>
        <w:tc>
          <w:tcPr>
            <w:tcW w:w="1260" w:type="dxa"/>
            <w:tcBorders>
              <w:top w:val="nil"/>
              <w:left w:val="nil"/>
              <w:bottom w:val="nil"/>
              <w:right w:val="nil"/>
            </w:tcBorders>
            <w:tcMar>
              <w:top w:w="0" w:type="dxa"/>
              <w:left w:w="62" w:type="dxa"/>
              <w:bottom w:w="0" w:type="dxa"/>
              <w:right w:w="62" w:type="dxa"/>
            </w:tcMar>
          </w:tcPr>
          <w:p w:rsidR="00000000" w:rsidP="00C06F01">
            <w:pPr>
              <w:pStyle w:val="BodyText"/>
              <w:rPr>
                <w:lang w:val="en-NZ"/>
              </w:rPr>
            </w:pPr>
            <w:r w:rsidRPr="00C06F01">
              <w:t>Numeracy</w:t>
            </w:r>
          </w:p>
        </w:tc>
        <w:tc>
          <w:tcPr>
            <w:tcW w:w="720" w:type="dxa"/>
            <w:tcBorders>
              <w:top w:val="nil"/>
              <w:left w:val="nil"/>
              <w:bottom w:val="nil"/>
              <w:right w:val="nil"/>
            </w:tcBorders>
            <w:tcMar>
              <w:top w:w="0" w:type="dxa"/>
              <w:left w:w="62" w:type="dxa"/>
              <w:bottom w:w="0" w:type="dxa"/>
              <w:right w:w="62" w:type="dxa"/>
            </w:tcMar>
          </w:tcPr>
          <w:p w:rsidR="00000000" w:rsidRPr="00C06F01" w:rsidP="00C06F01">
            <w:pPr>
              <w:pStyle w:val="BodyText"/>
            </w:pPr>
            <w:r w:rsidRPr="00C06F01">
              <w:t>4</w:t>
            </w:r>
          </w:p>
        </w:tc>
      </w:tr>
    </w:tbl>
    <w:p w:rsidR="008F0EF4" w:rsidP="00C06F01">
      <w:pPr>
        <w:pStyle w:val="BodyText"/>
      </w:pPr>
    </w:p>
    <w:p w:rsidR="008F0EF4" w:rsidP="00C06F01">
      <w:pPr>
        <w:pStyle w:val="BodyText"/>
      </w:pPr>
    </w:p>
    <w:p w:rsidR="00000000" w:rsidRPr="00C06F01" w:rsidP="00C06F01">
      <w:pPr>
        <w:pStyle w:val="Heading1"/>
      </w:pPr>
      <w:bookmarkStart w:id="6" w:name="O_436263"/>
      <w:bookmarkEnd w:id="6"/>
      <w:r w:rsidRPr="00C06F01">
        <w:t>Employability Skills Information</w:t>
      </w:r>
    </w:p>
    <w:tbl>
      <w:tblPr>
        <w:tblW w:w="0" w:type="auto"/>
        <w:tblLayout w:type="fixed"/>
        <w:tblCellMar>
          <w:left w:w="62" w:type="dxa"/>
          <w:right w:w="62" w:type="dxa"/>
        </w:tblCellMar>
        <w:tblLook w:val="0000"/>
      </w:tblPr>
      <w:tblGrid>
        <w:gridCol w:w="2700"/>
        <w:gridCol w:w="5760"/>
      </w:tblGrid>
      <w:tr w:rsidTr="008F0EF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06F01" w:rsidP="00C06F01">
            <w:pPr>
              <w:pStyle w:val="BodyText"/>
            </w:pPr>
            <w:r w:rsidRPr="00C06F01">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C06F01" w:rsidP="00C06F01">
            <w:pPr>
              <w:pStyle w:val="BodyText"/>
            </w:pPr>
            <w:r w:rsidRPr="00C06F01">
              <w:rPr>
                <w:rStyle w:val="SpecialBold"/>
              </w:rPr>
              <w:t>5)</w:t>
            </w:r>
          </w:p>
          <w:p w:rsidR="00000000" w:rsidRPr="00C06F01" w:rsidP="00C06F01">
            <w:pPr>
              <w:pStyle w:val="BodyText"/>
            </w:pPr>
            <w:r w:rsidRPr="00C06F01">
              <w:t>The required outcomes described in this unit of compet</w:t>
            </w:r>
            <w:r w:rsidRPr="00C06F01">
              <w:t>ency contain applicable facets of Employability Skills. The Employability Skills Summary of the qualification in which this unit of competency is packaged will assist in identifying Employability Skill requirements.</w:t>
            </w:r>
          </w:p>
        </w:tc>
      </w:tr>
    </w:tbl>
    <w:p w:rsidR="008F0EF4" w:rsidP="00C06F01">
      <w:pPr>
        <w:pStyle w:val="BodyText"/>
      </w:pPr>
    </w:p>
    <w:p w:rsidR="008F0EF4" w:rsidP="00C06F01">
      <w:pPr>
        <w:pStyle w:val="BodyText"/>
      </w:pPr>
    </w:p>
    <w:p w:rsidR="00000000" w:rsidRPr="00C06F01" w:rsidP="00C06F01">
      <w:pPr>
        <w:pStyle w:val="Heading1"/>
      </w:pPr>
      <w:bookmarkStart w:id="7" w:name="O_436264"/>
      <w:bookmarkEnd w:id="7"/>
      <w:r w:rsidRPr="00C06F01">
        <w:t>Elements and Perform</w:t>
      </w:r>
      <w:r w:rsidRPr="00C06F01">
        <w:t>ance Criteria Pre-Content</w:t>
      </w:r>
    </w:p>
    <w:tbl>
      <w:tblPr>
        <w:tblW w:w="0" w:type="auto"/>
        <w:tblLayout w:type="fixed"/>
        <w:tblCellMar>
          <w:left w:w="62" w:type="dxa"/>
          <w:right w:w="62" w:type="dxa"/>
        </w:tblCellMar>
        <w:tblLook w:val="0000"/>
      </w:tblPr>
      <w:tblGrid>
        <w:gridCol w:w="2700"/>
        <w:gridCol w:w="5760"/>
      </w:tblGrid>
      <w:tr w:rsidTr="008F0EF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C06F01">
            <w:pPr>
              <w:pStyle w:val="BodyText"/>
              <w:rPr>
                <w:lang w:val="en-NZ"/>
              </w:rPr>
            </w:pPr>
            <w:r w:rsidRPr="00C06F01">
              <w:rPr>
                <w:rStyle w:val="SpecialBold"/>
              </w:rPr>
              <w:t>6)</w:t>
            </w:r>
            <w:r w:rsidRPr="00C06F01">
              <w:t xml:space="preserve"> Elements describe the essential outcomes of a unit of competency</w:t>
            </w:r>
          </w:p>
        </w:tc>
        <w:tc>
          <w:tcPr>
            <w:tcW w:w="5760" w:type="dxa"/>
            <w:tcBorders>
              <w:top w:val="nil"/>
              <w:left w:val="nil"/>
              <w:bottom w:val="nil"/>
              <w:right w:val="nil"/>
            </w:tcBorders>
            <w:tcMar>
              <w:top w:w="0" w:type="dxa"/>
              <w:left w:w="62" w:type="dxa"/>
              <w:bottom w:w="0" w:type="dxa"/>
              <w:right w:w="62" w:type="dxa"/>
            </w:tcMar>
          </w:tcPr>
          <w:p w:rsidR="00000000" w:rsidRPr="00C06F01" w:rsidP="00C06F01">
            <w:pPr>
              <w:pStyle w:val="BodyText"/>
            </w:pPr>
            <w:r w:rsidRPr="00C06F01">
              <w:t>Performance criteria describe the required performance needed to demonstrate achievement of the Element. Assessment of performance is to be consistent with the ev</w:t>
            </w:r>
            <w:r w:rsidRPr="00C06F01">
              <w:t>idence guide.</w:t>
            </w:r>
          </w:p>
        </w:tc>
      </w:tr>
    </w:tbl>
    <w:p w:rsidR="00000000" w:rsidRPr="00C06F01" w:rsidP="00C06F01">
      <w:pPr>
        <w:pStyle w:val="BodyText"/>
      </w:pPr>
    </w:p>
    <w:p w:rsidR="00000000" w:rsidRPr="00C06F01" w:rsidP="00C06F01">
      <w:pPr>
        <w:pStyle w:val="AllowPageBreak"/>
      </w:pPr>
    </w:p>
    <w:p w:rsidR="00000000" w:rsidRPr="00C06F01" w:rsidP="00C06F01">
      <w:pPr>
        <w:pStyle w:val="Heading1"/>
      </w:pPr>
      <w:bookmarkStart w:id="8" w:name="O_436265"/>
      <w:bookmarkEnd w:id="8"/>
      <w:r w:rsidRPr="00C06F01">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8F0EF4">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C06F01" w:rsidP="00C06F01">
            <w:pPr>
              <w:pStyle w:val="BodyText"/>
            </w:pPr>
            <w:r w:rsidRPr="00C06F01">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C06F01">
            <w:pPr>
              <w:pStyle w:val="BodyText"/>
              <w:rPr>
                <w:lang w:val="en-NZ"/>
              </w:rPr>
            </w:pPr>
            <w:r w:rsidRPr="00C06F01">
              <w:rPr>
                <w:rStyle w:val="SpecialBold"/>
              </w:rPr>
              <w:t>PERFORMANCE CRITERIA</w:t>
            </w:r>
          </w:p>
        </w:tc>
      </w:tr>
      <w:tr w:rsidTr="008F0EF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C06F01">
            <w:pPr>
              <w:pStyle w:val="BodyText"/>
              <w:rPr>
                <w:lang w:val="en-NZ"/>
              </w:rPr>
            </w:pPr>
            <w:r w:rsidRPr="00C06F01">
              <w:t>1</w:t>
            </w:r>
          </w:p>
        </w:tc>
        <w:tc>
          <w:tcPr>
            <w:tcW w:w="2296" w:type="dxa"/>
            <w:vMerge w:val="restart"/>
            <w:tcBorders>
              <w:top w:val="nil"/>
              <w:left w:val="nil"/>
              <w:bottom w:val="nil"/>
              <w:right w:val="nil"/>
            </w:tcBorders>
            <w:tcMar>
              <w:top w:w="0" w:type="dxa"/>
              <w:left w:w="62" w:type="dxa"/>
              <w:bottom w:w="0" w:type="dxa"/>
              <w:right w:w="62" w:type="dxa"/>
            </w:tcMar>
          </w:tcPr>
          <w:p w:rsidR="00000000" w:rsidP="00C06F01">
            <w:pPr>
              <w:pStyle w:val="BodyText"/>
              <w:rPr>
                <w:lang w:val="en-NZ"/>
              </w:rPr>
            </w:pPr>
            <w:r w:rsidRPr="00C06F01">
              <w:t>Establish the extent of the materials to be purchased.</w:t>
            </w:r>
          </w:p>
        </w:tc>
        <w:tc>
          <w:tcPr>
            <w:tcW w:w="900" w:type="dxa"/>
            <w:tcBorders>
              <w:top w:val="nil"/>
              <w:left w:val="nil"/>
              <w:bottom w:val="nil"/>
              <w:right w:val="nil"/>
            </w:tcBorders>
            <w:tcMar>
              <w:top w:w="0" w:type="dxa"/>
              <w:left w:w="62" w:type="dxa"/>
              <w:bottom w:w="0" w:type="dxa"/>
              <w:right w:w="62" w:type="dxa"/>
            </w:tcMar>
          </w:tcPr>
          <w:p w:rsidR="00000000" w:rsidP="00C06F01">
            <w:pPr>
              <w:pStyle w:val="BodyText"/>
              <w:rPr>
                <w:lang w:val="en-NZ"/>
              </w:rPr>
            </w:pPr>
            <w:r w:rsidRPr="00C06F01">
              <w:t>1.1</w:t>
            </w:r>
          </w:p>
        </w:tc>
        <w:tc>
          <w:tcPr>
            <w:tcW w:w="4860" w:type="dxa"/>
            <w:tcBorders>
              <w:top w:val="nil"/>
              <w:left w:val="nil"/>
              <w:bottom w:val="nil"/>
              <w:right w:val="nil"/>
            </w:tcBorders>
            <w:tcMar>
              <w:top w:w="0" w:type="dxa"/>
              <w:left w:w="62" w:type="dxa"/>
              <w:bottom w:w="0" w:type="dxa"/>
              <w:right w:w="62" w:type="dxa"/>
            </w:tcMar>
          </w:tcPr>
          <w:p w:rsidR="00000000" w:rsidP="00C06F01">
            <w:pPr>
              <w:pStyle w:val="BodyText"/>
              <w:rPr>
                <w:lang w:val="en-NZ"/>
              </w:rPr>
            </w:pPr>
            <w:r w:rsidRPr="00C06F01">
              <w:t>OHS procedures for a given work area are identified, obtained and understood</w:t>
            </w:r>
          </w:p>
        </w:tc>
      </w:tr>
      <w:tr w:rsidTr="008F0EF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06F01">
            <w:pPr>
              <w:pStyle w:val="BodyText"/>
              <w:rPr>
                <w:lang w:val="en-NZ"/>
              </w:rPr>
            </w:pPr>
            <w:r w:rsidRPr="00C06F01">
              <w:t>1.2</w:t>
            </w:r>
          </w:p>
        </w:tc>
        <w:tc>
          <w:tcPr>
            <w:tcW w:w="4860" w:type="dxa"/>
            <w:tcBorders>
              <w:top w:val="nil"/>
              <w:left w:val="nil"/>
              <w:bottom w:val="nil"/>
              <w:right w:val="nil"/>
            </w:tcBorders>
            <w:tcMar>
              <w:top w:w="0" w:type="dxa"/>
              <w:left w:w="62" w:type="dxa"/>
              <w:bottom w:w="0" w:type="dxa"/>
              <w:right w:w="62" w:type="dxa"/>
            </w:tcMar>
          </w:tcPr>
          <w:p w:rsidR="00000000" w:rsidP="00C06F01">
            <w:pPr>
              <w:pStyle w:val="BodyText"/>
              <w:rPr>
                <w:lang w:val="en-NZ"/>
              </w:rPr>
            </w:pPr>
            <w:r w:rsidRPr="00C06F01">
              <w:t>Established OHS risk control measures and procedures are followed</w:t>
            </w:r>
          </w:p>
        </w:tc>
      </w:tr>
      <w:tr w:rsidTr="008F0EF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06F01">
            <w:pPr>
              <w:pStyle w:val="BodyText"/>
              <w:rPr>
                <w:lang w:val="en-NZ"/>
              </w:rPr>
            </w:pPr>
            <w:r w:rsidRPr="00C06F01">
              <w:t>1.3</w:t>
            </w:r>
          </w:p>
        </w:tc>
        <w:tc>
          <w:tcPr>
            <w:tcW w:w="4860" w:type="dxa"/>
            <w:tcBorders>
              <w:top w:val="nil"/>
              <w:left w:val="nil"/>
              <w:bottom w:val="nil"/>
              <w:right w:val="nil"/>
            </w:tcBorders>
            <w:tcMar>
              <w:top w:w="0" w:type="dxa"/>
              <w:left w:w="62" w:type="dxa"/>
              <w:bottom w:w="0" w:type="dxa"/>
              <w:right w:w="62" w:type="dxa"/>
            </w:tcMar>
          </w:tcPr>
          <w:p w:rsidR="00000000" w:rsidP="00C06F01">
            <w:pPr>
              <w:pStyle w:val="BodyText"/>
              <w:rPr>
                <w:lang w:val="en-NZ"/>
              </w:rPr>
            </w:pPr>
            <w:r w:rsidRPr="00C06F01">
              <w:t>The extent of installation or service work is determined from job specifications, drawings or results of service calls</w:t>
            </w:r>
          </w:p>
        </w:tc>
      </w:tr>
      <w:tr w:rsidTr="008F0EF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06F01">
            <w:pPr>
              <w:pStyle w:val="BodyText"/>
              <w:rPr>
                <w:lang w:val="en-NZ"/>
              </w:rPr>
            </w:pPr>
            <w:r w:rsidRPr="00C06F01">
              <w:t>1.4</w:t>
            </w:r>
          </w:p>
        </w:tc>
        <w:tc>
          <w:tcPr>
            <w:tcW w:w="4860" w:type="dxa"/>
            <w:tcBorders>
              <w:top w:val="nil"/>
              <w:left w:val="nil"/>
              <w:bottom w:val="nil"/>
              <w:right w:val="nil"/>
            </w:tcBorders>
            <w:tcMar>
              <w:top w:w="0" w:type="dxa"/>
              <w:left w:w="62" w:type="dxa"/>
              <w:bottom w:w="0" w:type="dxa"/>
              <w:right w:w="62" w:type="dxa"/>
            </w:tcMar>
          </w:tcPr>
          <w:p w:rsidR="00000000" w:rsidP="00C06F01">
            <w:pPr>
              <w:pStyle w:val="BodyText"/>
              <w:rPr>
                <w:lang w:val="en-NZ"/>
              </w:rPr>
            </w:pPr>
            <w:r w:rsidRPr="00C06F01">
              <w:t>Materials required for the work are determined from job specifications or requirements resulting from service calls</w:t>
            </w:r>
          </w:p>
        </w:tc>
      </w:tr>
      <w:tr w:rsidTr="008F0EF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06F01">
            <w:pPr>
              <w:pStyle w:val="BodyText"/>
              <w:rPr>
                <w:lang w:val="en-NZ"/>
              </w:rPr>
            </w:pPr>
            <w:r w:rsidRPr="00C06F01">
              <w:t>1.5</w:t>
            </w:r>
          </w:p>
        </w:tc>
        <w:tc>
          <w:tcPr>
            <w:tcW w:w="4860" w:type="dxa"/>
            <w:tcBorders>
              <w:top w:val="nil"/>
              <w:left w:val="nil"/>
              <w:bottom w:val="nil"/>
              <w:right w:val="nil"/>
            </w:tcBorders>
            <w:tcMar>
              <w:top w:w="0" w:type="dxa"/>
              <w:left w:w="62" w:type="dxa"/>
              <w:bottom w:w="0" w:type="dxa"/>
              <w:right w:w="62" w:type="dxa"/>
            </w:tcMar>
          </w:tcPr>
          <w:p w:rsidR="00000000" w:rsidP="00C06F01">
            <w:pPr>
              <w:pStyle w:val="BodyText"/>
              <w:rPr>
                <w:lang w:val="en-NZ"/>
              </w:rPr>
            </w:pPr>
            <w:r w:rsidRPr="00C06F01">
              <w:t>Materials or parts required are documented in accordance with established routine procedures</w:t>
            </w:r>
          </w:p>
        </w:tc>
      </w:tr>
      <w:tr w:rsidTr="008F0EF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C06F01">
            <w:pPr>
              <w:pStyle w:val="BodyText"/>
              <w:rPr>
                <w:lang w:val="en-NZ"/>
              </w:rPr>
            </w:pPr>
            <w:r w:rsidRPr="00C06F01">
              <w:t>2</w:t>
            </w:r>
          </w:p>
        </w:tc>
        <w:tc>
          <w:tcPr>
            <w:tcW w:w="2296" w:type="dxa"/>
            <w:vMerge w:val="restart"/>
            <w:tcBorders>
              <w:top w:val="nil"/>
              <w:left w:val="nil"/>
              <w:bottom w:val="nil"/>
              <w:right w:val="nil"/>
            </w:tcBorders>
            <w:tcMar>
              <w:top w:w="0" w:type="dxa"/>
              <w:left w:w="62" w:type="dxa"/>
              <w:bottom w:w="0" w:type="dxa"/>
              <w:right w:w="62" w:type="dxa"/>
            </w:tcMar>
          </w:tcPr>
          <w:p w:rsidR="00000000" w:rsidP="00C06F01">
            <w:pPr>
              <w:pStyle w:val="BodyText"/>
              <w:rPr>
                <w:lang w:val="en-NZ"/>
              </w:rPr>
            </w:pPr>
            <w:r w:rsidRPr="00C06F01">
              <w:t>Source and purchase materials.</w:t>
            </w:r>
          </w:p>
        </w:tc>
        <w:tc>
          <w:tcPr>
            <w:tcW w:w="900" w:type="dxa"/>
            <w:tcBorders>
              <w:top w:val="nil"/>
              <w:left w:val="nil"/>
              <w:bottom w:val="nil"/>
              <w:right w:val="nil"/>
            </w:tcBorders>
            <w:tcMar>
              <w:top w:w="0" w:type="dxa"/>
              <w:left w:w="62" w:type="dxa"/>
              <w:bottom w:w="0" w:type="dxa"/>
              <w:right w:w="62" w:type="dxa"/>
            </w:tcMar>
          </w:tcPr>
          <w:p w:rsidR="00000000" w:rsidP="00C06F01">
            <w:pPr>
              <w:pStyle w:val="BodyText"/>
              <w:rPr>
                <w:lang w:val="en-NZ"/>
              </w:rPr>
            </w:pPr>
            <w:r w:rsidRPr="00C06F01">
              <w:t>2.1</w:t>
            </w:r>
          </w:p>
        </w:tc>
        <w:tc>
          <w:tcPr>
            <w:tcW w:w="4860" w:type="dxa"/>
            <w:tcBorders>
              <w:top w:val="nil"/>
              <w:left w:val="nil"/>
              <w:bottom w:val="nil"/>
              <w:right w:val="nil"/>
            </w:tcBorders>
            <w:tcMar>
              <w:top w:w="0" w:type="dxa"/>
              <w:left w:w="62" w:type="dxa"/>
              <w:bottom w:w="0" w:type="dxa"/>
              <w:right w:w="62" w:type="dxa"/>
            </w:tcMar>
          </w:tcPr>
          <w:p w:rsidR="00000000" w:rsidP="00C06F01">
            <w:pPr>
              <w:pStyle w:val="BodyText"/>
              <w:rPr>
                <w:lang w:val="en-NZ"/>
              </w:rPr>
            </w:pPr>
            <w:r w:rsidRPr="00C06F01">
              <w:t>Sources of materials are obtained based on availability and price using catalogues, computers and/or telephone in accordance with established routine procedures</w:t>
            </w:r>
          </w:p>
        </w:tc>
      </w:tr>
      <w:tr w:rsidTr="008F0EF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06F01">
            <w:pPr>
              <w:pStyle w:val="BodyText"/>
              <w:rPr>
                <w:lang w:val="en-NZ"/>
              </w:rPr>
            </w:pPr>
            <w:r w:rsidRPr="00C06F01">
              <w:t>2.2</w:t>
            </w:r>
          </w:p>
        </w:tc>
        <w:tc>
          <w:tcPr>
            <w:tcW w:w="4860" w:type="dxa"/>
            <w:tcBorders>
              <w:top w:val="nil"/>
              <w:left w:val="nil"/>
              <w:bottom w:val="nil"/>
              <w:right w:val="nil"/>
            </w:tcBorders>
            <w:tcMar>
              <w:top w:w="0" w:type="dxa"/>
              <w:left w:w="62" w:type="dxa"/>
              <w:bottom w:w="0" w:type="dxa"/>
              <w:right w:w="62" w:type="dxa"/>
            </w:tcMar>
          </w:tcPr>
          <w:p w:rsidR="00000000" w:rsidP="00C06F01">
            <w:pPr>
              <w:pStyle w:val="BodyText"/>
              <w:rPr>
                <w:lang w:val="en-NZ"/>
              </w:rPr>
            </w:pPr>
            <w:r w:rsidRPr="00C06F01">
              <w:t>Approval to purchase alternative materials/parts is sought from an appropriately qualifi</w:t>
            </w:r>
            <w:r w:rsidRPr="00C06F01">
              <w:t>ed and authorised person</w:t>
            </w:r>
          </w:p>
        </w:tc>
      </w:tr>
      <w:tr w:rsidTr="008F0EF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06F01">
            <w:pPr>
              <w:pStyle w:val="BodyText"/>
              <w:rPr>
                <w:lang w:val="en-NZ"/>
              </w:rPr>
            </w:pPr>
            <w:r w:rsidRPr="00C06F01">
              <w:t>2.3</w:t>
            </w:r>
          </w:p>
        </w:tc>
        <w:tc>
          <w:tcPr>
            <w:tcW w:w="4860" w:type="dxa"/>
            <w:tcBorders>
              <w:top w:val="nil"/>
              <w:left w:val="nil"/>
              <w:bottom w:val="nil"/>
              <w:right w:val="nil"/>
            </w:tcBorders>
            <w:tcMar>
              <w:top w:w="0" w:type="dxa"/>
              <w:left w:w="62" w:type="dxa"/>
              <w:bottom w:w="0" w:type="dxa"/>
              <w:right w:w="62" w:type="dxa"/>
            </w:tcMar>
          </w:tcPr>
          <w:p w:rsidR="00000000" w:rsidP="00C06F01">
            <w:pPr>
              <w:pStyle w:val="BodyText"/>
              <w:rPr>
                <w:lang w:val="en-NZ"/>
              </w:rPr>
            </w:pPr>
            <w:r w:rsidRPr="00C06F01">
              <w:t>Price for the supply of materials/parts, particularly non-standard high cost items, is sought in accordance with routine established procedures</w:t>
            </w:r>
          </w:p>
        </w:tc>
      </w:tr>
      <w:tr w:rsidTr="008F0EF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06F01">
            <w:pPr>
              <w:pStyle w:val="BodyText"/>
              <w:rPr>
                <w:lang w:val="en-NZ"/>
              </w:rPr>
            </w:pPr>
            <w:r w:rsidRPr="00C06F01">
              <w:t>2.4</w:t>
            </w:r>
          </w:p>
        </w:tc>
        <w:tc>
          <w:tcPr>
            <w:tcW w:w="4860" w:type="dxa"/>
            <w:tcBorders>
              <w:top w:val="nil"/>
              <w:left w:val="nil"/>
              <w:bottom w:val="nil"/>
              <w:right w:val="nil"/>
            </w:tcBorders>
            <w:tcMar>
              <w:top w:w="0" w:type="dxa"/>
              <w:left w:w="62" w:type="dxa"/>
              <w:bottom w:w="0" w:type="dxa"/>
              <w:right w:w="62" w:type="dxa"/>
            </w:tcMar>
          </w:tcPr>
          <w:p w:rsidR="00000000" w:rsidP="00C06F01">
            <w:pPr>
              <w:pStyle w:val="BodyText"/>
              <w:rPr>
                <w:lang w:val="en-NZ"/>
              </w:rPr>
            </w:pPr>
            <w:r w:rsidRPr="00C06F01">
              <w:t xml:space="preserve">Approval to purchase materials or parts is obtained in writing from the customer or other authorised person in accordance with established routine procedures </w:t>
            </w:r>
          </w:p>
        </w:tc>
      </w:tr>
      <w:tr w:rsidTr="008F0EF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06F01">
            <w:pPr>
              <w:pStyle w:val="BodyText"/>
              <w:rPr>
                <w:lang w:val="en-NZ"/>
              </w:rPr>
            </w:pPr>
            <w:r w:rsidRPr="00C06F01">
              <w:t>2.5</w:t>
            </w:r>
          </w:p>
        </w:tc>
        <w:tc>
          <w:tcPr>
            <w:tcW w:w="4860" w:type="dxa"/>
            <w:tcBorders>
              <w:top w:val="nil"/>
              <w:left w:val="nil"/>
              <w:bottom w:val="nil"/>
              <w:right w:val="nil"/>
            </w:tcBorders>
            <w:tcMar>
              <w:top w:w="0" w:type="dxa"/>
              <w:left w:w="62" w:type="dxa"/>
              <w:bottom w:w="0" w:type="dxa"/>
              <w:right w:w="62" w:type="dxa"/>
            </w:tcMar>
          </w:tcPr>
          <w:p w:rsidR="00000000" w:rsidP="00C06F01">
            <w:pPr>
              <w:pStyle w:val="BodyText"/>
              <w:rPr>
                <w:lang w:val="en-NZ"/>
              </w:rPr>
            </w:pPr>
            <w:r w:rsidRPr="00C06F01">
              <w:t>Purchases are initiated based on price and availability of materials/parts within the requ</w:t>
            </w:r>
            <w:r w:rsidRPr="00C06F01">
              <w:t>ired timeframe and in accordance with established routine procedures</w:t>
            </w:r>
          </w:p>
        </w:tc>
      </w:tr>
      <w:tr w:rsidTr="008F0EF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C06F01">
            <w:pPr>
              <w:pStyle w:val="BodyText"/>
              <w:rPr>
                <w:lang w:val="en-NZ"/>
              </w:rPr>
            </w:pPr>
            <w:r w:rsidRPr="00C06F01">
              <w:t>3</w:t>
            </w:r>
          </w:p>
        </w:tc>
        <w:tc>
          <w:tcPr>
            <w:tcW w:w="2296" w:type="dxa"/>
            <w:vMerge w:val="restart"/>
            <w:tcBorders>
              <w:top w:val="nil"/>
              <w:left w:val="nil"/>
              <w:bottom w:val="nil"/>
              <w:right w:val="nil"/>
            </w:tcBorders>
            <w:tcMar>
              <w:top w:w="0" w:type="dxa"/>
              <w:left w:w="62" w:type="dxa"/>
              <w:bottom w:w="0" w:type="dxa"/>
              <w:right w:w="62" w:type="dxa"/>
            </w:tcMar>
          </w:tcPr>
          <w:p w:rsidR="00000000" w:rsidP="00C06F01">
            <w:pPr>
              <w:pStyle w:val="BodyText"/>
              <w:rPr>
                <w:lang w:val="en-NZ"/>
              </w:rPr>
            </w:pPr>
            <w:r w:rsidRPr="00C06F01">
              <w:t>Document material purchases.</w:t>
            </w:r>
          </w:p>
        </w:tc>
        <w:tc>
          <w:tcPr>
            <w:tcW w:w="900" w:type="dxa"/>
            <w:tcBorders>
              <w:top w:val="nil"/>
              <w:left w:val="nil"/>
              <w:bottom w:val="nil"/>
              <w:right w:val="nil"/>
            </w:tcBorders>
            <w:tcMar>
              <w:top w:w="0" w:type="dxa"/>
              <w:left w:w="62" w:type="dxa"/>
              <w:bottom w:w="0" w:type="dxa"/>
              <w:right w:w="62" w:type="dxa"/>
            </w:tcMar>
          </w:tcPr>
          <w:p w:rsidR="00000000" w:rsidP="00C06F01">
            <w:pPr>
              <w:pStyle w:val="BodyText"/>
              <w:rPr>
                <w:lang w:val="en-NZ"/>
              </w:rPr>
            </w:pPr>
            <w:r w:rsidRPr="00C06F01">
              <w:t>3.1</w:t>
            </w:r>
          </w:p>
        </w:tc>
        <w:tc>
          <w:tcPr>
            <w:tcW w:w="4860" w:type="dxa"/>
            <w:tcBorders>
              <w:top w:val="nil"/>
              <w:left w:val="nil"/>
              <w:bottom w:val="nil"/>
              <w:right w:val="nil"/>
            </w:tcBorders>
            <w:tcMar>
              <w:top w:w="0" w:type="dxa"/>
              <w:left w:w="62" w:type="dxa"/>
              <w:bottom w:w="0" w:type="dxa"/>
              <w:right w:w="62" w:type="dxa"/>
            </w:tcMar>
          </w:tcPr>
          <w:p w:rsidR="00000000" w:rsidP="00C06F01">
            <w:pPr>
              <w:pStyle w:val="BodyText"/>
              <w:rPr>
                <w:lang w:val="en-NZ"/>
              </w:rPr>
            </w:pPr>
            <w:r w:rsidRPr="00C06F01">
              <w:t>Material or part purchases are allocated against the appropriate jobs</w:t>
            </w:r>
          </w:p>
        </w:tc>
      </w:tr>
      <w:tr w:rsidTr="008F0EF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06F01">
            <w:pPr>
              <w:pStyle w:val="BodyText"/>
              <w:rPr>
                <w:lang w:val="en-NZ"/>
              </w:rPr>
            </w:pPr>
            <w:r w:rsidRPr="00C06F01">
              <w:t>3.2</w:t>
            </w:r>
          </w:p>
        </w:tc>
        <w:tc>
          <w:tcPr>
            <w:tcW w:w="4860" w:type="dxa"/>
            <w:tcBorders>
              <w:top w:val="nil"/>
              <w:left w:val="nil"/>
              <w:bottom w:val="nil"/>
              <w:right w:val="nil"/>
            </w:tcBorders>
            <w:tcMar>
              <w:top w:w="0" w:type="dxa"/>
              <w:left w:w="62" w:type="dxa"/>
              <w:bottom w:w="0" w:type="dxa"/>
              <w:right w:w="62" w:type="dxa"/>
            </w:tcMar>
          </w:tcPr>
          <w:p w:rsidR="00000000" w:rsidRPr="00C06F01" w:rsidP="00C06F01">
            <w:pPr>
              <w:pStyle w:val="BodyText"/>
            </w:pPr>
            <w:r w:rsidRPr="00C06F01">
              <w:t xml:space="preserve">Material or </w:t>
            </w:r>
            <w:r w:rsidRPr="00C06F01">
              <w:t>part purchases are documented in accordance with established routine procedures.</w:t>
            </w:r>
          </w:p>
          <w:p w:rsidR="00000000" w:rsidRPr="00C06F01" w:rsidP="00C06F01">
            <w:pPr>
              <w:pStyle w:val="BodyText"/>
            </w:pPr>
            <w:r w:rsidRPr="00C06F01">
              <w:t xml:space="preserve">Note:  </w:t>
            </w:r>
          </w:p>
          <w:p w:rsidR="00000000" w:rsidRPr="00C06F01" w:rsidP="00C06F01">
            <w:pPr>
              <w:pStyle w:val="BodyText"/>
            </w:pPr>
            <w:r w:rsidRPr="00C06F01">
              <w:t>Prices to include discounts, GST and delivery costs</w:t>
            </w:r>
          </w:p>
        </w:tc>
      </w:tr>
    </w:tbl>
    <w:p w:rsidR="008F0EF4" w:rsidP="00C06F01">
      <w:pPr>
        <w:pStyle w:val="BodyText"/>
      </w:pPr>
    </w:p>
    <w:p w:rsidR="008F0EF4" w:rsidP="00C06F01">
      <w:pPr>
        <w:pStyle w:val="BodyText"/>
      </w:pPr>
    </w:p>
    <w:p w:rsidR="00000000" w:rsidRPr="00C06F01" w:rsidP="00C06F01">
      <w:pPr>
        <w:pStyle w:val="Heading1"/>
      </w:pPr>
      <w:bookmarkStart w:id="9" w:name="O_436256"/>
      <w:bookmarkEnd w:id="9"/>
      <w:r w:rsidRPr="00C06F01">
        <w:t>Required Skills and Knowledge</w:t>
      </w:r>
    </w:p>
    <w:tbl>
      <w:tblPr>
        <w:tblW w:w="0" w:type="auto"/>
        <w:tblLayout w:type="fixed"/>
        <w:tblCellMar>
          <w:left w:w="62" w:type="dxa"/>
          <w:right w:w="62" w:type="dxa"/>
        </w:tblCellMar>
        <w:tblLook w:val="0000"/>
      </w:tblPr>
      <w:tblGrid>
        <w:gridCol w:w="8460"/>
      </w:tblGrid>
      <w:tr w:rsidTr="008F0EF4">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C06F01">
            <w:pPr>
              <w:pStyle w:val="BodyText"/>
              <w:rPr>
                <w:lang w:val="en-NZ"/>
              </w:rPr>
            </w:pPr>
            <w:r w:rsidRPr="00C06F01">
              <w:rPr>
                <w:rStyle w:val="SpecialBold"/>
              </w:rPr>
              <w:t>REQUIRED SKILLS AND KNOWLEDGE</w:t>
            </w:r>
          </w:p>
        </w:tc>
      </w:tr>
      <w:tr w:rsidTr="008F0EF4">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C06F01">
            <w:pPr>
              <w:pStyle w:val="BodyText"/>
              <w:rPr>
                <w:lang w:val="en-NZ"/>
              </w:rPr>
            </w:pPr>
            <w:r w:rsidRPr="00C06F01">
              <w:rPr>
                <w:rStyle w:val="SpecialBold"/>
              </w:rPr>
              <w:t>8)</w:t>
            </w:r>
            <w:r w:rsidRPr="00C06F01">
              <w:t xml:space="preserve"> This describes the essential skills and knowledge and their level, required for this unit.</w:t>
            </w:r>
          </w:p>
        </w:tc>
      </w:tr>
      <w:tr w:rsidTr="008F0EF4">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C06F01" w:rsidP="00C06F01">
            <w:pPr>
              <w:pStyle w:val="BodyText"/>
            </w:pPr>
            <w:r w:rsidRPr="00C06F01">
              <w:t>Evidence must show that knowledge has been acquired of safe working practices and the sourcing and purchasing of material/parts for installation or service jobs.</w:t>
            </w:r>
          </w:p>
          <w:p w:rsidR="00000000" w:rsidRPr="00C06F01" w:rsidP="00C06F01">
            <w:pPr>
              <w:pStyle w:val="BodyText"/>
            </w:pPr>
            <w:r w:rsidRPr="00C06F01">
              <w:t>All knowledge and skills detailed in this unit should be contextualised to current industry practices and technologies.</w:t>
            </w:r>
          </w:p>
          <w:p w:rsidR="00000000" w:rsidRPr="00C06F01" w:rsidP="00C06F01">
            <w:pPr>
              <w:pStyle w:val="BodyText"/>
            </w:pPr>
            <w:r w:rsidRPr="00C06F01">
              <w:rPr>
                <w:rStyle w:val="SpecialBold"/>
              </w:rPr>
              <w:t>KS01-EC002B</w:t>
            </w:r>
            <w:r w:rsidRPr="00C06F01">
              <w:rPr>
                <w:rStyle w:val="SpecialBold"/>
              </w:rPr>
              <w:tab/>
              <w:t xml:space="preserve">              Material Acquisition</w:t>
            </w:r>
          </w:p>
          <w:p w:rsidR="00000000" w:rsidRPr="00C06F01" w:rsidP="00C06F01">
            <w:pPr>
              <w:pStyle w:val="BodyText"/>
            </w:pPr>
            <w:r w:rsidRPr="00C06F01">
              <w:t>Evidence shall show an understanding of material acquisition to an extent indicated by th</w:t>
            </w:r>
            <w:r w:rsidRPr="00C06F01">
              <w:t>e following aspects:</w:t>
            </w:r>
          </w:p>
          <w:p w:rsidR="00000000" w:rsidRPr="00C06F01" w:rsidP="00C06F01">
            <w:pPr>
              <w:pStyle w:val="BodyText"/>
            </w:pPr>
            <w:r w:rsidRPr="00C06F01">
              <w:t>T1.</w:t>
            </w:r>
            <w:r w:rsidRPr="00C06F01">
              <w:tab/>
              <w:t>Enterprise communication methods encompassing:</w:t>
            </w:r>
          </w:p>
          <w:p w:rsidR="00000000" w:rsidRPr="00C06F01" w:rsidP="00C06F01">
            <w:pPr>
              <w:pStyle w:val="ListBullet"/>
            </w:pPr>
            <w:r w:rsidRPr="00C06F01">
              <w:t>Communicating with personnel encompassing:</w:t>
            </w:r>
          </w:p>
          <w:p w:rsidR="00000000" w:rsidRPr="00C06F01" w:rsidP="00C06F01">
            <w:pPr>
              <w:pStyle w:val="ListBullet2"/>
            </w:pPr>
            <w:r w:rsidRPr="00C06F01">
              <w:t>Oral communications</w:t>
            </w:r>
          </w:p>
          <w:p w:rsidR="00000000" w:rsidRPr="00C06F01" w:rsidP="00C06F01">
            <w:pPr>
              <w:pStyle w:val="ListBullet2"/>
            </w:pPr>
            <w:r w:rsidRPr="00C06F01">
              <w:t>Written procedures and work instructions</w:t>
            </w:r>
          </w:p>
          <w:p w:rsidR="00000000" w:rsidRPr="00C06F01" w:rsidP="00C06F01">
            <w:pPr>
              <w:pStyle w:val="ListBullet"/>
            </w:pPr>
            <w:r w:rsidRPr="00C06F01">
              <w:t>Communicating with suppliers</w:t>
            </w:r>
          </w:p>
          <w:p w:rsidR="00000000" w:rsidRPr="00C06F01" w:rsidP="00C06F01">
            <w:pPr>
              <w:pStyle w:val="ListBullet"/>
            </w:pPr>
            <w:r w:rsidRPr="00C06F01">
              <w:t>Communicating with customers</w:t>
            </w:r>
          </w:p>
          <w:p w:rsidR="00000000" w:rsidRPr="00C06F01" w:rsidP="00C06F01">
            <w:pPr>
              <w:pStyle w:val="BodyText"/>
            </w:pPr>
            <w:r w:rsidRPr="00C06F01">
              <w:t>T2.</w:t>
            </w:r>
            <w:r w:rsidRPr="00C06F01">
              <w:tab/>
              <w:t>Work activities r</w:t>
            </w:r>
            <w:r w:rsidRPr="00C06F01">
              <w:t>ecords encompassing:</w:t>
            </w:r>
          </w:p>
          <w:p w:rsidR="00000000" w:rsidRPr="00C06F01" w:rsidP="00C06F01">
            <w:pPr>
              <w:pStyle w:val="ListBullet"/>
            </w:pPr>
            <w:r w:rsidRPr="00C06F01">
              <w:t>Purpose and extent of maintaining work activities records in an enterprise</w:t>
            </w:r>
          </w:p>
          <w:p w:rsidR="00000000" w:rsidRPr="00C06F01" w:rsidP="00C06F01">
            <w:pPr>
              <w:pStyle w:val="ListBullet"/>
            </w:pPr>
            <w:r w:rsidRPr="00C06F01">
              <w:t>Types of records for maintaining work activities in an enterprise</w:t>
            </w:r>
          </w:p>
          <w:p w:rsidR="00000000" w:rsidRPr="00C06F01" w:rsidP="00C06F01">
            <w:pPr>
              <w:pStyle w:val="ListBullet"/>
            </w:pPr>
            <w:r w:rsidRPr="00C06F01">
              <w:t>Methods for recording and maintaining work records</w:t>
            </w:r>
          </w:p>
          <w:p w:rsidR="00000000" w:rsidRPr="00C06F01" w:rsidP="00C06F01">
            <w:pPr>
              <w:pStyle w:val="ListBullet"/>
            </w:pPr>
            <w:r w:rsidRPr="00C06F01">
              <w:t>Work records required by regulation require</w:t>
            </w:r>
            <w:r w:rsidRPr="00C06F01">
              <w:t>ments</w:t>
            </w:r>
          </w:p>
          <w:p w:rsidR="00000000" w:rsidRPr="00C06F01" w:rsidP="00C06F01">
            <w:pPr>
              <w:pStyle w:val="BodyText"/>
            </w:pPr>
            <w:r w:rsidRPr="00C06F01">
              <w:t>T3.</w:t>
            </w:r>
            <w:r w:rsidRPr="00C06F01">
              <w:tab/>
              <w:t>Enterprise purchasing system encompassing:</w:t>
            </w:r>
          </w:p>
          <w:p w:rsidR="00000000" w:rsidRPr="00C06F01" w:rsidP="00C06F01">
            <w:pPr>
              <w:pStyle w:val="ListBullet"/>
            </w:pPr>
            <w:r w:rsidRPr="00C06F01">
              <w:t>Purchasing process</w:t>
            </w:r>
          </w:p>
          <w:p w:rsidR="00000000" w:rsidRPr="00C06F01" w:rsidP="00C06F01">
            <w:pPr>
              <w:pStyle w:val="ListBullet"/>
            </w:pPr>
            <w:r w:rsidRPr="00C06F01">
              <w:t>Common suppliers</w:t>
            </w:r>
          </w:p>
          <w:p w:rsidR="00000000" w:rsidRPr="00C06F01" w:rsidP="00C06F01">
            <w:pPr>
              <w:pStyle w:val="ListBullet"/>
            </w:pPr>
            <w:r w:rsidRPr="00C06F01">
              <w:t>Authorities to purchase</w:t>
            </w:r>
          </w:p>
          <w:p w:rsidR="00000000" w:rsidRPr="00C06F01" w:rsidP="00C06F01">
            <w:pPr>
              <w:pStyle w:val="BodyText"/>
            </w:pPr>
            <w:r w:rsidRPr="00C06F01">
              <w:t>T4.</w:t>
            </w:r>
            <w:r w:rsidRPr="00C06F01">
              <w:tab/>
              <w:t>Using basic computers and applications encompassing:</w:t>
            </w:r>
          </w:p>
          <w:p w:rsidR="00000000" w:rsidRPr="00C06F01" w:rsidP="00C06F01">
            <w:pPr>
              <w:pStyle w:val="ListBullet"/>
            </w:pPr>
            <w:r w:rsidRPr="00C06F01">
              <w:t>Starting up</w:t>
            </w:r>
          </w:p>
          <w:p w:rsidR="00000000" w:rsidRPr="00C06F01" w:rsidP="00C06F01">
            <w:pPr>
              <w:pStyle w:val="ListBullet"/>
            </w:pPr>
            <w:r w:rsidRPr="00C06F01">
              <w:t>Selecting application</w:t>
            </w:r>
          </w:p>
          <w:p w:rsidR="00000000" w:rsidRPr="00C06F01" w:rsidP="00C06F01">
            <w:pPr>
              <w:pStyle w:val="ListBullet"/>
            </w:pPr>
            <w:r w:rsidRPr="00C06F01">
              <w:t>Entering information</w:t>
            </w:r>
          </w:p>
          <w:p w:rsidR="00000000" w:rsidRPr="00C06F01" w:rsidP="00C06F01">
            <w:pPr>
              <w:pStyle w:val="ListBullet"/>
            </w:pPr>
            <w:r w:rsidRPr="00C06F01">
              <w:t>Saving</w:t>
            </w:r>
          </w:p>
          <w:p w:rsidR="00000000" w:rsidRPr="00C06F01" w:rsidP="00C06F01">
            <w:pPr>
              <w:pStyle w:val="ListBullet"/>
            </w:pPr>
            <w:r w:rsidRPr="00C06F01">
              <w:t>Printing</w:t>
            </w:r>
          </w:p>
        </w:tc>
      </w:tr>
    </w:tbl>
    <w:p w:rsidR="008F0EF4" w:rsidP="00C06F01">
      <w:pPr>
        <w:pStyle w:val="BodyText"/>
      </w:pPr>
    </w:p>
    <w:p w:rsidR="008F0EF4" w:rsidP="00C06F01">
      <w:pPr>
        <w:pStyle w:val="BodyText"/>
      </w:pPr>
    </w:p>
    <w:p w:rsidR="00000000" w:rsidRPr="00C06F01" w:rsidP="00C06F01">
      <w:pPr>
        <w:pStyle w:val="Heading1"/>
      </w:pPr>
      <w:bookmarkStart w:id="10" w:name="O_436262"/>
      <w:bookmarkEnd w:id="10"/>
      <w:r w:rsidRPr="00C06F01">
        <w:t>Evidence Guide</w:t>
      </w:r>
    </w:p>
    <w:tbl>
      <w:tblPr>
        <w:tblW w:w="0" w:type="auto"/>
        <w:tblLayout w:type="fixed"/>
        <w:tblCellMar>
          <w:left w:w="62" w:type="dxa"/>
          <w:right w:w="62" w:type="dxa"/>
        </w:tblCellMar>
        <w:tblLook w:val="0000"/>
      </w:tblPr>
      <w:tblGrid>
        <w:gridCol w:w="2160"/>
        <w:gridCol w:w="720"/>
        <w:gridCol w:w="540"/>
        <w:gridCol w:w="540"/>
        <w:gridCol w:w="4500"/>
      </w:tblGrid>
      <w:tr w:rsidTr="008F0EF4">
        <w:tblPrEx>
          <w:tblW w:w="0" w:type="auto"/>
          <w:tblLayout w:type="fixed"/>
          <w:tblCellMar>
            <w:left w:w="62" w:type="dxa"/>
            <w:right w:w="62" w:type="dxa"/>
          </w:tblCellMar>
          <w:tblLook w:val="0000"/>
        </w:tblPrEx>
        <w:trPr>
          <w:tblHeader/>
        </w:trPr>
        <w:tc>
          <w:tcPr>
            <w:tcW w:w="8460" w:type="dxa"/>
            <w:gridSpan w:val="5"/>
            <w:tcBorders>
              <w:top w:val="nil"/>
              <w:left w:val="nil"/>
              <w:bottom w:val="nil"/>
              <w:right w:val="nil"/>
            </w:tcBorders>
            <w:tcMar>
              <w:top w:w="0" w:type="dxa"/>
              <w:left w:w="62" w:type="dxa"/>
              <w:bottom w:w="0" w:type="dxa"/>
              <w:right w:w="62" w:type="dxa"/>
            </w:tcMar>
          </w:tcPr>
          <w:p w:rsidR="00000000" w:rsidP="00C06F01">
            <w:pPr>
              <w:pStyle w:val="BodyText"/>
              <w:rPr>
                <w:lang w:val="en-NZ"/>
              </w:rPr>
            </w:pPr>
            <w:r w:rsidRPr="00C06F01">
              <w:rPr>
                <w:rStyle w:val="SpecialBold"/>
              </w:rPr>
              <w:t>EVIDENCE GUIDE</w:t>
            </w:r>
          </w:p>
        </w:tc>
      </w:tr>
      <w:tr w:rsidTr="008F0EF4">
        <w:tblPrEx>
          <w:tblW w:w="0" w:type="auto"/>
          <w:tblLayout w:type="fixed"/>
          <w:tblCellMar>
            <w:left w:w="62" w:type="dxa"/>
            <w:right w:w="62" w:type="dxa"/>
          </w:tblCellMar>
          <w:tblLook w:val="0000"/>
        </w:tblPrEx>
        <w:tc>
          <w:tcPr>
            <w:tcW w:w="8460" w:type="dxa"/>
            <w:gridSpan w:val="5"/>
            <w:tcBorders>
              <w:top w:val="nil"/>
              <w:left w:val="nil"/>
              <w:bottom w:val="nil"/>
              <w:right w:val="nil"/>
            </w:tcBorders>
            <w:tcMar>
              <w:top w:w="0" w:type="dxa"/>
              <w:left w:w="62" w:type="dxa"/>
              <w:bottom w:w="0" w:type="dxa"/>
              <w:right w:w="62" w:type="dxa"/>
            </w:tcMar>
          </w:tcPr>
          <w:p w:rsidR="00000000" w:rsidRPr="00C06F01" w:rsidP="00C06F01">
            <w:pPr>
              <w:pStyle w:val="BodyText"/>
            </w:pPr>
            <w:r w:rsidRPr="00C06F01">
              <w:rPr>
                <w:rStyle w:val="SpecialBold"/>
              </w:rPr>
              <w:t>9)</w:t>
            </w:r>
            <w:r w:rsidRPr="00C06F01">
              <w:t xml:space="preserve"> This provides essential advice for assessment of the unit. It must be read in conjunction with the performance criteria and the range statement of the unit and the Training Package Assessment Guidelines.</w:t>
            </w:r>
          </w:p>
          <w:p w:rsidR="00000000" w:rsidP="00C06F01">
            <w:pPr>
              <w:pStyle w:val="BodyText"/>
              <w:rPr>
                <w:lang w:val="en-NZ"/>
              </w:rPr>
            </w:pPr>
            <w:r w:rsidRPr="00C06F01">
              <w:t>The Evidence Guide forms an integral part of this unit. It must be used in conjunction with all parts of this unit and performed in accordance with the Assessment Guidelines of this Training Package.</w:t>
            </w:r>
          </w:p>
        </w:tc>
      </w:tr>
      <w:tr w:rsidTr="008F0EF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C06F01" w:rsidP="00C06F01">
            <w:pPr>
              <w:pStyle w:val="BodyText"/>
            </w:pPr>
            <w:r w:rsidRPr="00C06F01">
              <w:rPr>
                <w:rStyle w:val="SpecialBold"/>
              </w:rPr>
              <w:t>Overview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C06F01" w:rsidP="00C06F01">
            <w:pPr>
              <w:pStyle w:val="BodyText"/>
            </w:pPr>
            <w:r w:rsidRPr="00C06F01">
              <w:rPr>
                <w:rStyle w:val="SpecialBold"/>
              </w:rPr>
              <w:t xml:space="preserve">9.1) </w:t>
            </w:r>
          </w:p>
          <w:p w:rsidR="00000000" w:rsidRPr="00C06F01" w:rsidP="00C06F01">
            <w:pPr>
              <w:pStyle w:val="BodyText"/>
            </w:pPr>
            <w:r w:rsidRPr="00C06F01">
              <w:t>Longitudinal competenc</w:t>
            </w:r>
            <w:r w:rsidRPr="00C06F01">
              <w:t>y development approaches to assessment, such as Profiling, require data to be reliably gathered in a form that can be consistently interpreted over time. This approach is best utilised in Apprenticeship programs and reduces assessment intervention. It is t</w:t>
            </w:r>
            <w:r w:rsidRPr="00C06F01">
              <w:t>he industry-preferred model for apprenticeships. However, where summative (or final) assessment is used it is to include the application of the competency in the normal work environment or, at a minimum, the application of the competency in a realistically</w:t>
            </w:r>
            <w:r w:rsidRPr="00C06F01">
              <w:t xml:space="preserve"> simulated work environment. It is recognised that, in some circumstances, assessment in part or full can occur outside the workplace. However, it must be in accordance with industry and regulatory policy.</w:t>
            </w:r>
          </w:p>
          <w:p w:rsidR="00000000" w:rsidRPr="00C06F01" w:rsidP="00C06F01">
            <w:pPr>
              <w:pStyle w:val="BodyText"/>
            </w:pPr>
            <w:r w:rsidRPr="00C06F01">
              <w:t>Methods chosen for a particular assessment will be</w:t>
            </w:r>
            <w:r w:rsidRPr="00C06F01">
              <w:t xml:space="preserve"> influenced by various factors. These include the extent of the assessment, the most effective locations for the assessment activities to take place, access to physical resources, additional safety measures that may be required and the critical nature of t</w:t>
            </w:r>
            <w:r w:rsidRPr="00C06F01">
              <w:t>he competencies being assessed.</w:t>
            </w:r>
          </w:p>
          <w:p w:rsidR="00000000" w:rsidRPr="00C06F01" w:rsidP="00C06F01">
            <w:pPr>
              <w:pStyle w:val="BodyText"/>
            </w:pPr>
            <w:r w:rsidRPr="00C06F01">
              <w:t>The critical safety nature of working with electricity, electrical equipment, gas or any other hazardous substance/material carries risk in deeming a person competent. Sources of evidence need to be 'rich' in nature to minim</w:t>
            </w:r>
            <w:r w:rsidRPr="00C06F01">
              <w:t>ise error in judgment.</w:t>
            </w:r>
          </w:p>
          <w:p w:rsidR="00000000" w:rsidP="00C06F01">
            <w:pPr>
              <w:pStyle w:val="BodyText"/>
              <w:rPr>
                <w:lang w:val="en-NZ"/>
              </w:rPr>
            </w:pPr>
            <w:r w:rsidRPr="00C06F01">
              <w:t xml:space="preserve">Activities associated with normal everyday work have a bearing on the decision as to how much and how detailed the data gathered will contribute to its 'richness'. Some skills are more critical to safety and operational requirements </w:t>
            </w:r>
            <w:r w:rsidRPr="00C06F01">
              <w:t xml:space="preserve">while the same skills may be more or less frequently practised. These points are raised for the assessors to consider when choosing an assessment method and developing assessment instruments. Sample assessment instruments are included for Assessors in the </w:t>
            </w:r>
            <w:r w:rsidRPr="00C06F01">
              <w:t>Assessment Guidelines of this Training Package.</w:t>
            </w:r>
          </w:p>
        </w:tc>
      </w:tr>
      <w:tr w:rsidTr="008F0EF4">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C06F01" w:rsidP="00C06F01">
            <w:pPr>
              <w:pStyle w:val="BodyText"/>
            </w:pPr>
            <w:r w:rsidRPr="00C06F01">
              <w:rPr>
                <w:rStyle w:val="SpecialBold"/>
              </w:rPr>
              <w:t>Critical aspects of evidence required to demonstrate competency in this unit</w:t>
            </w:r>
          </w:p>
        </w:tc>
        <w:tc>
          <w:tcPr>
            <w:tcW w:w="6300" w:type="dxa"/>
            <w:gridSpan w:val="4"/>
            <w:tcBorders>
              <w:top w:val="nil"/>
              <w:left w:val="nil"/>
              <w:bottom w:val="nil"/>
              <w:right w:val="nil"/>
            </w:tcBorders>
            <w:tcMar>
              <w:top w:w="0" w:type="dxa"/>
              <w:left w:w="62" w:type="dxa"/>
              <w:bottom w:w="0" w:type="dxa"/>
              <w:right w:w="62" w:type="dxa"/>
            </w:tcMar>
          </w:tcPr>
          <w:p w:rsidR="00000000" w:rsidRPr="00C06F01" w:rsidP="00C06F01">
            <w:pPr>
              <w:pStyle w:val="BodyText"/>
            </w:pPr>
            <w:r w:rsidRPr="00C06F01">
              <w:rPr>
                <w:rStyle w:val="SpecialBold"/>
              </w:rPr>
              <w:t xml:space="preserve">9.2) </w:t>
            </w:r>
          </w:p>
          <w:p w:rsidR="00000000" w:rsidP="00C06F01">
            <w:pPr>
              <w:pStyle w:val="BodyText"/>
              <w:rPr>
                <w:lang w:val="en-NZ"/>
              </w:rPr>
            </w:pPr>
            <w:r w:rsidRPr="00C06F01">
              <w:t>Before the critical aspects of evidence are considered all prerequisites must be met.</w:t>
            </w:r>
          </w:p>
        </w:tc>
      </w:tr>
      <w:tr w:rsidTr="008F0EF4">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C06F01" w:rsidP="00C06F01">
            <w:pPr>
              <w:pStyle w:val="BodyText"/>
            </w:pPr>
            <w:r w:rsidRPr="00C06F01">
              <w:t>Evidence for competence in this unit shall be considered holistically.  Each Element and associated performance criteria shall be demonstrated on at least two occasions in accordance with the 'Assessment Guidelines - UEE07'.  Evidence shall also comprise:</w:t>
            </w:r>
          </w:p>
          <w:p w:rsidR="00000000" w:rsidP="00C06F01">
            <w:pPr>
              <w:pStyle w:val="ListBullet"/>
              <w:rPr>
                <w:lang w:val="en-NZ"/>
              </w:rPr>
            </w:pPr>
            <w:r w:rsidRPr="00C06F01">
              <w:t>A representative body of work performance demonstrated within the timeframes typically expected of the discipline, work function and industrial environment. In particular this shall incorporate evidence that shows a candidate is able to:</w:t>
            </w:r>
          </w:p>
        </w:tc>
      </w:tr>
      <w:tr w:rsidTr="008F0EF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C06F01">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C06F01" w:rsidP="00C06F01">
            <w:pPr>
              <w:pStyle w:val="ListBullet2"/>
            </w:pPr>
            <w:r w:rsidRPr="00C06F01">
              <w:t>Implement Occupational Health and Safety workplace procedures and practices, including the use of risk control measures as specified in the performance criteria and range statement</w:t>
            </w:r>
          </w:p>
          <w:p w:rsidR="00000000" w:rsidRPr="00C06F01" w:rsidP="00C06F01">
            <w:pPr>
              <w:pStyle w:val="ListBullet2"/>
            </w:pPr>
            <w:r w:rsidRPr="00C06F01">
              <w:t>Apply sustainable energy principles and practices as specified in the perfo</w:t>
            </w:r>
            <w:r w:rsidRPr="00C06F01">
              <w:t>rmance criteria and range statement</w:t>
            </w:r>
          </w:p>
          <w:p w:rsidR="00000000" w:rsidRPr="00C06F01" w:rsidP="00C06F01">
            <w:pPr>
              <w:pStyle w:val="ListBullet2"/>
            </w:pPr>
            <w:r w:rsidRPr="00C06F01">
              <w:t>Demonstrate an understanding of the essential knowledge and associated skills as described in this unit.  It may be required by some jurisdictions that RTOs provide a percentile graded result for the purpose of regulator</w:t>
            </w:r>
            <w:r w:rsidRPr="00C06F01">
              <w:t xml:space="preserve">y or licensing requirements.   </w:t>
            </w:r>
          </w:p>
          <w:p w:rsidR="00000000" w:rsidRPr="00C06F01" w:rsidP="00C06F01">
            <w:pPr>
              <w:pStyle w:val="ListBullet2"/>
            </w:pPr>
            <w:r w:rsidRPr="00C06F01">
              <w:t>Demonstrate an appropriate level of skills enabling employment</w:t>
            </w:r>
          </w:p>
          <w:p w:rsidR="00000000" w:rsidP="00C06F01">
            <w:pPr>
              <w:pStyle w:val="ListBullet2"/>
              <w:rPr>
                <w:lang w:val="en-NZ"/>
              </w:rPr>
            </w:pPr>
            <w:r w:rsidRPr="00C06F01">
              <w:t>Conduct work observing the relevant Anti Discrimination legislation, regulations, polices and workplace procedures</w:t>
            </w:r>
          </w:p>
        </w:tc>
      </w:tr>
      <w:tr w:rsidTr="008F0EF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C06F01">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C06F01">
            <w:pPr>
              <w:pStyle w:val="ListBullet"/>
              <w:rPr>
                <w:lang w:val="en-NZ"/>
              </w:rPr>
            </w:pPr>
            <w:r w:rsidRPr="00C06F01">
              <w:t>Demonstrated consistent performance across a representative range of contexts from the prescribed items below:</w:t>
            </w:r>
          </w:p>
        </w:tc>
      </w:tr>
      <w:tr w:rsidTr="008F0EF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C06F01">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C06F01">
            <w:pPr>
              <w:pStyle w:val="ListBullet2"/>
              <w:rPr>
                <w:lang w:val="en-NZ"/>
              </w:rPr>
            </w:pPr>
            <w:r w:rsidRPr="00C06F01">
              <w:t>Source and purchase material/parts for installation or service jobs as described in 8) including:</w:t>
            </w:r>
          </w:p>
        </w:tc>
      </w:tr>
      <w:tr w:rsidTr="008F0EF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C06F01">
            <w:pPr>
              <w:pStyle w:val="BodyText"/>
              <w:rPr>
                <w:lang w:val="en-NZ"/>
              </w:rPr>
            </w:pPr>
            <w:r w:rsidRPr="00C06F01">
              <w:t>A</w:t>
            </w:r>
          </w:p>
        </w:tc>
        <w:tc>
          <w:tcPr>
            <w:tcW w:w="5040" w:type="dxa"/>
            <w:gridSpan w:val="2"/>
            <w:tcBorders>
              <w:top w:val="nil"/>
              <w:left w:val="nil"/>
              <w:bottom w:val="nil"/>
              <w:right w:val="nil"/>
            </w:tcBorders>
            <w:tcMar>
              <w:top w:w="0" w:type="dxa"/>
              <w:left w:w="62" w:type="dxa"/>
              <w:bottom w:w="0" w:type="dxa"/>
              <w:right w:w="62" w:type="dxa"/>
            </w:tcMar>
          </w:tcPr>
          <w:p w:rsidR="00000000" w:rsidP="00C06F01">
            <w:pPr>
              <w:pStyle w:val="BodyText"/>
              <w:rPr>
                <w:lang w:val="en-NZ"/>
              </w:rPr>
            </w:pPr>
            <w:r w:rsidRPr="00C06F01">
              <w:t>Establishing the extent of work on which purchases are to be based.</w:t>
            </w:r>
          </w:p>
        </w:tc>
      </w:tr>
      <w:tr w:rsidTr="008F0EF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C06F01">
            <w:pPr>
              <w:pStyle w:val="BodyText"/>
              <w:rPr>
                <w:lang w:val="en-NZ"/>
              </w:rPr>
            </w:pPr>
            <w:r w:rsidRPr="00C06F01">
              <w:t>B</w:t>
            </w:r>
          </w:p>
        </w:tc>
        <w:tc>
          <w:tcPr>
            <w:tcW w:w="5040" w:type="dxa"/>
            <w:gridSpan w:val="2"/>
            <w:tcBorders>
              <w:top w:val="nil"/>
              <w:left w:val="nil"/>
              <w:bottom w:val="nil"/>
              <w:right w:val="nil"/>
            </w:tcBorders>
            <w:tcMar>
              <w:top w:w="0" w:type="dxa"/>
              <w:left w:w="62" w:type="dxa"/>
              <w:bottom w:w="0" w:type="dxa"/>
              <w:right w:w="62" w:type="dxa"/>
            </w:tcMar>
          </w:tcPr>
          <w:p w:rsidR="00000000" w:rsidP="00C06F01">
            <w:pPr>
              <w:pStyle w:val="BodyText"/>
              <w:rPr>
                <w:lang w:val="en-NZ"/>
              </w:rPr>
            </w:pPr>
            <w:r w:rsidRPr="00C06F01">
              <w:t>Determining the material or parts required accurately.</w:t>
            </w:r>
          </w:p>
        </w:tc>
      </w:tr>
      <w:tr w:rsidTr="008F0EF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C06F01">
            <w:pPr>
              <w:pStyle w:val="BodyText"/>
              <w:rPr>
                <w:lang w:val="en-NZ"/>
              </w:rPr>
            </w:pPr>
            <w:r w:rsidRPr="00C06F01">
              <w:t>C</w:t>
            </w:r>
          </w:p>
        </w:tc>
        <w:tc>
          <w:tcPr>
            <w:tcW w:w="5040" w:type="dxa"/>
            <w:gridSpan w:val="2"/>
            <w:tcBorders>
              <w:top w:val="nil"/>
              <w:left w:val="nil"/>
              <w:bottom w:val="nil"/>
              <w:right w:val="nil"/>
            </w:tcBorders>
            <w:tcMar>
              <w:top w:w="0" w:type="dxa"/>
              <w:left w:w="62" w:type="dxa"/>
              <w:bottom w:w="0" w:type="dxa"/>
              <w:right w:w="62" w:type="dxa"/>
            </w:tcMar>
          </w:tcPr>
          <w:p w:rsidR="00000000" w:rsidP="00C06F01">
            <w:pPr>
              <w:pStyle w:val="BodyText"/>
              <w:rPr>
                <w:lang w:val="en-NZ"/>
              </w:rPr>
            </w:pPr>
            <w:r w:rsidRPr="00C06F01">
              <w:t>Using at least two methods to source materials.</w:t>
            </w:r>
          </w:p>
        </w:tc>
      </w:tr>
      <w:tr w:rsidTr="008F0EF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C06F01">
            <w:pPr>
              <w:pStyle w:val="BodyText"/>
              <w:rPr>
                <w:lang w:val="en-NZ"/>
              </w:rPr>
            </w:pPr>
            <w:r w:rsidRPr="00C06F01">
              <w:t>D</w:t>
            </w:r>
          </w:p>
        </w:tc>
        <w:tc>
          <w:tcPr>
            <w:tcW w:w="5040" w:type="dxa"/>
            <w:gridSpan w:val="2"/>
            <w:tcBorders>
              <w:top w:val="nil"/>
              <w:left w:val="nil"/>
              <w:bottom w:val="nil"/>
              <w:right w:val="nil"/>
            </w:tcBorders>
            <w:tcMar>
              <w:top w:w="0" w:type="dxa"/>
              <w:left w:w="62" w:type="dxa"/>
              <w:bottom w:w="0" w:type="dxa"/>
              <w:right w:w="62" w:type="dxa"/>
            </w:tcMar>
          </w:tcPr>
          <w:p w:rsidR="00000000" w:rsidP="00C06F01">
            <w:pPr>
              <w:pStyle w:val="BodyText"/>
              <w:rPr>
                <w:lang w:val="en-NZ"/>
              </w:rPr>
            </w:pPr>
            <w:r w:rsidRPr="00C06F01">
              <w:t>Obtaining quotations for supply of materials/parts.</w:t>
            </w:r>
          </w:p>
        </w:tc>
      </w:tr>
      <w:tr w:rsidTr="008F0EF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C06F01">
            <w:pPr>
              <w:pStyle w:val="BodyText"/>
              <w:rPr>
                <w:lang w:val="en-NZ"/>
              </w:rPr>
            </w:pPr>
            <w:r w:rsidRPr="00C06F01">
              <w:t>E</w:t>
            </w:r>
          </w:p>
        </w:tc>
        <w:tc>
          <w:tcPr>
            <w:tcW w:w="5040" w:type="dxa"/>
            <w:gridSpan w:val="2"/>
            <w:tcBorders>
              <w:top w:val="nil"/>
              <w:left w:val="nil"/>
              <w:bottom w:val="nil"/>
              <w:right w:val="nil"/>
            </w:tcBorders>
            <w:tcMar>
              <w:top w:w="0" w:type="dxa"/>
              <w:left w:w="62" w:type="dxa"/>
              <w:bottom w:w="0" w:type="dxa"/>
              <w:right w:w="62" w:type="dxa"/>
            </w:tcMar>
          </w:tcPr>
          <w:p w:rsidR="00000000" w:rsidP="00C06F01">
            <w:pPr>
              <w:pStyle w:val="BodyText"/>
              <w:rPr>
                <w:lang w:val="en-NZ"/>
              </w:rPr>
            </w:pPr>
            <w:r w:rsidRPr="00C06F01">
              <w:t>Obtaining approval to purchase.</w:t>
            </w:r>
          </w:p>
        </w:tc>
      </w:tr>
      <w:tr w:rsidTr="008F0EF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C06F01">
            <w:pPr>
              <w:pStyle w:val="BodyText"/>
              <w:rPr>
                <w:lang w:val="en-NZ"/>
              </w:rPr>
            </w:pPr>
            <w:r w:rsidRPr="00C06F01">
              <w:t>F</w:t>
            </w:r>
          </w:p>
        </w:tc>
        <w:tc>
          <w:tcPr>
            <w:tcW w:w="5040" w:type="dxa"/>
            <w:gridSpan w:val="2"/>
            <w:tcBorders>
              <w:top w:val="nil"/>
              <w:left w:val="nil"/>
              <w:bottom w:val="nil"/>
              <w:right w:val="nil"/>
            </w:tcBorders>
            <w:tcMar>
              <w:top w:w="0" w:type="dxa"/>
              <w:left w:w="62" w:type="dxa"/>
              <w:bottom w:w="0" w:type="dxa"/>
              <w:right w:w="62" w:type="dxa"/>
            </w:tcMar>
          </w:tcPr>
          <w:p w:rsidR="00000000" w:rsidP="00C06F01">
            <w:pPr>
              <w:pStyle w:val="BodyText"/>
              <w:rPr>
                <w:lang w:val="en-NZ"/>
              </w:rPr>
            </w:pPr>
            <w:r w:rsidRPr="00C06F01">
              <w:t>Establishing availability and arranging supply within the required timeframe.</w:t>
            </w:r>
          </w:p>
        </w:tc>
      </w:tr>
      <w:tr w:rsidTr="008F0EF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C06F01">
            <w:pPr>
              <w:pStyle w:val="BodyText"/>
              <w:rPr>
                <w:lang w:val="en-NZ"/>
              </w:rPr>
            </w:pPr>
            <w:r w:rsidRPr="00C06F01">
              <w:t>G</w:t>
            </w:r>
          </w:p>
        </w:tc>
        <w:tc>
          <w:tcPr>
            <w:tcW w:w="5040" w:type="dxa"/>
            <w:gridSpan w:val="2"/>
            <w:tcBorders>
              <w:top w:val="nil"/>
              <w:left w:val="nil"/>
              <w:bottom w:val="nil"/>
              <w:right w:val="nil"/>
            </w:tcBorders>
            <w:tcMar>
              <w:top w:w="0" w:type="dxa"/>
              <w:left w:w="62" w:type="dxa"/>
              <w:bottom w:w="0" w:type="dxa"/>
              <w:right w:w="62" w:type="dxa"/>
            </w:tcMar>
          </w:tcPr>
          <w:p w:rsidR="00000000" w:rsidP="00C06F01">
            <w:pPr>
              <w:pStyle w:val="BodyText"/>
              <w:rPr>
                <w:lang w:val="en-NZ"/>
              </w:rPr>
            </w:pPr>
            <w:r w:rsidRPr="00C06F01">
              <w:t>Documenting material/part purchases accurately.</w:t>
            </w:r>
          </w:p>
        </w:tc>
      </w:tr>
      <w:tr w:rsidTr="008F0EF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C06F01">
            <w:pPr>
              <w:pStyle w:val="BodyText"/>
              <w:rPr>
                <w:lang w:val="en-NZ"/>
              </w:rPr>
            </w:pPr>
            <w:r w:rsidRPr="00C06F01">
              <w:t>H</w:t>
            </w:r>
          </w:p>
        </w:tc>
        <w:tc>
          <w:tcPr>
            <w:tcW w:w="5040" w:type="dxa"/>
            <w:gridSpan w:val="2"/>
            <w:tcBorders>
              <w:top w:val="nil"/>
              <w:left w:val="nil"/>
              <w:bottom w:val="nil"/>
              <w:right w:val="nil"/>
            </w:tcBorders>
            <w:tcMar>
              <w:top w:w="0" w:type="dxa"/>
              <w:left w:w="62" w:type="dxa"/>
              <w:bottom w:w="0" w:type="dxa"/>
              <w:right w:w="62" w:type="dxa"/>
            </w:tcMar>
          </w:tcPr>
          <w:p w:rsidR="00000000" w:rsidP="00C06F01">
            <w:pPr>
              <w:pStyle w:val="BodyText"/>
              <w:rPr>
                <w:lang w:val="en-NZ"/>
              </w:rPr>
            </w:pPr>
            <w:r w:rsidRPr="00C06F01">
              <w:t>Dealing with unplanned events by drawing on essential knowledge and skills to pr</w:t>
            </w:r>
            <w:r w:rsidRPr="00C06F01">
              <w:t>ovide appropriate solutions incorporated in a holistic assessment with the above listed items.</w:t>
            </w:r>
          </w:p>
        </w:tc>
      </w:tr>
      <w:tr w:rsidTr="008F0EF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C06F01" w:rsidP="00C06F01">
            <w:pPr>
              <w:pStyle w:val="BodyText"/>
            </w:pPr>
            <w:r w:rsidRPr="00C06F01">
              <w:rPr>
                <w:rStyle w:val="SpecialBold"/>
              </w:rPr>
              <w:t>Context of and specific resources for assessment</w:t>
            </w:r>
          </w:p>
        </w:tc>
        <w:tc>
          <w:tcPr>
            <w:tcW w:w="6300" w:type="dxa"/>
            <w:gridSpan w:val="4"/>
            <w:tcBorders>
              <w:top w:val="nil"/>
              <w:left w:val="nil"/>
              <w:bottom w:val="nil"/>
              <w:right w:val="nil"/>
            </w:tcBorders>
            <w:tcMar>
              <w:top w:w="0" w:type="dxa"/>
              <w:left w:w="62" w:type="dxa"/>
              <w:bottom w:w="0" w:type="dxa"/>
              <w:right w:w="62" w:type="dxa"/>
            </w:tcMar>
          </w:tcPr>
          <w:p w:rsidR="00000000" w:rsidRPr="00C06F01" w:rsidP="00C06F01">
            <w:pPr>
              <w:pStyle w:val="BodyText"/>
            </w:pPr>
            <w:r w:rsidRPr="00C06F01">
              <w:rPr>
                <w:rStyle w:val="SpecialBold"/>
              </w:rPr>
              <w:t>9.3)</w:t>
            </w:r>
            <w:r w:rsidRPr="00C06F01">
              <w:t xml:space="preserve"> </w:t>
            </w:r>
          </w:p>
          <w:p w:rsidR="00000000" w:rsidRPr="00C06F01" w:rsidP="00C06F01">
            <w:pPr>
              <w:pStyle w:val="BodyText"/>
            </w:pPr>
            <w:r w:rsidRPr="00C06F01">
              <w:t>This unit should be assessed as it relates to normal work practice using procedures, information and resources typical of a workplace. This should include:</w:t>
            </w:r>
          </w:p>
          <w:p w:rsidR="00000000" w:rsidRPr="00C06F01" w:rsidP="00C06F01">
            <w:pPr>
              <w:pStyle w:val="ListBullet"/>
            </w:pPr>
            <w:r w:rsidRPr="00C06F01">
              <w:t>OHS policy and work procedures and instructions.</w:t>
            </w:r>
          </w:p>
          <w:p w:rsidR="00000000" w:rsidRPr="00C06F01" w:rsidP="00C06F01">
            <w:pPr>
              <w:pStyle w:val="ListBullet"/>
            </w:pPr>
            <w:r w:rsidRPr="00C06F01">
              <w:t>Suitable work environment, facilities, equipment an</w:t>
            </w:r>
            <w:r w:rsidRPr="00C06F01">
              <w:t>d materials to undertake actual work as prescribed in this unit.</w:t>
            </w:r>
          </w:p>
          <w:p w:rsidR="00000000" w:rsidRPr="00C06F01" w:rsidP="00C06F01">
            <w:pPr>
              <w:pStyle w:val="BodyText"/>
            </w:pPr>
            <w:r w:rsidRPr="00C06F01">
              <w:t>These should be used in the formal learning/assessment environment.</w:t>
            </w:r>
          </w:p>
          <w:p w:rsidR="00000000" w:rsidRPr="00C06F01" w:rsidP="00C06F01">
            <w:pPr>
              <w:pStyle w:val="BodyText"/>
            </w:pPr>
            <w:r w:rsidRPr="00C06F01">
              <w:t>Note:</w:t>
            </w:r>
          </w:p>
          <w:p w:rsidR="00000000" w:rsidP="00C06F01">
            <w:pPr>
              <w:pStyle w:val="BodyText"/>
              <w:rPr>
                <w:lang w:val="en-NZ"/>
              </w:rPr>
            </w:pPr>
            <w:r w:rsidRPr="00C06F01">
              <w:t>Where simulation is considered a suitable strategy for assessment it must ensure that the conditions for assessment a</w:t>
            </w:r>
            <w:r w:rsidRPr="00C06F01">
              <w:t>re authentic and as far as possible reproduce and replicate the workplace and is consistent with the approved industry simulation policy.</w:t>
            </w:r>
          </w:p>
        </w:tc>
      </w:tr>
      <w:tr w:rsidTr="008F0EF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C06F01">
            <w:pPr>
              <w:pStyle w:val="BodyText"/>
              <w:rPr>
                <w:lang w:val="en-NZ"/>
              </w:rPr>
            </w:pPr>
            <w:r w:rsidRPr="00C06F01">
              <w:t>The resources used for assessment should reflect current industry practices in relation to sourcing and purchasing of material/parts for installation or service jobs.</w:t>
            </w:r>
          </w:p>
        </w:tc>
      </w:tr>
      <w:tr w:rsidTr="008F0EF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C06F01" w:rsidP="00C06F01">
            <w:pPr>
              <w:pStyle w:val="BodyText"/>
            </w:pPr>
            <w:r w:rsidRPr="00C06F01">
              <w:rPr>
                <w:rStyle w:val="SpecialBold"/>
              </w:rPr>
              <w:t>Method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C06F01" w:rsidP="00C06F01">
            <w:pPr>
              <w:pStyle w:val="BodyText"/>
            </w:pPr>
            <w:r w:rsidRPr="00C06F01">
              <w:rPr>
                <w:rStyle w:val="SpecialBold"/>
              </w:rPr>
              <w:t xml:space="preserve">9.4) </w:t>
            </w:r>
          </w:p>
          <w:p w:rsidR="00000000" w:rsidRPr="00C06F01" w:rsidP="00C06F01">
            <w:pPr>
              <w:pStyle w:val="BodyText"/>
            </w:pPr>
            <w:r w:rsidRPr="00C06F01">
              <w:t xml:space="preserve">This unit shall be assessed by methods given in Volume 1, </w:t>
            </w:r>
            <w:r w:rsidRPr="00C06F01">
              <w:t>Part 3 'Assessment Guidelines'.</w:t>
            </w:r>
          </w:p>
          <w:p w:rsidR="00000000" w:rsidP="00C06F01">
            <w:pPr>
              <w:pStyle w:val="BodyText"/>
              <w:rPr>
                <w:lang w:val="en-NZ"/>
              </w:rPr>
            </w:pPr>
            <w:r w:rsidRPr="00C06F01">
              <w:t xml:space="preserve">Note: </w:t>
            </w:r>
            <w:r w:rsidRPr="00C06F01">
              <w:br/>
              <w:t>Competent performance with inherent safe working practices is expected in the Industry to which this unit applies. This requires that the specified essential knowledge and associated skills are assessed in a structure</w:t>
            </w:r>
            <w:r w:rsidRPr="00C06F01">
              <w:t>d environment which is primarily intended for learning/assessment and incorporates all necessary equipment and facilities for learners to develop and demonstrate the essential knowledge and skills described in this unit.</w:t>
            </w:r>
          </w:p>
        </w:tc>
      </w:tr>
      <w:tr w:rsidTr="008F0EF4">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C06F01" w:rsidP="00C06F01">
            <w:pPr>
              <w:pStyle w:val="BodyText"/>
            </w:pPr>
            <w:r w:rsidRPr="00C06F01">
              <w:rPr>
                <w:rStyle w:val="SpecialBold"/>
              </w:rPr>
              <w:t>Concurrent assessment and relat</w:t>
            </w:r>
            <w:r w:rsidRPr="00C06F01">
              <w:rPr>
                <w:rStyle w:val="SpecialBold"/>
              </w:rPr>
              <w:t>ionship with other units</w:t>
            </w:r>
          </w:p>
        </w:tc>
        <w:tc>
          <w:tcPr>
            <w:tcW w:w="6300" w:type="dxa"/>
            <w:gridSpan w:val="4"/>
            <w:tcBorders>
              <w:top w:val="nil"/>
              <w:left w:val="nil"/>
              <w:bottom w:val="nil"/>
              <w:right w:val="nil"/>
            </w:tcBorders>
            <w:tcMar>
              <w:top w:w="0" w:type="dxa"/>
              <w:left w:w="62" w:type="dxa"/>
              <w:bottom w:w="0" w:type="dxa"/>
              <w:right w:w="62" w:type="dxa"/>
            </w:tcMar>
          </w:tcPr>
          <w:p w:rsidR="00000000" w:rsidP="00C06F01">
            <w:pPr>
              <w:pStyle w:val="BodyText"/>
              <w:rPr>
                <w:lang w:val="en-NZ"/>
              </w:rPr>
            </w:pPr>
            <w:r w:rsidRPr="00C06F01">
              <w:rPr>
                <w:rStyle w:val="SpecialBold"/>
              </w:rPr>
              <w:t>9.5)</w:t>
            </w:r>
          </w:p>
        </w:tc>
      </w:tr>
      <w:tr w:rsidTr="008F0EF4">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C06F01">
            <w:pPr>
              <w:pStyle w:val="BodyText"/>
              <w:rPr>
                <w:lang w:val="en-NZ"/>
              </w:rPr>
            </w:pPr>
            <w:r w:rsidRPr="00C06F01">
              <w:t>Granting competency in this unit shall be made only after competency in the following unit(s) has/have been confirmed:</w:t>
            </w:r>
          </w:p>
        </w:tc>
      </w:tr>
      <w:tr w:rsidTr="008F0EF4">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gridSpan w:val="3"/>
            <w:tcBorders>
              <w:top w:val="nil"/>
              <w:left w:val="nil"/>
              <w:bottom w:val="nil"/>
              <w:right w:val="nil"/>
            </w:tcBorders>
            <w:tcMar>
              <w:top w:w="0" w:type="dxa"/>
              <w:left w:w="62" w:type="dxa"/>
              <w:bottom w:w="0" w:type="dxa"/>
              <w:right w:w="62" w:type="dxa"/>
            </w:tcMar>
          </w:tcPr>
          <w:p w:rsidR="00000000" w:rsidP="00C06F01">
            <w:pPr>
              <w:pStyle w:val="BodyText"/>
              <w:rPr>
                <w:lang w:val="en-NZ"/>
              </w:rPr>
            </w:pPr>
            <w:r w:rsidRPr="00C06F01">
              <w:t>UEENEED001B</w:t>
            </w:r>
          </w:p>
        </w:tc>
        <w:tc>
          <w:tcPr>
            <w:tcW w:w="4500" w:type="dxa"/>
            <w:tcBorders>
              <w:top w:val="nil"/>
              <w:left w:val="nil"/>
              <w:bottom w:val="nil"/>
              <w:right w:val="nil"/>
            </w:tcBorders>
            <w:tcMar>
              <w:top w:w="0" w:type="dxa"/>
              <w:left w:w="62" w:type="dxa"/>
              <w:bottom w:w="0" w:type="dxa"/>
              <w:right w:w="62" w:type="dxa"/>
            </w:tcMar>
          </w:tcPr>
          <w:p w:rsidR="00000000" w:rsidRPr="00C06F01" w:rsidP="00C06F01">
            <w:pPr>
              <w:pStyle w:val="BodyText"/>
            </w:pPr>
            <w:r w:rsidRPr="00C06F01">
              <w:t>Use basic computer applications</w:t>
            </w:r>
          </w:p>
        </w:tc>
      </w:tr>
    </w:tbl>
    <w:p w:rsidR="008F0EF4" w:rsidP="00C06F01">
      <w:pPr>
        <w:pStyle w:val="BodyText"/>
      </w:pPr>
    </w:p>
    <w:p w:rsidR="008F0EF4" w:rsidP="00C06F01">
      <w:pPr>
        <w:pStyle w:val="BodyText"/>
      </w:pPr>
    </w:p>
    <w:p w:rsidR="00000000" w:rsidRPr="00C06F01" w:rsidP="00C06F01">
      <w:pPr>
        <w:pStyle w:val="Heading1"/>
      </w:pPr>
      <w:bookmarkStart w:id="11" w:name="O_436257"/>
      <w:bookmarkEnd w:id="11"/>
      <w:r w:rsidRPr="00C06F01">
        <w:t>Range Statement</w:t>
      </w:r>
    </w:p>
    <w:tbl>
      <w:tblPr>
        <w:tblW w:w="0" w:type="auto"/>
        <w:tblLayout w:type="fixed"/>
        <w:tblCellMar>
          <w:left w:w="62" w:type="dxa"/>
          <w:right w:w="62" w:type="dxa"/>
        </w:tblCellMar>
        <w:tblLook w:val="0000"/>
      </w:tblPr>
      <w:tblGrid>
        <w:gridCol w:w="8460"/>
      </w:tblGrid>
      <w:tr w:rsidTr="008F0EF4">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C06F01">
            <w:pPr>
              <w:pStyle w:val="BodyText"/>
              <w:rPr>
                <w:lang w:val="en-NZ"/>
              </w:rPr>
            </w:pPr>
            <w:r w:rsidRPr="00C06F01">
              <w:rPr>
                <w:rStyle w:val="SpecialBold"/>
              </w:rPr>
              <w:t>RANGE STATEMENT</w:t>
            </w:r>
          </w:p>
        </w:tc>
      </w:tr>
      <w:tr w:rsidTr="008F0EF4">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C06F01">
            <w:pPr>
              <w:pStyle w:val="BodyText"/>
              <w:rPr>
                <w:lang w:val="en-NZ"/>
              </w:rPr>
            </w:pPr>
            <w:r w:rsidRPr="00C06F01">
              <w:rPr>
                <w:rStyle w:val="SpecialBold"/>
              </w:rPr>
              <w:t>10)</w:t>
            </w:r>
            <w:r w:rsidRPr="00C06F01">
              <w:t xml:space="preserve"> This relates to the unit as a whole providing the range of contexts and conditions to which the performance criteria apply. It allows for different work environments and situations that will affect performance.</w:t>
            </w:r>
          </w:p>
        </w:tc>
      </w:tr>
      <w:tr w:rsidTr="008F0EF4">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C06F01">
            <w:pPr>
              <w:pStyle w:val="BodyText"/>
              <w:rPr>
                <w:lang w:val="en-NZ"/>
              </w:rPr>
            </w:pPr>
            <w:r w:rsidRPr="00C06F01">
              <w:t>This unit must be demonstrated in relation to sourcing and purchasing materials/parts for at least two installation jobs, two service job or one installation and one service job and may apply to any of the following electrotechnology disciplines.</w:t>
            </w:r>
          </w:p>
        </w:tc>
      </w:tr>
      <w:tr w:rsidTr="008F0EF4">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C06F01" w:rsidP="00C06F01">
            <w:pPr>
              <w:pStyle w:val="ListBullet3"/>
            </w:pPr>
            <w:r w:rsidRPr="00C06F01">
              <w:t>Automat</w:t>
            </w:r>
            <w:r w:rsidRPr="00C06F01">
              <w:t>ion technologies</w:t>
            </w:r>
          </w:p>
          <w:p w:rsidR="00000000" w:rsidRPr="00C06F01" w:rsidP="00C06F01">
            <w:pPr>
              <w:pStyle w:val="ListBullet3"/>
            </w:pPr>
            <w:r w:rsidRPr="00C06F01">
              <w:t>Computers</w:t>
            </w:r>
          </w:p>
          <w:p w:rsidR="00000000" w:rsidRPr="00C06F01" w:rsidP="00C06F01">
            <w:pPr>
              <w:pStyle w:val="ListBullet3"/>
            </w:pPr>
            <w:r w:rsidRPr="00C06F01">
              <w:t>Data Communications</w:t>
            </w:r>
          </w:p>
          <w:p w:rsidR="00000000" w:rsidRPr="00C06F01" w:rsidP="00C06F01">
            <w:pPr>
              <w:pStyle w:val="ListBullet3"/>
            </w:pPr>
            <w:r w:rsidRPr="00C06F01">
              <w:t>Electrical</w:t>
            </w:r>
          </w:p>
          <w:p w:rsidR="00000000" w:rsidRPr="00C06F01" w:rsidP="00C06F01">
            <w:pPr>
              <w:pStyle w:val="ListBullet3"/>
            </w:pPr>
            <w:r w:rsidRPr="00C06F01">
              <w:t>Electrical Machines</w:t>
            </w:r>
          </w:p>
          <w:p w:rsidR="00000000" w:rsidRPr="00C06F01" w:rsidP="00C06F01">
            <w:pPr>
              <w:pStyle w:val="ListBullet3"/>
            </w:pPr>
            <w:r w:rsidRPr="00C06F01">
              <w:t>Electronics</w:t>
            </w:r>
          </w:p>
          <w:p w:rsidR="00000000" w:rsidRPr="00C06F01" w:rsidP="00C06F01">
            <w:pPr>
              <w:pStyle w:val="ListBullet3"/>
            </w:pPr>
            <w:r w:rsidRPr="00C06F01">
              <w:t>Fire Protection</w:t>
            </w:r>
          </w:p>
          <w:p w:rsidR="00000000" w:rsidRPr="00C06F01" w:rsidP="00C06F01">
            <w:pPr>
              <w:pStyle w:val="ListBullet3"/>
            </w:pPr>
            <w:r w:rsidRPr="00C06F01">
              <w:t>Instrumentation</w:t>
            </w:r>
          </w:p>
          <w:p w:rsidR="00000000" w:rsidRPr="00C06F01" w:rsidP="00C06F01">
            <w:pPr>
              <w:pStyle w:val="ListBullet3"/>
            </w:pPr>
            <w:r w:rsidRPr="00C06F01">
              <w:t>Refrigeration and Air Conditioning</w:t>
            </w:r>
          </w:p>
          <w:p w:rsidR="00000000" w:rsidRPr="00C06F01" w:rsidP="00C06F01">
            <w:pPr>
              <w:pStyle w:val="ListBullet3"/>
            </w:pPr>
            <w:r w:rsidRPr="00C06F01">
              <w:t>Renewable/sustainable energy, and</w:t>
            </w:r>
          </w:p>
          <w:p w:rsidR="00000000" w:rsidP="00C06F01">
            <w:pPr>
              <w:pStyle w:val="ListBullet3"/>
              <w:rPr>
                <w:lang w:val="en-NZ"/>
              </w:rPr>
            </w:pPr>
            <w:r w:rsidRPr="00C06F01">
              <w:t>Security technology</w:t>
            </w:r>
          </w:p>
        </w:tc>
      </w:tr>
      <w:tr w:rsidTr="008F0EF4">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C06F01" w:rsidP="00C06F01">
            <w:pPr>
              <w:pStyle w:val="BodyText"/>
            </w:pPr>
            <w:r w:rsidRPr="00C06F01">
              <w:t>Generic terms used throughout this Vocational Standard shall be regarded as part of the Range Statement in which competency is demonstrated. The definition of these and other terms that apply are given in Volume 2, Part 2.1.</w:t>
            </w:r>
          </w:p>
        </w:tc>
      </w:tr>
    </w:tbl>
    <w:p w:rsidR="008F0EF4" w:rsidP="00C06F01">
      <w:pPr>
        <w:pStyle w:val="BodyText"/>
      </w:pPr>
    </w:p>
    <w:p w:rsidR="008F0EF4" w:rsidP="00C06F01">
      <w:pPr>
        <w:pStyle w:val="BodyText"/>
      </w:pPr>
    </w:p>
    <w:p w:rsidR="00000000" w:rsidRPr="00C06F01" w:rsidP="00C06F01">
      <w:pPr>
        <w:pStyle w:val="Heading1"/>
      </w:pPr>
      <w:bookmarkStart w:id="12" w:name="O_436254"/>
      <w:bookmarkEnd w:id="12"/>
      <w:r w:rsidRPr="00C06F01">
        <w:t>Unit Sector</w:t>
      </w:r>
      <w:r w:rsidRPr="00C06F01">
        <w:t>(s)</w:t>
      </w:r>
    </w:p>
    <w:p w:rsidR="00000000" w:rsidRPr="00C06F01" w:rsidP="00C06F01">
      <w:pPr>
        <w:pStyle w:val="BodyText"/>
      </w:pPr>
      <w:r w:rsidRPr="00C06F01">
        <w:t>Not Applicable</w:t>
      </w:r>
    </w:p>
    <w:p w:rsidR="00000000" w:rsidRPr="00C06F01" w:rsidP="00C06F01">
      <w:pPr>
        <w:pStyle w:val="AllowPageBreak"/>
      </w:pPr>
    </w:p>
    <w:p w:rsidR="00000000" w:rsidRPr="00C06F01" w:rsidP="00C06F01">
      <w:pPr>
        <w:pStyle w:val="Heading1"/>
      </w:pPr>
      <w:bookmarkStart w:id="13" w:name="O_436267"/>
      <w:bookmarkEnd w:id="13"/>
      <w:r w:rsidRPr="00C06F01">
        <w:t>Competency Field</w:t>
      </w:r>
    </w:p>
    <w:tbl>
      <w:tblPr>
        <w:tblW w:w="0" w:type="auto"/>
        <w:tblLayout w:type="fixed"/>
        <w:tblCellMar>
          <w:left w:w="62" w:type="dxa"/>
          <w:right w:w="62" w:type="dxa"/>
        </w:tblCellMar>
        <w:tblLook w:val="0000"/>
      </w:tblPr>
      <w:tblGrid>
        <w:gridCol w:w="2700"/>
        <w:gridCol w:w="5760"/>
      </w:tblGrid>
      <w:tr w:rsidTr="008F0EF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06F01" w:rsidP="00C06F01">
            <w:pPr>
              <w:pStyle w:val="BodyText"/>
            </w:pPr>
            <w:r w:rsidRPr="00C06F01">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C06F01">
            <w:pPr>
              <w:pStyle w:val="BodyText"/>
              <w:rPr>
                <w:lang w:val="en-NZ"/>
              </w:rPr>
            </w:pPr>
            <w:r w:rsidRPr="00C06F01">
              <w:rPr>
                <w:rStyle w:val="SpecialBold"/>
              </w:rPr>
              <w:t>11)</w:t>
            </w:r>
          </w:p>
        </w:tc>
      </w:tr>
      <w:tr w:rsidTr="008F0EF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06F01" w:rsidP="00C06F01">
            <w:pPr>
              <w:pStyle w:val="BodyText"/>
            </w:pPr>
            <w:r w:rsidRPr="00C06F01">
              <w:t>Commercial</w:t>
            </w:r>
          </w:p>
        </w:tc>
      </w:tr>
    </w:tbl>
    <w:p w:rsidR="00000000" w:rsidRPr="00C06F01" w:rsidP="00C06F01">
      <w:pPr>
        <w:pStyle w:val="BodyText"/>
      </w:pPr>
    </w:p>
    <w:p w:rsidR="00000000" w:rsidRPr="00C06F01" w:rsidP="00C06F01"/>
    <w:sectPr w:rsidSect="00C06F0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6F0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F0EF4" w:rsidP="008F0EF4">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6F0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0EF4" w:rsidP="00C06F01">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8F0EF4" w:rsidP="00C06F0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8F0EF4" w:rsidP="00C06F0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6F0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6F01" w:rsidRPr="008F0EF4" w:rsidP="008F0EF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6F0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0EF4" w:rsidRPr="002D2AF8" w:rsidP="00C06F01">
    <w:pPr>
      <w:pStyle w:val="Header"/>
      <w:framePr w:wrap="around"/>
    </w:pPr>
    <w:r>
      <w:fldChar w:fldCharType="begin"/>
    </w:r>
    <w:r>
      <w:instrText xml:space="preserve"> TITLE   \* MERGEFORMAT </w:instrText>
    </w:r>
    <w:r>
      <w:fldChar w:fldCharType="separate"/>
    </w:r>
    <w:r>
      <w:t>UEENEEC002B Source and purchase material/parts for installation or service jobs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8F0EF4" w:rsidP="00C06F0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7D0D1B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6769AF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8FC3D2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6F0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06F01"/>
    <w:pPr>
      <w:spacing w:before="360" w:after="60"/>
      <w:outlineLvl w:val="0"/>
    </w:pPr>
    <w:rPr>
      <w:sz w:val="32"/>
    </w:rPr>
  </w:style>
  <w:style w:type="paragraph" w:styleId="Heading2">
    <w:name w:val="heading 2"/>
    <w:basedOn w:val="HeadingBase"/>
    <w:next w:val="BodyText"/>
    <w:link w:val="Heading2Char"/>
    <w:qFormat/>
    <w:rsid w:val="00C06F01"/>
    <w:pPr>
      <w:keepLines/>
      <w:spacing w:before="240" w:after="120"/>
      <w:outlineLvl w:val="1"/>
    </w:pPr>
    <w:rPr>
      <w:sz w:val="28"/>
      <w:szCs w:val="40"/>
    </w:rPr>
  </w:style>
  <w:style w:type="paragraph" w:styleId="Heading3">
    <w:name w:val="heading 3"/>
    <w:basedOn w:val="HeadingBase"/>
    <w:next w:val="BodyText"/>
    <w:link w:val="Heading3Char"/>
    <w:qFormat/>
    <w:rsid w:val="00C06F01"/>
    <w:pPr>
      <w:spacing w:before="180" w:after="120"/>
      <w:outlineLvl w:val="2"/>
    </w:pPr>
    <w:rPr>
      <w:spacing w:val="-10"/>
      <w:kern w:val="32"/>
    </w:rPr>
  </w:style>
  <w:style w:type="paragraph" w:styleId="Heading4">
    <w:name w:val="heading 4"/>
    <w:basedOn w:val="HeadingBase"/>
    <w:next w:val="BodyText"/>
    <w:link w:val="Heading4Char"/>
    <w:qFormat/>
    <w:rsid w:val="00C06F01"/>
    <w:pPr>
      <w:spacing w:before="160" w:after="120"/>
      <w:outlineLvl w:val="3"/>
    </w:pPr>
    <w:rPr>
      <w:sz w:val="22"/>
    </w:rPr>
  </w:style>
  <w:style w:type="paragraph" w:styleId="Heading5">
    <w:name w:val="heading 5"/>
    <w:basedOn w:val="HeadingBase"/>
    <w:next w:val="Normal"/>
    <w:link w:val="Heading5Char"/>
    <w:qFormat/>
    <w:rsid w:val="00C06F01"/>
    <w:pPr>
      <w:spacing w:before="80"/>
      <w:outlineLvl w:val="4"/>
    </w:pPr>
    <w:rPr>
      <w:color w:val="918585"/>
      <w:sz w:val="20"/>
    </w:rPr>
  </w:style>
  <w:style w:type="paragraph" w:styleId="Heading6">
    <w:name w:val="heading 6"/>
    <w:basedOn w:val="HeadingBase"/>
    <w:next w:val="Normal"/>
    <w:link w:val="Heading6Char"/>
    <w:qFormat/>
    <w:rsid w:val="00C06F01"/>
    <w:pPr>
      <w:spacing w:before="60"/>
      <w:outlineLvl w:val="5"/>
    </w:pPr>
    <w:rPr>
      <w:color w:val="918585"/>
      <w:sz w:val="20"/>
    </w:rPr>
  </w:style>
  <w:style w:type="paragraph" w:styleId="Heading7">
    <w:name w:val="heading 7"/>
    <w:basedOn w:val="Normal"/>
    <w:next w:val="Normal"/>
    <w:link w:val="Heading7Char"/>
    <w:qFormat/>
    <w:rsid w:val="00C06F01"/>
    <w:pPr>
      <w:ind w:left="720"/>
      <w:outlineLvl w:val="6"/>
    </w:pPr>
    <w:rPr>
      <w:i/>
    </w:rPr>
  </w:style>
  <w:style w:type="paragraph" w:styleId="Heading8">
    <w:name w:val="heading 8"/>
    <w:basedOn w:val="Normal"/>
    <w:next w:val="Normal"/>
    <w:link w:val="Heading8Char"/>
    <w:qFormat/>
    <w:rsid w:val="00C06F01"/>
    <w:pPr>
      <w:ind w:left="720"/>
      <w:outlineLvl w:val="7"/>
    </w:pPr>
    <w:rPr>
      <w:i/>
    </w:rPr>
  </w:style>
  <w:style w:type="paragraph" w:styleId="Heading9">
    <w:name w:val="heading 9"/>
    <w:basedOn w:val="Normal"/>
    <w:next w:val="Normal"/>
    <w:link w:val="Heading9Char"/>
    <w:qFormat/>
    <w:rsid w:val="00C06F01"/>
    <w:pPr>
      <w:ind w:left="720"/>
      <w:outlineLvl w:val="8"/>
    </w:pPr>
    <w:rPr>
      <w:i/>
    </w:rPr>
  </w:style>
  <w:style w:type="character" w:default="1" w:styleId="DefaultParagraphFont">
    <w:name w:val="Default Paragraph Font"/>
    <w:uiPriority w:val="1"/>
    <w:unhideWhenUsed/>
    <w:rsid w:val="00C06F0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06F01"/>
  </w:style>
  <w:style w:type="character" w:customStyle="1" w:styleId="Heading1Char">
    <w:name w:val="Heading 1 Char"/>
    <w:basedOn w:val="DefaultParagraphFont"/>
    <w:link w:val="Heading1"/>
    <w:rsid w:val="00C06F01"/>
    <w:rPr>
      <w:rFonts w:ascii="Times New Roman" w:eastAsia="Times New Roman" w:hAnsi="Times New Roman" w:cs="Times New Roman"/>
      <w:b/>
      <w:sz w:val="32"/>
      <w:szCs w:val="20"/>
      <w:lang w:eastAsia="en-US"/>
    </w:rPr>
  </w:style>
  <w:style w:type="paragraph" w:styleId="BodyText">
    <w:name w:val="Body Text"/>
    <w:basedOn w:val="Normal"/>
    <w:link w:val="BodyTextChar"/>
    <w:rsid w:val="00C06F0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06F01"/>
    <w:rPr>
      <w:rFonts w:ascii="Times New Roman" w:eastAsia="Times New Roman" w:hAnsi="Times New Roman" w:cs="Times New Roman"/>
      <w:sz w:val="24"/>
      <w:lang w:eastAsia="en-US"/>
    </w:rPr>
  </w:style>
  <w:style w:type="paragraph" w:styleId="Footer">
    <w:name w:val="footer"/>
    <w:basedOn w:val="Normal"/>
    <w:link w:val="FooterChar"/>
    <w:rsid w:val="00C06F0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06F01"/>
    <w:rPr>
      <w:rFonts w:ascii="Times New Roman" w:eastAsia="Times New Roman" w:hAnsi="Times New Roman" w:cs="Times New Roman"/>
      <w:sz w:val="16"/>
      <w:lang w:eastAsia="en-US"/>
    </w:rPr>
  </w:style>
  <w:style w:type="paragraph" w:styleId="ListBullet">
    <w:name w:val="List Bullet"/>
    <w:basedOn w:val="List"/>
    <w:rsid w:val="00C06F01"/>
    <w:pPr>
      <w:numPr>
        <w:numId w:val="14"/>
      </w:numPr>
      <w:tabs>
        <w:tab w:val="clear" w:pos="340"/>
      </w:tabs>
      <w:spacing w:before="40" w:after="40"/>
    </w:pPr>
  </w:style>
  <w:style w:type="character" w:customStyle="1" w:styleId="SpecialBold">
    <w:name w:val="Special Bold"/>
    <w:basedOn w:val="DefaultParagraphFont"/>
    <w:rsid w:val="00C06F01"/>
    <w:rPr>
      <w:b/>
      <w:spacing w:val="0"/>
    </w:rPr>
  </w:style>
  <w:style w:type="paragraph" w:styleId="ListBullet2">
    <w:name w:val="List Bullet 2"/>
    <w:basedOn w:val="List2"/>
    <w:rsid w:val="00C06F01"/>
    <w:pPr>
      <w:numPr>
        <w:numId w:val="15"/>
      </w:numPr>
      <w:tabs>
        <w:tab w:val="clear" w:pos="680"/>
      </w:tabs>
    </w:pPr>
  </w:style>
  <w:style w:type="paragraph" w:customStyle="1" w:styleId="SuperHeading">
    <w:name w:val="SuperHeading"/>
    <w:basedOn w:val="Normal"/>
    <w:rsid w:val="00C06F01"/>
    <w:pPr>
      <w:spacing w:before="240" w:after="120"/>
      <w:outlineLvl w:val="0"/>
    </w:pPr>
    <w:rPr>
      <w:rFonts w:ascii="Times New Roman" w:hAnsi="Times New Roman"/>
      <w:b/>
      <w:sz w:val="28"/>
    </w:rPr>
  </w:style>
  <w:style w:type="paragraph" w:customStyle="1" w:styleId="AllowPageBreak">
    <w:name w:val="AllowPageBreak"/>
    <w:rsid w:val="00C06F01"/>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C06F01"/>
    <w:pPr>
      <w:numPr>
        <w:numId w:val="3"/>
      </w:numPr>
      <w:tabs>
        <w:tab w:val="clear" w:pos="1021"/>
      </w:tabs>
      <w:ind w:left="1037" w:hanging="357"/>
    </w:pPr>
  </w:style>
  <w:style w:type="character" w:customStyle="1" w:styleId="Heading2Char">
    <w:name w:val="Heading 2 Char"/>
    <w:basedOn w:val="DefaultParagraphFont"/>
    <w:link w:val="Heading2"/>
    <w:rsid w:val="00C06F0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06F0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06F0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06F0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06F0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06F0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06F0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06F01"/>
    <w:rPr>
      <w:rFonts w:ascii="Courier New" w:eastAsia="Times New Roman" w:hAnsi="Courier New" w:cs="Times New Roman"/>
      <w:i/>
      <w:szCs w:val="20"/>
      <w:lang w:eastAsia="en-US"/>
    </w:rPr>
  </w:style>
  <w:style w:type="paragraph" w:customStyle="1" w:styleId="HeadingBase">
    <w:name w:val="Heading Base"/>
    <w:rsid w:val="00C06F0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06F01"/>
    <w:pPr>
      <w:tabs>
        <w:tab w:val="right" w:leader="dot" w:pos="9072"/>
      </w:tabs>
      <w:ind w:left="567"/>
    </w:pPr>
    <w:rPr>
      <w:szCs w:val="22"/>
    </w:rPr>
  </w:style>
  <w:style w:type="paragraph" w:customStyle="1" w:styleId="TOCBase">
    <w:name w:val="TOC Base"/>
    <w:rsid w:val="00C06F0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06F01"/>
    <w:pPr>
      <w:tabs>
        <w:tab w:val="right" w:leader="dot" w:pos="9072"/>
      </w:tabs>
      <w:spacing w:before="40" w:after="40"/>
      <w:ind w:left="284"/>
    </w:pPr>
    <w:rPr>
      <w:rFonts w:ascii="Times New Roman" w:hAnsi="Times New Roman"/>
    </w:rPr>
  </w:style>
  <w:style w:type="paragraph" w:styleId="TOC1">
    <w:name w:val="toc 1"/>
    <w:basedOn w:val="TOCBase"/>
    <w:next w:val="Normal"/>
    <w:rsid w:val="00C06F0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06F01"/>
    <w:pPr>
      <w:spacing w:before="5040"/>
      <w:jc w:val="center"/>
    </w:pPr>
    <w:rPr>
      <w:sz w:val="48"/>
      <w:szCs w:val="72"/>
      <w:lang w:val="en-US"/>
    </w:rPr>
  </w:style>
  <w:style w:type="character" w:customStyle="1" w:styleId="TitleChar">
    <w:name w:val="Title Char"/>
    <w:basedOn w:val="DefaultParagraphFont"/>
    <w:link w:val="Title"/>
    <w:rsid w:val="00C06F0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06F01"/>
    <w:pPr>
      <w:tabs>
        <w:tab w:val="left" w:pos="3600"/>
        <w:tab w:val="left" w:pos="3958"/>
      </w:tabs>
    </w:pPr>
  </w:style>
  <w:style w:type="paragraph" w:styleId="List">
    <w:name w:val="List"/>
    <w:basedOn w:val="BodyText"/>
    <w:next w:val="BodyText"/>
    <w:rsid w:val="00C06F01"/>
    <w:pPr>
      <w:tabs>
        <w:tab w:val="left" w:pos="340"/>
      </w:tabs>
      <w:spacing w:before="60" w:after="60"/>
      <w:ind w:left="340" w:hanging="340"/>
    </w:pPr>
  </w:style>
  <w:style w:type="paragraph" w:customStyle="1" w:styleId="Note">
    <w:name w:val="Note"/>
    <w:basedOn w:val="BodyText"/>
    <w:rsid w:val="00C06F0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06F01"/>
    <w:pPr>
      <w:framePr w:wrap="auto" w:hAnchor="text" w:y="6049"/>
    </w:pPr>
    <w:rPr>
      <w:color w:val="000000"/>
      <w:sz w:val="40"/>
    </w:rPr>
  </w:style>
  <w:style w:type="paragraph" w:customStyle="1" w:styleId="TOCTitle">
    <w:name w:val="TOCTitle"/>
    <w:basedOn w:val="Heading1"/>
    <w:rsid w:val="00C06F01"/>
    <w:pPr>
      <w:spacing w:after="240"/>
      <w:jc w:val="center"/>
      <w:outlineLvl w:val="9"/>
    </w:pPr>
    <w:rPr>
      <w:caps/>
    </w:rPr>
  </w:style>
  <w:style w:type="paragraph" w:customStyle="1" w:styleId="Version">
    <w:name w:val="Version"/>
    <w:rsid w:val="00C06F0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06F01"/>
    <w:pPr>
      <w:keepNext w:val="0"/>
      <w:tabs>
        <w:tab w:val="right" w:pos="4176"/>
      </w:tabs>
      <w:ind w:left="198" w:hanging="198"/>
    </w:pPr>
    <w:rPr>
      <w:rFonts w:ascii="Garamond" w:hAnsi="Garamond"/>
    </w:rPr>
  </w:style>
  <w:style w:type="paragraph" w:styleId="IndexHeading">
    <w:name w:val="index heading"/>
    <w:basedOn w:val="Normal"/>
    <w:next w:val="Index1"/>
    <w:semiHidden/>
    <w:rsid w:val="00C06F01"/>
    <w:pPr>
      <w:spacing w:before="120" w:after="120"/>
    </w:pPr>
    <w:rPr>
      <w:rFonts w:ascii="Arial" w:hAnsi="Arial"/>
      <w:b/>
      <w:color w:val="918585"/>
      <w:sz w:val="24"/>
    </w:rPr>
  </w:style>
  <w:style w:type="paragraph" w:styleId="Header">
    <w:name w:val="header"/>
    <w:basedOn w:val="Normal"/>
    <w:link w:val="HeaderChar"/>
    <w:rsid w:val="00C06F0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06F01"/>
    <w:rPr>
      <w:rFonts w:ascii="Times New Roman" w:eastAsia="Times New Roman" w:hAnsi="Times New Roman" w:cs="Times New Roman"/>
      <w:sz w:val="16"/>
      <w:szCs w:val="20"/>
      <w:lang w:val="en-GB" w:eastAsia="en-US"/>
    </w:rPr>
  </w:style>
  <w:style w:type="paragraph" w:customStyle="1" w:styleId="Chapter">
    <w:name w:val="Chapter"/>
    <w:basedOn w:val="Normal"/>
    <w:rsid w:val="00C06F01"/>
    <w:pPr>
      <w:spacing w:before="240"/>
    </w:pPr>
    <w:rPr>
      <w:rFonts w:ascii="Times New Roman" w:hAnsi="Times New Roman"/>
      <w:smallCaps/>
      <w:spacing w:val="80"/>
      <w:sz w:val="28"/>
    </w:rPr>
  </w:style>
  <w:style w:type="paragraph" w:customStyle="1" w:styleId="InChapter">
    <w:name w:val="InChapter"/>
    <w:basedOn w:val="Heading3"/>
    <w:rsid w:val="00C06F01"/>
    <w:pPr>
      <w:spacing w:after="240"/>
      <w:outlineLvl w:val="9"/>
    </w:pPr>
    <w:rPr>
      <w:noProof/>
    </w:rPr>
  </w:style>
  <w:style w:type="paragraph" w:styleId="Index2">
    <w:name w:val="index 2"/>
    <w:basedOn w:val="Normal"/>
    <w:next w:val="Normal"/>
    <w:semiHidden/>
    <w:rsid w:val="00C06F01"/>
    <w:pPr>
      <w:tabs>
        <w:tab w:val="right" w:pos="4176"/>
      </w:tabs>
      <w:ind w:left="568" w:hanging="284"/>
    </w:pPr>
    <w:rPr>
      <w:rFonts w:ascii="Garamond" w:hAnsi="Garamond"/>
    </w:rPr>
  </w:style>
  <w:style w:type="paragraph" w:customStyle="1" w:styleId="Byline">
    <w:name w:val="Byline"/>
    <w:rsid w:val="00C06F0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06F01"/>
    <w:pPr>
      <w:tabs>
        <w:tab w:val="clear" w:pos="3600"/>
        <w:tab w:val="clear" w:pos="3958"/>
      </w:tabs>
      <w:jc w:val="right"/>
    </w:pPr>
  </w:style>
  <w:style w:type="character" w:styleId="Emphasis">
    <w:name w:val="Emphasis"/>
    <w:basedOn w:val="DefaultParagraphFont"/>
    <w:qFormat/>
    <w:rsid w:val="00C06F01"/>
    <w:rPr>
      <w:i/>
    </w:rPr>
  </w:style>
  <w:style w:type="paragraph" w:styleId="Caption">
    <w:name w:val="caption"/>
    <w:basedOn w:val="BodyText"/>
    <w:next w:val="Normal"/>
    <w:qFormat/>
    <w:rsid w:val="00C06F01"/>
    <w:pPr>
      <w:framePr w:w="2268" w:hSpace="181" w:vSpace="181" w:wrap="around" w:vAnchor="text" w:hAnchor="page" w:x="1135" w:y="285" w:anchorLock="1"/>
    </w:pPr>
    <w:rPr>
      <w:i/>
    </w:rPr>
  </w:style>
  <w:style w:type="paragraph" w:customStyle="1" w:styleId="MiniTOCTitle">
    <w:name w:val="MiniTOCTitle"/>
    <w:basedOn w:val="Heading4"/>
    <w:rsid w:val="00C06F01"/>
    <w:pPr>
      <w:spacing w:before="240"/>
      <w:outlineLvl w:val="9"/>
    </w:pPr>
    <w:rPr>
      <w:noProof/>
      <w:sz w:val="24"/>
    </w:rPr>
  </w:style>
  <w:style w:type="paragraph" w:customStyle="1" w:styleId="MiniTOCItem">
    <w:name w:val="MiniTOCItem"/>
    <w:basedOn w:val="ListBullet"/>
    <w:rsid w:val="00C06F01"/>
    <w:pPr>
      <w:numPr>
        <w:numId w:val="0"/>
      </w:numPr>
      <w:tabs>
        <w:tab w:val="right" w:leader="dot" w:pos="6521"/>
      </w:tabs>
      <w:spacing w:before="0" w:after="0"/>
    </w:pPr>
  </w:style>
  <w:style w:type="paragraph" w:customStyle="1" w:styleId="TOFTitle">
    <w:name w:val="TOFTitle"/>
    <w:basedOn w:val="TOCTitle"/>
    <w:rsid w:val="00C06F01"/>
  </w:style>
  <w:style w:type="paragraph" w:styleId="TableofFigures">
    <w:name w:val="table of figures"/>
    <w:basedOn w:val="Normal"/>
    <w:next w:val="Normal"/>
    <w:semiHidden/>
    <w:rsid w:val="00C06F01"/>
    <w:pPr>
      <w:tabs>
        <w:tab w:val="right" w:leader="dot" w:pos="9072"/>
      </w:tabs>
      <w:ind w:left="970" w:hanging="403"/>
    </w:pPr>
    <w:rPr>
      <w:rFonts w:ascii="Times New Roman" w:hAnsi="Times New Roman"/>
      <w:b/>
    </w:rPr>
  </w:style>
  <w:style w:type="paragraph" w:styleId="ListNumber">
    <w:name w:val="List Number"/>
    <w:basedOn w:val="List"/>
    <w:rsid w:val="00C06F01"/>
    <w:pPr>
      <w:numPr>
        <w:numId w:val="12"/>
      </w:numPr>
    </w:pPr>
  </w:style>
  <w:style w:type="character" w:customStyle="1" w:styleId="WingdingSymbols">
    <w:name w:val="Wingding Symbols"/>
    <w:rsid w:val="00C06F01"/>
    <w:rPr>
      <w:rFonts w:ascii="Wingdings" w:hAnsi="Wingdings"/>
    </w:rPr>
  </w:style>
  <w:style w:type="paragraph" w:customStyle="1" w:styleId="TableHeading">
    <w:name w:val="Table Heading"/>
    <w:basedOn w:val="HeadingBase"/>
    <w:rsid w:val="00C06F01"/>
    <w:pPr>
      <w:keepLines/>
      <w:pBdr>
        <w:bottom w:val="single" w:sz="6" w:space="1" w:color="918585"/>
      </w:pBdr>
      <w:spacing w:before="240"/>
    </w:pPr>
  </w:style>
  <w:style w:type="character" w:customStyle="1" w:styleId="HotSpot">
    <w:name w:val="HotSpot"/>
    <w:rsid w:val="00C06F01"/>
    <w:rPr>
      <w:color w:val="0033CC"/>
      <w:u w:val="none"/>
    </w:rPr>
  </w:style>
  <w:style w:type="paragraph" w:customStyle="1" w:styleId="BodyTextRight">
    <w:name w:val="Body Text Right"/>
    <w:basedOn w:val="BodyText"/>
    <w:rsid w:val="00C06F01"/>
    <w:pPr>
      <w:spacing w:before="0" w:after="0"/>
      <w:jc w:val="right"/>
    </w:pPr>
  </w:style>
  <w:style w:type="paragraph" w:styleId="Index3">
    <w:name w:val="index 3"/>
    <w:basedOn w:val="ListNumber2"/>
    <w:next w:val="Normal"/>
    <w:semiHidden/>
    <w:rsid w:val="00C06F01"/>
    <w:pPr>
      <w:numPr>
        <w:numId w:val="0"/>
      </w:numPr>
      <w:tabs>
        <w:tab w:val="right" w:leader="dot" w:pos="4176"/>
      </w:tabs>
    </w:pPr>
  </w:style>
  <w:style w:type="paragraph" w:styleId="ListNumber2">
    <w:name w:val="List Number 2"/>
    <w:basedOn w:val="List2"/>
    <w:rsid w:val="00C06F01"/>
    <w:pPr>
      <w:numPr>
        <w:numId w:val="11"/>
      </w:numPr>
      <w:tabs>
        <w:tab w:val="clear" w:pos="1060"/>
      </w:tabs>
    </w:pPr>
  </w:style>
  <w:style w:type="paragraph" w:customStyle="1" w:styleId="MarginNote">
    <w:name w:val="Margin Note"/>
    <w:basedOn w:val="BodyText"/>
    <w:rsid w:val="00C06F0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06F0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06F0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06F01"/>
    <w:rPr>
      <w:sz w:val="32"/>
    </w:rPr>
  </w:style>
  <w:style w:type="paragraph" w:customStyle="1" w:styleId="HeadingProcedure">
    <w:name w:val="Heading Procedure"/>
    <w:basedOn w:val="HeadingBase"/>
    <w:next w:val="Normal"/>
    <w:rsid w:val="00C06F01"/>
    <w:pPr>
      <w:tabs>
        <w:tab w:val="left" w:pos="0"/>
      </w:tabs>
      <w:spacing w:before="120" w:after="60"/>
    </w:pPr>
    <w:rPr>
      <w:i/>
      <w:color w:val="918585"/>
      <w:sz w:val="22"/>
    </w:rPr>
  </w:style>
  <w:style w:type="paragraph" w:customStyle="1" w:styleId="TableBodyText">
    <w:name w:val="Table Body Text"/>
    <w:basedOn w:val="BodyText"/>
    <w:rsid w:val="00C06F01"/>
    <w:pPr>
      <w:spacing w:before="60" w:after="60"/>
    </w:pPr>
  </w:style>
  <w:style w:type="paragraph" w:styleId="ListContinue">
    <w:name w:val="List Continue"/>
    <w:basedOn w:val="List"/>
    <w:rsid w:val="00C06F01"/>
    <w:pPr>
      <w:ind w:firstLine="0"/>
    </w:pPr>
  </w:style>
  <w:style w:type="paragraph" w:customStyle="1" w:styleId="ListNote">
    <w:name w:val="List Note"/>
    <w:basedOn w:val="List"/>
    <w:rsid w:val="00C06F01"/>
    <w:pPr>
      <w:pBdr>
        <w:top w:val="single" w:sz="6" w:space="2" w:color="918585"/>
        <w:bottom w:val="single" w:sz="6" w:space="2" w:color="918585"/>
      </w:pBdr>
      <w:tabs>
        <w:tab w:val="left" w:pos="1021"/>
      </w:tabs>
      <w:ind w:firstLine="0"/>
    </w:pPr>
  </w:style>
  <w:style w:type="paragraph" w:customStyle="1" w:styleId="Warning">
    <w:name w:val="Warning"/>
    <w:basedOn w:val="BodyText"/>
    <w:rsid w:val="00C06F01"/>
    <w:pPr>
      <w:shd w:val="clear" w:color="auto" w:fill="D9D9D9"/>
      <w:tabs>
        <w:tab w:val="left" w:pos="992"/>
      </w:tabs>
      <w:ind w:left="119" w:right="119"/>
    </w:pPr>
    <w:rPr>
      <w:sz w:val="20"/>
    </w:rPr>
  </w:style>
  <w:style w:type="paragraph" w:customStyle="1" w:styleId="MarginIcons">
    <w:name w:val="Margin Icons"/>
    <w:basedOn w:val="BodyText"/>
    <w:rsid w:val="00C06F0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06F01"/>
    <w:rPr>
      <w:rFonts w:ascii="Courier New" w:hAnsi="Courier New"/>
    </w:rPr>
  </w:style>
  <w:style w:type="paragraph" w:customStyle="1" w:styleId="NoteBullet">
    <w:name w:val="Note Bullet"/>
    <w:basedOn w:val="Note"/>
    <w:rsid w:val="00C06F01"/>
    <w:pPr>
      <w:tabs>
        <w:tab w:val="clear" w:pos="680"/>
      </w:tabs>
      <w:spacing w:before="60" w:after="60"/>
    </w:pPr>
  </w:style>
  <w:style w:type="paragraph" w:customStyle="1" w:styleId="SubHeading2">
    <w:name w:val="SubHeading2"/>
    <w:basedOn w:val="HeadingBase"/>
    <w:rsid w:val="00C06F01"/>
    <w:pPr>
      <w:spacing w:before="240" w:after="60"/>
    </w:pPr>
    <w:rPr>
      <w:sz w:val="20"/>
    </w:rPr>
  </w:style>
  <w:style w:type="paragraph" w:customStyle="1" w:styleId="SubHeading1">
    <w:name w:val="SubHeading1"/>
    <w:basedOn w:val="HeadingBase"/>
    <w:rsid w:val="00C06F01"/>
    <w:pPr>
      <w:spacing w:before="240" w:after="60"/>
    </w:pPr>
    <w:rPr>
      <w:color w:val="918585"/>
      <w:sz w:val="22"/>
    </w:rPr>
  </w:style>
  <w:style w:type="paragraph" w:customStyle="1" w:styleId="SideHeading">
    <w:name w:val="Side Heading"/>
    <w:basedOn w:val="HeadingBase"/>
    <w:rsid w:val="00C06F0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06F01"/>
    <w:pPr>
      <w:numPr>
        <w:numId w:val="13"/>
      </w:numPr>
    </w:pPr>
  </w:style>
  <w:style w:type="paragraph" w:styleId="PlainText">
    <w:name w:val="Plain Text"/>
    <w:basedOn w:val="Normal"/>
    <w:link w:val="PlainTextChar"/>
    <w:rsid w:val="00C06F01"/>
    <w:rPr>
      <w:sz w:val="20"/>
    </w:rPr>
  </w:style>
  <w:style w:type="character" w:customStyle="1" w:styleId="PlainTextChar">
    <w:name w:val="Plain Text Char"/>
    <w:basedOn w:val="DefaultParagraphFont"/>
    <w:link w:val="PlainText"/>
    <w:rsid w:val="00C06F01"/>
    <w:rPr>
      <w:rFonts w:ascii="Courier New" w:eastAsia="Times New Roman" w:hAnsi="Courier New" w:cs="Times New Roman"/>
      <w:sz w:val="20"/>
      <w:szCs w:val="20"/>
      <w:lang w:eastAsia="en-US"/>
    </w:rPr>
  </w:style>
  <w:style w:type="character" w:customStyle="1" w:styleId="MenuOption">
    <w:name w:val="Menu Option"/>
    <w:basedOn w:val="DefaultParagraphFont"/>
    <w:rsid w:val="00C06F01"/>
    <w:rPr>
      <w:b/>
      <w:smallCaps/>
    </w:rPr>
  </w:style>
  <w:style w:type="paragraph" w:customStyle="1" w:styleId="TableListNumber">
    <w:name w:val="Table List Number"/>
    <w:basedOn w:val="ListNumber"/>
    <w:rsid w:val="00C06F01"/>
    <w:pPr>
      <w:numPr>
        <w:numId w:val="0"/>
      </w:numPr>
    </w:pPr>
  </w:style>
  <w:style w:type="paragraph" w:styleId="TOC4">
    <w:name w:val="toc 4"/>
    <w:basedOn w:val="TOCBase"/>
    <w:next w:val="Normal"/>
    <w:semiHidden/>
    <w:rsid w:val="00C06F01"/>
    <w:pPr>
      <w:tabs>
        <w:tab w:val="right" w:leader="dot" w:pos="9071"/>
      </w:tabs>
      <w:ind w:left="1701"/>
    </w:pPr>
  </w:style>
  <w:style w:type="paragraph" w:customStyle="1" w:styleId="ListAlpha">
    <w:name w:val="List Alpha"/>
    <w:basedOn w:val="List"/>
    <w:rsid w:val="00C06F01"/>
    <w:pPr>
      <w:numPr>
        <w:numId w:val="10"/>
      </w:numPr>
    </w:pPr>
  </w:style>
  <w:style w:type="paragraph" w:customStyle="1" w:styleId="ListAlpha2">
    <w:name w:val="List Alpha 2"/>
    <w:basedOn w:val="List2"/>
    <w:rsid w:val="00C06F01"/>
    <w:pPr>
      <w:numPr>
        <w:numId w:val="9"/>
      </w:numPr>
    </w:pPr>
  </w:style>
  <w:style w:type="paragraph" w:styleId="List2">
    <w:name w:val="List 2"/>
    <w:basedOn w:val="BodyText"/>
    <w:rsid w:val="00C06F01"/>
    <w:pPr>
      <w:tabs>
        <w:tab w:val="left" w:pos="680"/>
      </w:tabs>
      <w:spacing w:before="60" w:after="60"/>
      <w:ind w:left="680" w:hanging="340"/>
    </w:pPr>
  </w:style>
  <w:style w:type="paragraph" w:styleId="List3">
    <w:name w:val="List 3"/>
    <w:basedOn w:val="BodyText"/>
    <w:rsid w:val="00C06F01"/>
    <w:pPr>
      <w:tabs>
        <w:tab w:val="left" w:pos="1021"/>
      </w:tabs>
      <w:spacing w:before="60" w:after="60"/>
      <w:ind w:left="1020" w:hanging="340"/>
    </w:pPr>
  </w:style>
  <w:style w:type="paragraph" w:styleId="List4">
    <w:name w:val="List 4"/>
    <w:basedOn w:val="BodyText"/>
    <w:rsid w:val="00C06F01"/>
    <w:pPr>
      <w:tabs>
        <w:tab w:val="left" w:pos="1361"/>
      </w:tabs>
      <w:spacing w:before="60" w:after="60"/>
      <w:ind w:left="1361" w:hanging="340"/>
    </w:pPr>
  </w:style>
  <w:style w:type="paragraph" w:styleId="List5">
    <w:name w:val="List 5"/>
    <w:basedOn w:val="BodyText"/>
    <w:rsid w:val="00C06F01"/>
    <w:pPr>
      <w:tabs>
        <w:tab w:val="left" w:pos="1701"/>
      </w:tabs>
      <w:spacing w:before="60" w:after="60"/>
      <w:ind w:left="1701" w:hanging="340"/>
    </w:pPr>
  </w:style>
  <w:style w:type="paragraph" w:styleId="ListBullet4">
    <w:name w:val="List Bullet 4"/>
    <w:basedOn w:val="List4"/>
    <w:rsid w:val="00C06F01"/>
    <w:pPr>
      <w:numPr>
        <w:numId w:val="4"/>
      </w:numPr>
    </w:pPr>
  </w:style>
  <w:style w:type="paragraph" w:styleId="ListBullet5">
    <w:name w:val="List Bullet 5"/>
    <w:basedOn w:val="List5"/>
    <w:rsid w:val="00C06F01"/>
    <w:pPr>
      <w:numPr>
        <w:numId w:val="5"/>
      </w:numPr>
    </w:pPr>
  </w:style>
  <w:style w:type="paragraph" w:styleId="ListContinue2">
    <w:name w:val="List Continue 2"/>
    <w:basedOn w:val="List2"/>
    <w:rsid w:val="00C06F01"/>
    <w:pPr>
      <w:ind w:firstLine="0"/>
    </w:pPr>
  </w:style>
  <w:style w:type="paragraph" w:styleId="ListContinue3">
    <w:name w:val="List Continue 3"/>
    <w:basedOn w:val="List3"/>
    <w:rsid w:val="00C06F01"/>
    <w:pPr>
      <w:ind w:left="1021" w:firstLine="0"/>
    </w:pPr>
  </w:style>
  <w:style w:type="paragraph" w:styleId="ListContinue4">
    <w:name w:val="List Continue 4"/>
    <w:basedOn w:val="List4"/>
    <w:rsid w:val="00C06F01"/>
    <w:pPr>
      <w:ind w:firstLine="0"/>
    </w:pPr>
  </w:style>
  <w:style w:type="paragraph" w:styleId="ListContinue5">
    <w:name w:val="List Continue 5"/>
    <w:basedOn w:val="List5"/>
    <w:rsid w:val="00C06F01"/>
    <w:pPr>
      <w:ind w:firstLine="0"/>
    </w:pPr>
  </w:style>
  <w:style w:type="paragraph" w:styleId="ListNumber3">
    <w:name w:val="List Number 3"/>
    <w:basedOn w:val="List3"/>
    <w:rsid w:val="00C06F01"/>
    <w:pPr>
      <w:numPr>
        <w:numId w:val="6"/>
      </w:numPr>
    </w:pPr>
  </w:style>
  <w:style w:type="paragraph" w:styleId="ListNumber4">
    <w:name w:val="List Number 4"/>
    <w:basedOn w:val="List4"/>
    <w:rsid w:val="00C06F01"/>
    <w:pPr>
      <w:numPr>
        <w:numId w:val="7"/>
      </w:numPr>
    </w:pPr>
  </w:style>
  <w:style w:type="paragraph" w:styleId="ListNumber5">
    <w:name w:val="List Number 5"/>
    <w:basedOn w:val="List5"/>
    <w:rsid w:val="00C06F01"/>
    <w:pPr>
      <w:numPr>
        <w:numId w:val="8"/>
      </w:numPr>
    </w:pPr>
  </w:style>
  <w:style w:type="paragraph" w:styleId="BlockText">
    <w:name w:val="Block Text"/>
    <w:basedOn w:val="Normal"/>
    <w:rsid w:val="00C06F01"/>
    <w:pPr>
      <w:spacing w:after="120"/>
      <w:ind w:left="1440" w:right="1440"/>
    </w:pPr>
  </w:style>
  <w:style w:type="character" w:customStyle="1" w:styleId="Subscript">
    <w:name w:val="Subscript"/>
    <w:basedOn w:val="DefaultParagraphFont"/>
    <w:rsid w:val="00C06F01"/>
    <w:rPr>
      <w:sz w:val="16"/>
      <w:vertAlign w:val="subscript"/>
    </w:rPr>
  </w:style>
  <w:style w:type="character" w:customStyle="1" w:styleId="Superscript">
    <w:name w:val="Superscript"/>
    <w:basedOn w:val="DefaultParagraphFont"/>
    <w:rsid w:val="00C06F01"/>
    <w:rPr>
      <w:sz w:val="16"/>
      <w:vertAlign w:val="superscript"/>
    </w:rPr>
  </w:style>
  <w:style w:type="character" w:customStyle="1" w:styleId="Symbols">
    <w:name w:val="Symbols"/>
    <w:basedOn w:val="DefaultParagraphFont"/>
    <w:rsid w:val="00C06F01"/>
    <w:rPr>
      <w:rFonts w:ascii="Symbol" w:hAnsi="Symbol"/>
    </w:rPr>
  </w:style>
  <w:style w:type="character" w:customStyle="1" w:styleId="MenuOptions">
    <w:name w:val="Menu Options"/>
    <w:basedOn w:val="DefaultParagraphFont"/>
    <w:rsid w:val="00C06F01"/>
    <w:rPr>
      <w:rFonts w:ascii="Arial Narrow" w:hAnsi="Arial Narrow"/>
      <w:smallCaps/>
    </w:rPr>
  </w:style>
  <w:style w:type="character" w:customStyle="1" w:styleId="Buttons">
    <w:name w:val="Buttons"/>
    <w:basedOn w:val="DefaultParagraphFont"/>
    <w:rsid w:val="00C06F01"/>
    <w:rPr>
      <w:b/>
    </w:rPr>
  </w:style>
  <w:style w:type="character" w:customStyle="1" w:styleId="Underlined">
    <w:name w:val="Underlined"/>
    <w:basedOn w:val="DefaultParagraphFont"/>
    <w:rsid w:val="00C06F01"/>
    <w:rPr>
      <w:u w:val="single"/>
    </w:rPr>
  </w:style>
  <w:style w:type="paragraph" w:customStyle="1" w:styleId="TableBodyTextRight">
    <w:name w:val="Table Body Text Right"/>
    <w:basedOn w:val="TableBodyText"/>
    <w:rsid w:val="00C06F01"/>
    <w:pPr>
      <w:widowControl w:val="0"/>
      <w:autoSpaceDE w:val="0"/>
      <w:autoSpaceDN w:val="0"/>
      <w:adjustRightInd w:val="0"/>
      <w:jc w:val="right"/>
    </w:pPr>
    <w:rPr>
      <w:rFonts w:cs="Arial"/>
      <w:szCs w:val="18"/>
    </w:rPr>
  </w:style>
  <w:style w:type="paragraph" w:customStyle="1" w:styleId="CopyrightText">
    <w:name w:val="Copyright Text"/>
    <w:basedOn w:val="BodyText"/>
    <w:rsid w:val="00C06F01"/>
    <w:rPr>
      <w:sz w:val="18"/>
    </w:rPr>
  </w:style>
  <w:style w:type="paragraph" w:customStyle="1" w:styleId="BodySmallRight">
    <w:name w:val="Body Small Right"/>
    <w:basedOn w:val="BodyTextRight"/>
    <w:rsid w:val="00C06F01"/>
    <w:rPr>
      <w:sz w:val="18"/>
      <w:szCs w:val="18"/>
    </w:rPr>
  </w:style>
  <w:style w:type="paragraph" w:customStyle="1" w:styleId="MarginEdition">
    <w:name w:val="Margin Edition"/>
    <w:basedOn w:val="MarginNote"/>
    <w:rsid w:val="00C06F01"/>
    <w:pPr>
      <w:spacing w:before="0" w:after="0"/>
    </w:pPr>
    <w:rPr>
      <w:rFonts w:ascii="Times New Roman" w:hAnsi="Times New Roman"/>
      <w:color w:val="999999"/>
    </w:rPr>
  </w:style>
  <w:style w:type="paragraph" w:customStyle="1" w:styleId="Spacer">
    <w:name w:val="Spacer"/>
    <w:basedOn w:val="Normal"/>
    <w:rsid w:val="00C06F01"/>
    <w:rPr>
      <w:sz w:val="2"/>
      <w:szCs w:val="2"/>
    </w:rPr>
  </w:style>
  <w:style w:type="character" w:customStyle="1" w:styleId="Small">
    <w:name w:val="Small"/>
    <w:basedOn w:val="DefaultParagraphFont"/>
    <w:rsid w:val="00C06F01"/>
    <w:rPr>
      <w:sz w:val="16"/>
    </w:rPr>
  </w:style>
  <w:style w:type="paragraph" w:customStyle="1" w:styleId="WideTable">
    <w:name w:val="Wide Table"/>
    <w:basedOn w:val="Normal"/>
    <w:rsid w:val="00C06F01"/>
    <w:pPr>
      <w:ind w:left="-1418"/>
    </w:pPr>
    <w:rPr>
      <w:sz w:val="2"/>
      <w:szCs w:val="2"/>
    </w:rPr>
  </w:style>
  <w:style w:type="character" w:styleId="PageNumber">
    <w:name w:val="page number"/>
    <w:basedOn w:val="DefaultParagraphFont"/>
    <w:rsid w:val="00C06F01"/>
  </w:style>
  <w:style w:type="paragraph" w:styleId="Quote">
    <w:name w:val="Quote"/>
    <w:basedOn w:val="Heading1"/>
    <w:link w:val="QuoteChar"/>
    <w:qFormat/>
    <w:rsid w:val="00C06F01"/>
    <w:rPr>
      <w:b w:val="0"/>
      <w:sz w:val="72"/>
      <w:szCs w:val="72"/>
      <w:lang w:val="en-NZ"/>
    </w:rPr>
  </w:style>
  <w:style w:type="character" w:customStyle="1" w:styleId="QuoteChar">
    <w:name w:val="Quote Char"/>
    <w:basedOn w:val="DefaultParagraphFont"/>
    <w:link w:val="Quote"/>
    <w:rsid w:val="00C06F0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06F01"/>
    <w:pPr>
      <w:pageBreakBefore/>
    </w:pPr>
  </w:style>
  <w:style w:type="paragraph" w:customStyle="1" w:styleId="Border">
    <w:name w:val="Border"/>
    <w:basedOn w:val="Normal"/>
    <w:qFormat/>
    <w:rsid w:val="00C06F0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06F01"/>
    <w:rPr>
      <w:b/>
      <w:bCs/>
      <w:i/>
      <w:iCs/>
      <w:color w:val="auto"/>
    </w:rPr>
  </w:style>
  <w:style w:type="paragraph" w:styleId="IntenseQuote">
    <w:name w:val="Intense Quote"/>
    <w:basedOn w:val="Normal"/>
    <w:next w:val="Normal"/>
    <w:link w:val="IntenseQuoteChar"/>
    <w:uiPriority w:val="30"/>
    <w:qFormat/>
    <w:rsid w:val="00C06F0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06F0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06F01"/>
    <w:rPr>
      <w:smallCaps/>
      <w:color w:val="auto"/>
      <w:u w:val="single"/>
    </w:rPr>
  </w:style>
  <w:style w:type="character" w:styleId="IntenseReference">
    <w:name w:val="Intense Reference"/>
    <w:basedOn w:val="DefaultParagraphFont"/>
    <w:uiPriority w:val="32"/>
    <w:qFormat/>
    <w:rsid w:val="00C06F01"/>
    <w:rPr>
      <w:b/>
      <w:bCs/>
      <w:smallCaps/>
      <w:color w:val="auto"/>
      <w:spacing w:val="5"/>
      <w:u w:val="single"/>
    </w:rPr>
  </w:style>
  <w:style w:type="paragraph" w:customStyle="1" w:styleId="2ColumnHeading">
    <w:name w:val="2Column Heading"/>
    <w:basedOn w:val="BodyText"/>
    <w:qFormat/>
    <w:rsid w:val="00C06F01"/>
    <w:pPr>
      <w:spacing w:after="60"/>
      <w:ind w:left="-2268"/>
    </w:pPr>
    <w:rPr>
      <w:b/>
    </w:rPr>
  </w:style>
  <w:style w:type="paragraph" w:customStyle="1" w:styleId="Heading1TOC">
    <w:name w:val="Heading1 TOC"/>
    <w:basedOn w:val="Normal"/>
    <w:qFormat/>
    <w:rsid w:val="00C06F01"/>
    <w:pPr>
      <w:spacing w:before="240" w:after="120"/>
    </w:pPr>
    <w:rPr>
      <w:rFonts w:ascii="Times New Roman" w:hAnsi="Times New Roman"/>
      <w:b/>
      <w:sz w:val="32"/>
    </w:rPr>
  </w:style>
  <w:style w:type="paragraph" w:customStyle="1" w:styleId="Heading2TOC">
    <w:name w:val="Heading2 TOC"/>
    <w:basedOn w:val="Normal"/>
    <w:qFormat/>
    <w:rsid w:val="00C06F01"/>
    <w:pPr>
      <w:spacing w:before="240" w:after="60"/>
    </w:pPr>
    <w:rPr>
      <w:rFonts w:ascii="Times New Roman" w:hAnsi="Times New Roman"/>
      <w:b/>
      <w:sz w:val="28"/>
    </w:rPr>
  </w:style>
  <w:style w:type="character" w:customStyle="1" w:styleId="Underline">
    <w:name w:val="Underline"/>
    <w:basedOn w:val="DefaultParagraphFont"/>
    <w:qFormat/>
    <w:rsid w:val="00C06F01"/>
    <w:rPr>
      <w:u w:val="single"/>
    </w:rPr>
  </w:style>
  <w:style w:type="character" w:customStyle="1" w:styleId="BoldandItalics">
    <w:name w:val="Bold and Italics"/>
    <w:qFormat/>
    <w:rsid w:val="00C06F01"/>
    <w:rPr>
      <w:b/>
      <w:i/>
      <w:u w:val="none"/>
    </w:rPr>
  </w:style>
  <w:style w:type="paragraph" w:styleId="BalloonText">
    <w:name w:val="Balloon Text"/>
    <w:basedOn w:val="Normal"/>
    <w:link w:val="BalloonTextChar"/>
    <w:rsid w:val="00C06F01"/>
    <w:rPr>
      <w:rFonts w:ascii="Tahoma" w:hAnsi="Tahoma" w:cs="Tahoma"/>
      <w:sz w:val="16"/>
      <w:szCs w:val="16"/>
    </w:rPr>
  </w:style>
  <w:style w:type="character" w:customStyle="1" w:styleId="BalloonTextChar">
    <w:name w:val="Balloon Text Char"/>
    <w:basedOn w:val="DefaultParagraphFont"/>
    <w:link w:val="BalloonText"/>
    <w:rsid w:val="00C06F0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06F0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06F0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06F01"/>
    <w:rPr>
      <w:b/>
      <w:color w:val="660033"/>
      <w:spacing w:val="0"/>
    </w:rPr>
  </w:style>
  <w:style w:type="paragraph" w:customStyle="1" w:styleId="Nameditemlist">
    <w:name w:val="Named item list"/>
    <w:basedOn w:val="BodyText"/>
    <w:qFormat/>
    <w:rsid w:val="00C06F0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1762</Words>
  <Characters>10697</Characters>
  <Application>Microsoft Office Word</Application>
  <DocSecurity>0</DocSecurity>
  <Lines>413</Lines>
  <Paragraphs>182</Paragraphs>
  <ScaleCrop>false</ScaleCrop>
  <Company>Author-it Software Corporation Ltd.</Company>
  <LinksUpToDate>false</LinksUpToDate>
  <CharactersWithSpaces>12345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UEENEEC002B Source and purchase material/parts for installation or service jobs</dc:title>
  <dc:subject>Approved</dc:subject>
  <dc:creator>EE-Oz Training Standards</dc:creator>
  <cp:keywords>Release: 2</cp:keywords>
  <dc:description>Copyright © 1996-2007 Author-it Software Corporation Ltd., all rights reserved.</dc:description>
  <cp:lastModifiedBy>TPCMS</cp:lastModifiedBy>
  <cp:revision>3</cp:revision>
  <dcterms:created xsi:type="dcterms:W3CDTF">2012-10-11T20:43:00Z</dcterms:created>
  <dcterms:modified xsi:type="dcterms:W3CDTF">2012-10-11T20:43:00Z</dcterms:modified>
</cp:coreProperties>
</file>