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571" w:rsidP="00546571">
      <w:pPr>
        <w:pStyle w:val="Title"/>
      </w:pPr>
      <w:r>
        <w:fldChar w:fldCharType="begin"/>
      </w:r>
      <w:r>
        <w:instrText xml:space="preserve"> TITLE   \* MERGEFORMAT </w:instrText>
      </w:r>
      <w:r>
        <w:fldChar w:fldCharType="separate"/>
      </w:r>
      <w:r>
        <w:t>UEE20111 Certificate II in Split Air-conditioning and Heat Pump Systems</w:t>
      </w:r>
      <w:r>
        <w:fldChar w:fldCharType="end"/>
      </w:r>
    </w:p>
    <w:p w:rsidR="00546571" w:rsidP="00546571">
      <w:pPr>
        <w:pStyle w:val="Version"/>
        <w:sectPr w:rsidSect="000A0A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A0A97" w:rsidP="000A0A97">
      <w:pPr>
        <w:pStyle w:val="SuperHeading"/>
      </w:pPr>
      <w:r w:rsidRPr="000A0A97">
        <w:t>UEE20111 Certificate II in Split Air-conditioning and Heat Pump Systems</w:t>
      </w:r>
    </w:p>
    <w:p w:rsidR="00000000" w:rsidRPr="000A0A97" w:rsidP="000A0A97">
      <w:pPr>
        <w:pStyle w:val="Heading1"/>
      </w:pPr>
      <w:bookmarkStart w:id="1" w:name="O_638287"/>
      <w:bookmarkEnd w:id="1"/>
      <w:r w:rsidRPr="000A0A9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465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Points</w:t>
            </w:r>
          </w:p>
        </w:tc>
      </w:tr>
      <w:tr w:rsidTr="0054657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t>10</w:t>
            </w:r>
          </w:p>
        </w:tc>
      </w:tr>
    </w:tbl>
    <w:p w:rsidR="00000000" w:rsidRPr="000A0A97" w:rsidP="000A0A97">
      <w:pPr>
        <w:pStyle w:val="BodyText"/>
      </w:pPr>
    </w:p>
    <w:tbl>
      <w:tblPr>
        <w:tblW w:w="9639" w:type="dxa"/>
        <w:tblLayout w:type="fixed"/>
        <w:tblCellMar>
          <w:left w:w="62" w:type="dxa"/>
          <w:right w:w="62" w:type="dxa"/>
        </w:tblCellMar>
        <w:tblLook w:val="0000"/>
      </w:tblPr>
      <w:tblGrid>
        <w:gridCol w:w="819"/>
        <w:gridCol w:w="882"/>
        <w:gridCol w:w="1449"/>
        <w:gridCol w:w="5399"/>
        <w:gridCol w:w="1090"/>
      </w:tblGrid>
      <w:tr w:rsidTr="005465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Update</w:t>
            </w:r>
          </w:p>
        </w:tc>
        <w:tc>
          <w:tcPr>
            <w:tcW w:w="1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Elective</w:t>
            </w:r>
          </w:p>
        </w:tc>
        <w:tc>
          <w:tcPr>
            <w:tcW w:w="5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HLTAID001 </w:t>
            </w:r>
            <w:r w:rsidRPr="000A0A97">
              <w:t>- Provide cardiopulmonary resuscitation</w:t>
            </w:r>
          </w:p>
        </w:tc>
        <w:tc>
          <w:tcPr>
            <w:tcW w:w="1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10</w:t>
            </w:r>
          </w:p>
        </w:tc>
      </w:tr>
      <w:tr w:rsidTr="005465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Edit</w:t>
            </w:r>
          </w:p>
        </w:tc>
        <w:tc>
          <w:tcPr>
            <w:tcW w:w="1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 xml:space="preserve">Core </w:t>
            </w:r>
          </w:p>
        </w:tc>
        <w:tc>
          <w:tcPr>
            <w:tcW w:w="5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t>Correct title of UEENEEK142A - Apply environmentally and sustainable procedures in the energy sector</w:t>
            </w:r>
          </w:p>
        </w:tc>
        <w:tc>
          <w:tcPr>
            <w:tcW w:w="1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0A97" w:rsidP="000A0A97">
            <w:pPr>
              <w:pStyle w:val="BodyText"/>
            </w:pPr>
            <w:r w:rsidRPr="000A0A97">
              <w:t>20</w:t>
            </w:r>
          </w:p>
        </w:tc>
      </w:tr>
    </w:tbl>
    <w:p w:rsidR="00000000" w:rsidRPr="000A0A97" w:rsidP="000A0A97">
      <w:pPr>
        <w:pStyle w:val="BodyText"/>
      </w:pPr>
    </w:p>
    <w:p w:rsidR="00000000" w:rsidRPr="000A0A97" w:rsidP="000A0A97">
      <w:pPr>
        <w:pStyle w:val="AllowPageBreak"/>
      </w:pPr>
    </w:p>
    <w:p w:rsidR="00000000" w:rsidRPr="000A0A97" w:rsidP="000A0A97">
      <w:pPr>
        <w:pStyle w:val="Heading1"/>
      </w:pPr>
      <w:bookmarkStart w:id="2" w:name="O_638286"/>
      <w:bookmarkEnd w:id="2"/>
      <w:r w:rsidRPr="000A0A97">
        <w:t>Description</w:t>
      </w:r>
    </w:p>
    <w:p w:rsidR="00000000" w:rsidRPr="000A0A97" w:rsidP="00546571">
      <w:pPr>
        <w:pStyle w:val="Heading3"/>
      </w:pPr>
      <w:r w:rsidRPr="000A0A97">
        <w:rPr>
          <w:rStyle w:val="SpecialBold"/>
        </w:rPr>
        <w:t>Scope</w:t>
      </w:r>
    </w:p>
    <w:p w:rsidR="00000000" w:rsidRPr="000A0A97" w:rsidP="00546571">
      <w:pPr>
        <w:pStyle w:val="BodyText"/>
      </w:pPr>
      <w:r w:rsidRPr="000A0A97">
        <w:t>The installation, commissioning and de-commissioning of si</w:t>
      </w:r>
      <w:r w:rsidRPr="000A0A97">
        <w:t xml:space="preserve">ngle head, split air conditioning and heat pumps systems to a prescribed routine where the maximum plant capacity for each system does not exceed 18 kWr. </w:t>
      </w:r>
    </w:p>
    <w:p w:rsidR="00000000" w:rsidRPr="000A0A97" w:rsidP="00546571">
      <w:pPr>
        <w:pStyle w:val="BodyText"/>
      </w:pPr>
      <w:r w:rsidRPr="000A0A97">
        <w:t>This includes wall hung, floor and ceiling suspended, cassette and ducted fan coil split systems and</w:t>
      </w:r>
      <w:r w:rsidRPr="000A0A97">
        <w:t xml:space="preserve"> water heating heat pump systems. This qualification excludes competencies required for service, repair, maintenance, diagnostic/fault finding and electrical work or the safe and proper installation of commercial refrigeration, air conditioning and heat pu</w:t>
      </w:r>
      <w:r w:rsidRPr="000A0A97">
        <w:t>mp plant and equipment.</w:t>
      </w:r>
    </w:p>
    <w:p w:rsidR="00000000" w:rsidRPr="000A0A97" w:rsidP="00546571">
      <w:pPr>
        <w:pStyle w:val="BodyText"/>
      </w:pPr>
      <w:r w:rsidRPr="000A0A97">
        <w:rPr>
          <w:rStyle w:val="SpecialBold"/>
        </w:rPr>
        <w:t>Note:</w:t>
      </w:r>
      <w:r w:rsidRPr="000A0A97">
        <w:t xml:space="preserve">  1. The letter “r” denotes “refrigeration” or cooling capacity, not electrical input power.  </w:t>
      </w:r>
    </w:p>
    <w:p w:rsidR="00000000" w:rsidRPr="000A0A97" w:rsidP="00546571">
      <w:pPr>
        <w:pStyle w:val="BodyText"/>
      </w:pPr>
      <w:r w:rsidRPr="000A0A97">
        <w:t>2. The Ozone Protection and Synthetic Greenhouse Gas Legislation Amendment Bill 2003 and the Ozone Protection and Synthetic Gas Management Regulations apply to this qualification.  Prior to planning the delivery of any training and/or assessment activities</w:t>
      </w:r>
      <w:r w:rsidRPr="000A0A97">
        <w:t xml:space="preserve"> all legislative and regulatory requirements shall be identified and included.</w:t>
      </w:r>
    </w:p>
    <w:p w:rsidR="00546571" w:rsidP="00546571">
      <w:pPr>
        <w:pStyle w:val="BodyText"/>
      </w:pPr>
      <w:r w:rsidRPr="000A0A97">
        <w:rPr>
          <w:rStyle w:val="SpecialBold"/>
        </w:rPr>
        <w:t xml:space="preserve">^ From 1 July 2022 the elective unit HLTAID001 must no longer be delivered and will be replaced in the Packaging Rules by the unit HLTAID009 </w:t>
      </w:r>
      <w:r w:rsidRPr="000A0A97">
        <w:t xml:space="preserve">- for more information see: </w:t>
      </w:r>
      <w:r>
        <w:fldChar w:fldCharType="begin"/>
      </w:r>
      <w:r>
        <w:instrText xml:space="preserve"> HYPERLINK "https://asqa.gov.au/news-events/news/reminder-about-superseded-hlt-first-aid-units" </w:instrText>
      </w:r>
      <w:r>
        <w:fldChar w:fldCharType="separate"/>
      </w:r>
      <w:r w:rsidRPr="005866CC">
        <w:rPr>
          <w:rStyle w:val="Hyperlink"/>
        </w:rPr>
        <w:t>https://asqa.gov.au/news-events/news/reminder-about-superseded-hlt-first-aid-units</w:t>
      </w:r>
      <w:r>
        <w:fldChar w:fldCharType="end"/>
      </w:r>
    </w:p>
    <w:p w:rsidR="00000000" w:rsidRPr="000A0A97" w:rsidP="000A0A97">
      <w:pPr>
        <w:pStyle w:val="Heading1"/>
      </w:pPr>
      <w:bookmarkStart w:id="3" w:name="O_638285"/>
      <w:bookmarkEnd w:id="3"/>
      <w:r w:rsidRPr="000A0A97">
        <w:t>Pathways Information</w:t>
      </w:r>
    </w:p>
    <w:p w:rsidR="00000000" w:rsidRPr="000A0A97" w:rsidP="00546571">
      <w:pPr>
        <w:pStyle w:val="BodyText"/>
      </w:pPr>
      <w:r w:rsidRPr="000A0A97">
        <w:t>Not Applicable</w:t>
      </w:r>
    </w:p>
    <w:p w:rsidR="00000000" w:rsidRPr="000A0A97" w:rsidP="000A0A97">
      <w:pPr>
        <w:pStyle w:val="Heading1"/>
      </w:pPr>
      <w:bookmarkStart w:id="4" w:name="O_638284"/>
      <w:bookmarkEnd w:id="4"/>
      <w:r w:rsidRPr="000A0A97">
        <w:t>Licensing/Regulatory Information</w:t>
      </w:r>
    </w:p>
    <w:p w:rsidR="00000000" w:rsidRPr="000A0A97" w:rsidP="00546571">
      <w:pPr>
        <w:pStyle w:val="BodyText"/>
      </w:pPr>
      <w:r w:rsidRPr="000A0A97">
        <w:t>Not Applicable</w:t>
      </w:r>
    </w:p>
    <w:p w:rsidR="00000000" w:rsidRPr="000A0A97" w:rsidP="000A0A97">
      <w:pPr>
        <w:pStyle w:val="Heading1"/>
      </w:pPr>
      <w:bookmarkStart w:id="5" w:name="O_638283"/>
      <w:bookmarkEnd w:id="5"/>
      <w:r w:rsidRPr="000A0A97">
        <w:t>Entry Requirements</w:t>
      </w:r>
    </w:p>
    <w:p w:rsidR="00000000" w:rsidRPr="000A0A97" w:rsidP="00546571">
      <w:pPr>
        <w:pStyle w:val="BodyText"/>
      </w:pPr>
      <w:r w:rsidRPr="000A0A97">
        <w:t>Not Applicable</w:t>
      </w:r>
    </w:p>
    <w:p w:rsidR="00000000" w:rsidRPr="000A0A97" w:rsidP="000A0A97">
      <w:pPr>
        <w:pStyle w:val="Heading1"/>
      </w:pPr>
      <w:bookmarkStart w:id="6" w:name="O_638282"/>
      <w:bookmarkEnd w:id="6"/>
      <w:r w:rsidRPr="000A0A97">
        <w:t>Employability Skills Summary</w:t>
      </w:r>
    </w:p>
    <w:p w:rsidR="00000000" w:rsidRPr="000A0A97" w:rsidP="00546571">
      <w:pPr>
        <w:pStyle w:val="BodyText"/>
      </w:pPr>
      <w:r w:rsidRPr="000A0A97">
        <w:t>Not Applicable</w:t>
      </w:r>
    </w:p>
    <w:p w:rsidR="00000000" w:rsidRPr="000A0A97" w:rsidP="000A0A97">
      <w:pPr>
        <w:pStyle w:val="Heading1"/>
      </w:pPr>
      <w:bookmarkStart w:id="7" w:name="O_638281"/>
      <w:bookmarkEnd w:id="7"/>
      <w:r w:rsidRPr="000A0A97">
        <w:t>Packaging Rules</w:t>
      </w:r>
    </w:p>
    <w:p w:rsidR="00000000" w:rsidRPr="000A0A97" w:rsidP="00546571">
      <w:pPr>
        <w:pStyle w:val="Heading3"/>
      </w:pPr>
      <w:r w:rsidRPr="000A0A97">
        <w:rPr>
          <w:rStyle w:val="SpecialBold"/>
        </w:rPr>
        <w:t>Completion requirements</w:t>
      </w:r>
    </w:p>
    <w:p w:rsidR="00000000" w:rsidRPr="000A0A97" w:rsidP="00546571">
      <w:pPr>
        <w:pStyle w:val="BodyText"/>
      </w:pPr>
      <w:r w:rsidRPr="000A0A97">
        <w:t>The requirements for granting this qualification will be met when competency is demonstrated and achieved for:</w:t>
      </w:r>
    </w:p>
    <w:p w:rsidR="00000000" w:rsidRPr="000A0A97" w:rsidP="000A0A97">
      <w:pPr>
        <w:pStyle w:val="ListBullet"/>
      </w:pPr>
      <w:r w:rsidRPr="000A0A97">
        <w:t>All the Core competency standard u</w:t>
      </w:r>
      <w:r w:rsidRPr="000A0A97">
        <w:t>nits, defined in the Core Competency Standard Units table below and</w:t>
      </w:r>
    </w:p>
    <w:p w:rsidR="00000000" w:rsidRPr="000A0A97" w:rsidP="000A0A97">
      <w:pPr>
        <w:pStyle w:val="ListBullet"/>
      </w:pPr>
      <w:r w:rsidRPr="000A0A97">
        <w:t>A combination of Elective competency standard units to achieve a total weighting of 20 points in accordance with the Elective Competency Standard Units table below.</w:t>
      </w:r>
    </w:p>
    <w:p w:rsidR="00000000" w:rsidRPr="000A0A97" w:rsidP="000A0A97">
      <w:pPr>
        <w:pStyle w:val="BodyText"/>
      </w:pPr>
    </w:p>
    <w:tbl>
      <w:tblPr>
        <w:tblW w:w="0" w:type="auto"/>
        <w:tblLayout w:type="fixed"/>
        <w:tblCellMar>
          <w:left w:w="62" w:type="dxa"/>
          <w:right w:w="62" w:type="dxa"/>
        </w:tblCellMar>
        <w:tblLook w:val="0000"/>
      </w:tblPr>
      <w:tblGrid>
        <w:gridCol w:w="1997"/>
        <w:gridCol w:w="5134"/>
        <w:gridCol w:w="1425"/>
      </w:tblGrid>
      <w:tr w:rsidTr="00546571">
        <w:tblPrEx>
          <w:tblW w:w="0" w:type="auto"/>
          <w:tblLayout w:type="fixed"/>
          <w:tblCellMar>
            <w:left w:w="62" w:type="dxa"/>
            <w:right w:w="62" w:type="dxa"/>
          </w:tblCellMar>
          <w:tblLook w:val="0000"/>
        </w:tblPrEx>
        <w:trPr>
          <w:tblHeader/>
        </w:trPr>
        <w:tc>
          <w:tcPr>
            <w:tcW w:w="7131"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0A0A97" w:rsidP="000A0A97">
            <w:pPr>
              <w:pStyle w:val="BodyText"/>
            </w:pPr>
            <w:r w:rsidRPr="000A0A97">
              <w:rPr>
                <w:rStyle w:val="SpecialBold"/>
              </w:rPr>
              <w:t>Core Competency St</w:t>
            </w:r>
            <w:r w:rsidRPr="000A0A97">
              <w:rPr>
                <w:rStyle w:val="SpecialBold"/>
              </w:rPr>
              <w:t xml:space="preserve">andard Units </w:t>
            </w:r>
          </w:p>
          <w:p w:rsidR="00000000" w:rsidRPr="000A0A97" w:rsidP="000A0A97">
            <w:pPr>
              <w:pStyle w:val="BodyText"/>
            </w:pPr>
            <w:r w:rsidRPr="000A0A97">
              <w:t>All Core competency standard units to be achieved</w:t>
            </w:r>
          </w:p>
        </w:tc>
        <w:tc>
          <w:tcPr>
            <w:tcW w:w="142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0A0A97">
            <w:pPr>
              <w:pStyle w:val="BodyText"/>
              <w:rPr>
                <w:lang w:val="en-NZ"/>
              </w:rPr>
            </w:pPr>
            <w:r w:rsidRPr="000A0A97">
              <w:rPr>
                <w:rStyle w:val="SpecialBold"/>
              </w:rPr>
              <w:t>Weighting Points</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UEENEEE038B</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Participate in development and follow a personal competency development plan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UEENEEE101A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 xml:space="preserve">Apply Occupational Health and Safety regulations, codes and practices in the workplace </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UEENEEE102A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Fabricate, assemble and dismantle utilities industry 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40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UEENEEE105A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Fix and secure electrotechnology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UEENEEE107A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Use drawings,</w:t>
            </w:r>
            <w:r w:rsidRPr="000A0A97">
              <w:t xml:space="preserve"> diagrams, schedules, standards, codes and specifications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40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UEENEEE137A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Document and apply measures to control OHS risks associated with electrotechnology 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UEENEEJ102A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Prepare and connect refrigerant tubing and fittings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30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UEENEEJ105A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Position, assemble and start up single head split air conditioning and water heating heat pump systems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70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UEENEEJ172A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Recover, pressure test, evacuate, charge and leak test refrigerants -  split systems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60</w:t>
            </w:r>
          </w:p>
        </w:tc>
      </w:tr>
      <w:tr w:rsidTr="00546571">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UEENEEK142A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Apply environmentally and sustainabl</w:t>
            </w:r>
            <w:r w:rsidRPr="000A0A97">
              <w:t>e procedures in the energy sector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71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rPr>
                <w:rStyle w:val="SpecialBold"/>
              </w:rPr>
              <w:t>Total points in core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rPr>
                <w:rStyle w:val="SpecialBold"/>
              </w:rPr>
              <w:t>340</w:t>
            </w:r>
          </w:p>
        </w:tc>
      </w:tr>
    </w:tbl>
    <w:p w:rsidR="00000000" w:rsidRPr="000A0A97" w:rsidP="000A0A97">
      <w:pPr>
        <w:pStyle w:val="BodyText"/>
      </w:pPr>
    </w:p>
    <w:tbl>
      <w:tblPr>
        <w:tblW w:w="0" w:type="auto"/>
        <w:tblLayout w:type="fixed"/>
        <w:tblCellMar>
          <w:left w:w="62" w:type="dxa"/>
          <w:right w:w="62" w:type="dxa"/>
        </w:tblCellMar>
        <w:tblLook w:val="0000"/>
      </w:tblPr>
      <w:tblGrid>
        <w:gridCol w:w="423"/>
        <w:gridCol w:w="1647"/>
        <w:gridCol w:w="3742"/>
        <w:gridCol w:w="1276"/>
        <w:gridCol w:w="1417"/>
      </w:tblGrid>
      <w:tr w:rsidTr="00546571">
        <w:tblPrEx>
          <w:tblW w:w="0" w:type="auto"/>
          <w:tblLayout w:type="fixed"/>
          <w:tblCellMar>
            <w:left w:w="62" w:type="dxa"/>
            <w:right w:w="62" w:type="dxa"/>
          </w:tblCellMar>
          <w:tblLook w:val="0000"/>
        </w:tblPrEx>
        <w:tc>
          <w:tcPr>
            <w:tcW w:w="8505"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A0A97" w:rsidP="000A0A97">
            <w:pPr>
              <w:pStyle w:val="BodyText"/>
            </w:pPr>
            <w:r w:rsidRPr="000A0A97">
              <w:rPr>
                <w:rStyle w:val="SpecialBold"/>
              </w:rPr>
              <w:t>Elective Competency Standard Units</w:t>
            </w:r>
          </w:p>
          <w:p w:rsidR="00000000" w:rsidP="000A0A97">
            <w:pPr>
              <w:pStyle w:val="BodyText"/>
              <w:rPr>
                <w:lang w:val="en-NZ"/>
              </w:rPr>
            </w:pPr>
            <w:r w:rsidRPr="000A0A97">
              <w:t xml:space="preserve">Complete Elective units to achieve a total of weighting of 20 points from the following groups: </w:t>
            </w:r>
          </w:p>
        </w:tc>
      </w:tr>
      <w:tr w:rsidTr="00546571">
        <w:tblPrEx>
          <w:tblW w:w="0" w:type="auto"/>
          <w:tblLayout w:type="fixed"/>
          <w:tblCellMar>
            <w:left w:w="62" w:type="dxa"/>
            <w:right w:w="62" w:type="dxa"/>
          </w:tblCellMar>
          <w:tblLook w:val="0000"/>
        </w:tblPrEx>
        <w:tc>
          <w:tcPr>
            <w:tcW w:w="581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0A97" w:rsidP="000A0A97">
            <w:pPr>
              <w:pStyle w:val="BodyText"/>
            </w:pPr>
            <w:r w:rsidRPr="000A0A97">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rPr>
                <w:rStyle w:val="SpecialBold"/>
              </w:rPr>
              <w:t>Maximum points</w:t>
            </w:r>
          </w:p>
        </w:tc>
      </w:tr>
      <w:tr w:rsidTr="00546571">
        <w:tblPrEx>
          <w:tblW w:w="0" w:type="auto"/>
          <w:tblLayout w:type="fixed"/>
          <w:tblCellMar>
            <w:left w:w="62" w:type="dxa"/>
            <w:right w:w="62" w:type="dxa"/>
          </w:tblCellMar>
          <w:tblLook w:val="0000"/>
        </w:tblPrEx>
        <w:tc>
          <w:tcPr>
            <w:tcW w:w="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rPr>
                <w:rStyle w:val="SpecialBold"/>
              </w:rPr>
              <w:t>A</w:t>
            </w:r>
          </w:p>
        </w:tc>
        <w:tc>
          <w:tcPr>
            <w:tcW w:w="53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0A97" w:rsidP="000A0A97">
            <w:pPr>
              <w:pStyle w:val="BodyText"/>
            </w:pPr>
            <w:r w:rsidRPr="000A0A97">
              <w:rPr>
                <w:rStyle w:val="SpecialBold"/>
              </w:rPr>
              <w:t>Imported and Common Elective Units</w:t>
            </w:r>
          </w:p>
          <w:p w:rsidR="00000000" w:rsidP="000A0A97">
            <w:pPr>
              <w:pStyle w:val="BodyText"/>
              <w:rPr>
                <w:lang w:val="en-NZ"/>
              </w:rPr>
            </w:pPr>
            <w:r w:rsidRPr="000A0A97">
              <w:t>Imported units from other training packages and/or state accredited courses can be added to this group, but they must be selected from qualifications where the unit is first packaged at AQF level 2.  If units have not bei</w:t>
            </w:r>
            <w:r w:rsidRPr="000A0A97">
              <w:t>ng assigned a weighting by the relevant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rPr>
                <w:rStyle w:val="SpecialBold"/>
              </w:rPr>
              <w:t>B</w:t>
            </w:r>
          </w:p>
        </w:tc>
        <w:tc>
          <w:tcPr>
            <w:tcW w:w="53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A97">
            <w:pPr>
              <w:pStyle w:val="BodyText"/>
              <w:rPr>
                <w:lang w:val="en-NZ"/>
              </w:rPr>
            </w:pPr>
            <w:r w:rsidRPr="000A0A97">
              <w:rPr>
                <w:rStyle w:val="SpecialBold"/>
              </w:rPr>
              <w:t>Qualification Elective Units</w:t>
            </w:r>
            <w:r w:rsidRPr="000A0A97">
              <w:t xml:space="preserve"> 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7088" w:type="dxa"/>
            <w:gridSpan w:val="4"/>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0A0A97">
            <w:pPr>
              <w:pStyle w:val="BodyText"/>
              <w:rPr>
                <w:lang w:val="en-NZ"/>
              </w:rPr>
            </w:pPr>
          </w:p>
        </w:tc>
      </w:tr>
      <w:tr w:rsidTr="00546571">
        <w:tblPrEx>
          <w:tblW w:w="0" w:type="auto"/>
          <w:tblLayout w:type="fixed"/>
          <w:tblCellMar>
            <w:left w:w="62" w:type="dxa"/>
            <w:right w:w="62" w:type="dxa"/>
          </w:tblCellMar>
          <w:tblLook w:val="0000"/>
        </w:tblPrEx>
        <w:tc>
          <w:tcPr>
            <w:tcW w:w="7088"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A0A97" w:rsidP="000A0A97">
            <w:pPr>
              <w:pStyle w:val="BodyText"/>
            </w:pPr>
            <w:r w:rsidRPr="000A0A97">
              <w:rPr>
                <w:rStyle w:val="SpecialBold"/>
              </w:rPr>
              <w:t>Group A –</w:t>
            </w:r>
            <w:r w:rsidRPr="000A0A97">
              <w:rPr>
                <w:rStyle w:val="SpecialBold"/>
              </w:rPr>
              <w:t xml:space="preserve"> Imported and Common Elective Units</w:t>
            </w:r>
          </w:p>
          <w:p w:rsidR="00000000" w:rsidRPr="000A0A97" w:rsidP="000A0A97">
            <w:pPr>
              <w:pStyle w:val="BodyText"/>
            </w:pPr>
            <w:r w:rsidRPr="000A0A97">
              <w:t>You may complete units to a maximum weighting of 20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0A0A97">
            <w:pPr>
              <w:pStyle w:val="BodyText"/>
              <w:rPr>
                <w:lang w:val="en-NZ"/>
              </w:rPr>
            </w:pPr>
            <w:r w:rsidRPr="000A0A97">
              <w:rPr>
                <w:rStyle w:val="SpecialBold"/>
              </w:rPr>
              <w:t>Weighting Points</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UEENEEC001B</w:t>
            </w: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UEENEEC002B</w:t>
            </w: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UEENEEC008B</w:t>
            </w: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Receive and store materials and equipment for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UEENEEC010B</w:t>
            </w: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UEENEEE020B</w:t>
            </w: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CPCCOHS1001A</w:t>
            </w: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Work safely in th</w:t>
            </w:r>
            <w:r w:rsidRPr="000A0A97">
              <w:t>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10</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t>HLTAID001</w:t>
            </w:r>
          </w:p>
          <w:p w:rsidR="00000000" w:rsidP="000A0A97">
            <w:pPr>
              <w:pStyle w:val="BodyText"/>
              <w:rPr>
                <w:lang w:val="en-NZ"/>
              </w:rPr>
            </w:pPr>
            <w:r w:rsidRPr="000A0A97">
              <w:rPr>
                <w:rStyle w:val="SpecialBold"/>
              </w:rPr>
              <w:t>^ HLTAID009</w:t>
            </w: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t>Provide cardiopulmonary resuscitation</w:t>
            </w:r>
          </w:p>
          <w:p w:rsidR="00000000" w:rsidP="000A0A97">
            <w:pPr>
              <w:pStyle w:val="BodyText"/>
              <w:rPr>
                <w:lang w:val="en-NZ"/>
              </w:rPr>
            </w:pPr>
            <w:r w:rsidRPr="000A0A97">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10</w:t>
            </w:r>
          </w:p>
        </w:tc>
      </w:tr>
      <w:tr w:rsidTr="00546571">
        <w:tblPrEx>
          <w:tblW w:w="0" w:type="auto"/>
          <w:tblLayout w:type="fixed"/>
          <w:tblCellMar>
            <w:left w:w="62" w:type="dxa"/>
            <w:right w:w="62" w:type="dxa"/>
          </w:tblCellMar>
          <w:tblLook w:val="0000"/>
        </w:tblPrEx>
        <w:tc>
          <w:tcPr>
            <w:tcW w:w="20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0A0A97" w:rsidP="000A0A97">
            <w:pPr>
              <w:pStyle w:val="BodyText"/>
            </w:pPr>
            <w:r w:rsidRPr="000A0A97">
              <w:t>Imported units from other training packages and/or state accredited courses can be added to this group, but they must be selected from qualifications where the unit is first packaged at AQF level 2.  If units have not being assigned a weighting by the rele</w:t>
            </w:r>
            <w:r w:rsidRPr="000A0A97">
              <w:t xml:space="preserve">vant EE-Oz Industry Technical Advisory Committee, their weighting will be 10 points. </w:t>
            </w:r>
          </w:p>
          <w:p w:rsidR="00000000" w:rsidRPr="000A0A97" w:rsidP="000A0A97">
            <w:pPr>
              <w:pStyle w:val="BodyText"/>
            </w:pPr>
          </w:p>
          <w:p w:rsidR="00000000" w:rsidP="000A0A97">
            <w:pPr>
              <w:pStyle w:val="BodyText"/>
              <w:rPr>
                <w:lang w:val="en-NZ"/>
              </w:rPr>
            </w:pPr>
            <w:r w:rsidRPr="000A0A97">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t>Up t</w:t>
            </w:r>
            <w:r w:rsidRPr="000A0A97">
              <w:t>o 20 points</w:t>
            </w:r>
          </w:p>
        </w:tc>
      </w:tr>
    </w:tbl>
    <w:p w:rsidR="00000000" w:rsidRPr="000A0A97" w:rsidP="000A0A97">
      <w:pPr>
        <w:pStyle w:val="BodyText"/>
      </w:pPr>
    </w:p>
    <w:tbl>
      <w:tblPr>
        <w:tblW w:w="0" w:type="auto"/>
        <w:tblLayout w:type="fixed"/>
        <w:tblCellMar>
          <w:left w:w="62" w:type="dxa"/>
          <w:right w:w="62" w:type="dxa"/>
        </w:tblCellMar>
        <w:tblLook w:val="0000"/>
      </w:tblPr>
      <w:tblGrid>
        <w:gridCol w:w="2072"/>
        <w:gridCol w:w="5016"/>
        <w:gridCol w:w="1417"/>
      </w:tblGrid>
      <w:tr w:rsidTr="0054657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A0A97" w:rsidP="000A0A97">
            <w:pPr>
              <w:pStyle w:val="BodyText"/>
            </w:pPr>
            <w:r w:rsidRPr="000A0A97">
              <w:rPr>
                <w:rStyle w:val="SpecialBold"/>
              </w:rPr>
              <w:t>Group B – Qualification Elective Units</w:t>
            </w:r>
          </w:p>
          <w:p w:rsidR="00000000" w:rsidRPr="000A0A97" w:rsidP="000A0A97">
            <w:pPr>
              <w:pStyle w:val="BodyText"/>
            </w:pPr>
            <w:r w:rsidRPr="000A0A97">
              <w:t>You may complete units to a maximum weighting of 20</w:t>
            </w:r>
          </w:p>
          <w:p w:rsidR="00000000" w:rsidRPr="000A0A97" w:rsidP="000A0A97">
            <w:pPr>
              <w:pStyle w:val="BodyText"/>
            </w:pPr>
            <w:r w:rsidRPr="000A0A97">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A0A97">
            <w:pPr>
              <w:pStyle w:val="BodyText"/>
              <w:rPr>
                <w:lang w:val="en-NZ"/>
              </w:rPr>
            </w:pPr>
            <w:r w:rsidRPr="000A0A97">
              <w:rPr>
                <w:rStyle w:val="SpecialBold"/>
              </w:rPr>
              <w:t>Weighting Points</w:t>
            </w:r>
          </w:p>
        </w:tc>
      </w:tr>
      <w:tr w:rsidTr="00546571">
        <w:tblPrEx>
          <w:tblW w:w="0" w:type="auto"/>
          <w:tblLayout w:type="fixed"/>
          <w:tblCellMar>
            <w:left w:w="62" w:type="dxa"/>
            <w:right w:w="62" w:type="dxa"/>
          </w:tblCellMar>
          <w:tblLook w:val="0000"/>
        </w:tblPrEx>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UEENEEJ104A</w:t>
            </w:r>
          </w:p>
        </w:tc>
        <w:tc>
          <w:tcPr>
            <w:tcW w:w="5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UEENEEP024A</w:t>
            </w:r>
          </w:p>
        </w:tc>
        <w:tc>
          <w:tcPr>
            <w:tcW w:w="5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Attach cords and plugs to electrical equipment for connection to a single phase 230 Volt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20</w:t>
            </w:r>
          </w:p>
        </w:tc>
      </w:tr>
      <w:tr w:rsidTr="00546571">
        <w:tblPrEx>
          <w:tblW w:w="0" w:type="auto"/>
          <w:tblLayout w:type="fixed"/>
          <w:tblCellMar>
            <w:left w:w="62" w:type="dxa"/>
            <w:right w:w="62" w:type="dxa"/>
          </w:tblCellMar>
          <w:tblLook w:val="0000"/>
        </w:tblPrEx>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0A97">
            <w:pPr>
              <w:pStyle w:val="BodyText"/>
              <w:rPr>
                <w:lang w:val="en-NZ"/>
              </w:rPr>
            </w:pPr>
            <w:r w:rsidRPr="000A0A97">
              <w:t>UEENEEP026A</w:t>
            </w:r>
          </w:p>
        </w:tc>
        <w:tc>
          <w:tcPr>
            <w:tcW w:w="5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t>Conduct in-service safety testing of electrical cord connected equipment and cord assemblies</w:t>
            </w:r>
          </w:p>
          <w:p w:rsidR="00000000">
            <w:pPr>
              <w:pStyle w:val="BodyText"/>
              <w:keepLines w:val="0"/>
              <w:rPr>
                <w:rFonts w:ascii="Tahoma" w:hAnsi="Tahoma"/>
                <w:sz w:val="20"/>
                <w:lang w:val="en-NZ"/>
              </w:rPr>
            </w:pP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0A97" w:rsidP="000A0A97">
            <w:pPr>
              <w:pStyle w:val="BodyText"/>
            </w:pPr>
            <w:r w:rsidRPr="000A0A97">
              <w:t>20</w:t>
            </w:r>
          </w:p>
        </w:tc>
      </w:tr>
    </w:tbl>
    <w:p w:rsidR="00000000" w:rsidRPr="000A0A97" w:rsidP="000A0A97">
      <w:pPr>
        <w:pStyle w:val="BodyText"/>
      </w:pPr>
    </w:p>
    <w:p w:rsidR="00000000" w:rsidRPr="000A0A97" w:rsidP="000A0A97">
      <w:pPr>
        <w:pStyle w:val="BodyText"/>
      </w:pPr>
    </w:p>
    <w:p w:rsidR="00000000" w:rsidRPr="000A0A97" w:rsidP="00546571">
      <w:pPr>
        <w:pStyle w:val="Heading3"/>
      </w:pPr>
      <w:r w:rsidRPr="000A0A97">
        <w:rPr>
          <w:rStyle w:val="SpecialBold"/>
        </w:rPr>
        <w:t>Note:</w:t>
      </w:r>
      <w:r w:rsidRPr="000A0A97">
        <w:t xml:space="preserve"> </w:t>
      </w:r>
    </w:p>
    <w:p w:rsidR="00000000" w:rsidRPr="000A0A97" w:rsidP="00546571">
      <w:pPr>
        <w:pStyle w:val="List"/>
      </w:pPr>
      <w:r w:rsidRPr="000A0A97">
        <w:t>1.</w:t>
      </w:r>
      <w:r>
        <w:tab/>
      </w:r>
      <w:r w:rsidRPr="000A0A97">
        <w:t>Pre-requisite pathways shall be identified and met for all elective units selected.</w:t>
      </w:r>
    </w:p>
    <w:p w:rsidR="00000000" w:rsidRPr="000A0A97" w:rsidP="00546571">
      <w:pPr>
        <w:pStyle w:val="List"/>
      </w:pPr>
      <w:r w:rsidRPr="000A0A97">
        <w:t>2.</w:t>
      </w:r>
      <w:r>
        <w:tab/>
      </w:r>
      <w:r w:rsidRPr="000A0A97">
        <w:t>In selecting elective units considerations to career planni</w:t>
      </w:r>
      <w:r w:rsidRPr="000A0A97">
        <w:t>ng advice should be given to units that form part of a pre-requisite pathway for the progression to achieve particular competencies or qualification at a higher level.</w:t>
      </w:r>
    </w:p>
    <w:p w:rsidR="00546571" w:rsidP="000A0A97">
      <w:pPr>
        <w:pStyle w:val="BodyText"/>
      </w:pPr>
      <w:r w:rsidRPr="000A0A97">
        <w:rPr>
          <w:rStyle w:val="SpecialBold"/>
        </w:rPr>
        <w:t>END OF QUALIFICATION</w:t>
      </w:r>
    </w:p>
    <w:p w:rsidR="00000000" w:rsidRPr="000A0A97" w:rsidP="000A0A97"/>
    <w:sectPr w:rsidSect="000A0A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A97" w:rsidRPr="00546571" w:rsidP="00546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1" w:rsidP="000A0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571" w:rsidP="000A0A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6571" w:rsidP="000A0A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A97" w:rsidRPr="00546571" w:rsidP="00546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1" w:rsidRPr="002D2AF8" w:rsidP="000A0A97">
    <w:pPr>
      <w:pStyle w:val="Header"/>
      <w:framePr w:wrap="around"/>
    </w:pPr>
    <w:r>
      <w:fldChar w:fldCharType="begin"/>
    </w:r>
    <w:r>
      <w:instrText xml:space="preserve"> TITLE   \* MERGEFORMAT </w:instrText>
    </w:r>
    <w:r>
      <w:fldChar w:fldCharType="separate"/>
    </w:r>
    <w:r>
      <w:t>UEE20111 Certificate II in Split Air-conditioning and Heat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546571" w:rsidP="000A0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DAC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940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A97"/>
    <w:pPr>
      <w:spacing w:before="360" w:after="60"/>
      <w:outlineLvl w:val="0"/>
    </w:pPr>
    <w:rPr>
      <w:sz w:val="32"/>
    </w:rPr>
  </w:style>
  <w:style w:type="paragraph" w:styleId="Heading2">
    <w:name w:val="heading 2"/>
    <w:basedOn w:val="HeadingBase"/>
    <w:next w:val="BodyText"/>
    <w:link w:val="Heading2Char"/>
    <w:qFormat/>
    <w:rsid w:val="000A0A97"/>
    <w:pPr>
      <w:keepLines/>
      <w:spacing w:before="240" w:after="120"/>
      <w:outlineLvl w:val="1"/>
    </w:pPr>
    <w:rPr>
      <w:sz w:val="28"/>
      <w:szCs w:val="40"/>
    </w:rPr>
  </w:style>
  <w:style w:type="paragraph" w:styleId="Heading3">
    <w:name w:val="heading 3"/>
    <w:basedOn w:val="HeadingBase"/>
    <w:next w:val="BodyText"/>
    <w:link w:val="Heading3Char"/>
    <w:qFormat/>
    <w:rsid w:val="000A0A97"/>
    <w:pPr>
      <w:spacing w:before="180" w:after="120"/>
      <w:outlineLvl w:val="2"/>
    </w:pPr>
    <w:rPr>
      <w:spacing w:val="-10"/>
      <w:kern w:val="32"/>
    </w:rPr>
  </w:style>
  <w:style w:type="paragraph" w:styleId="Heading4">
    <w:name w:val="heading 4"/>
    <w:basedOn w:val="HeadingBase"/>
    <w:next w:val="BodyText"/>
    <w:link w:val="Heading4Char"/>
    <w:qFormat/>
    <w:rsid w:val="000A0A97"/>
    <w:pPr>
      <w:spacing w:before="160" w:after="120"/>
      <w:outlineLvl w:val="3"/>
    </w:pPr>
    <w:rPr>
      <w:sz w:val="22"/>
    </w:rPr>
  </w:style>
  <w:style w:type="paragraph" w:styleId="Heading5">
    <w:name w:val="heading 5"/>
    <w:basedOn w:val="HeadingBase"/>
    <w:next w:val="Normal"/>
    <w:link w:val="Heading5Char"/>
    <w:qFormat/>
    <w:rsid w:val="000A0A97"/>
    <w:pPr>
      <w:spacing w:before="80"/>
      <w:outlineLvl w:val="4"/>
    </w:pPr>
    <w:rPr>
      <w:color w:val="918585"/>
      <w:sz w:val="20"/>
    </w:rPr>
  </w:style>
  <w:style w:type="paragraph" w:styleId="Heading6">
    <w:name w:val="heading 6"/>
    <w:basedOn w:val="HeadingBase"/>
    <w:next w:val="Normal"/>
    <w:link w:val="Heading6Char"/>
    <w:qFormat/>
    <w:rsid w:val="000A0A97"/>
    <w:pPr>
      <w:spacing w:before="60"/>
      <w:outlineLvl w:val="5"/>
    </w:pPr>
    <w:rPr>
      <w:color w:val="918585"/>
      <w:sz w:val="20"/>
    </w:rPr>
  </w:style>
  <w:style w:type="paragraph" w:styleId="Heading7">
    <w:name w:val="heading 7"/>
    <w:basedOn w:val="Normal"/>
    <w:next w:val="Normal"/>
    <w:link w:val="Heading7Char"/>
    <w:qFormat/>
    <w:rsid w:val="000A0A97"/>
    <w:pPr>
      <w:ind w:left="720"/>
      <w:outlineLvl w:val="6"/>
    </w:pPr>
    <w:rPr>
      <w:i/>
    </w:rPr>
  </w:style>
  <w:style w:type="paragraph" w:styleId="Heading8">
    <w:name w:val="heading 8"/>
    <w:basedOn w:val="Normal"/>
    <w:next w:val="Normal"/>
    <w:link w:val="Heading8Char"/>
    <w:qFormat/>
    <w:rsid w:val="000A0A97"/>
    <w:pPr>
      <w:ind w:left="720"/>
      <w:outlineLvl w:val="7"/>
    </w:pPr>
    <w:rPr>
      <w:i/>
    </w:rPr>
  </w:style>
  <w:style w:type="paragraph" w:styleId="Heading9">
    <w:name w:val="heading 9"/>
    <w:basedOn w:val="Normal"/>
    <w:next w:val="Normal"/>
    <w:link w:val="Heading9Char"/>
    <w:qFormat/>
    <w:rsid w:val="000A0A97"/>
    <w:pPr>
      <w:ind w:left="720"/>
      <w:outlineLvl w:val="8"/>
    </w:pPr>
    <w:rPr>
      <w:i/>
    </w:rPr>
  </w:style>
  <w:style w:type="character" w:default="1" w:styleId="DefaultParagraphFont">
    <w:name w:val="Default Paragraph Font"/>
    <w:uiPriority w:val="1"/>
    <w:unhideWhenUsed/>
    <w:rsid w:val="000A0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A97"/>
  </w:style>
  <w:style w:type="character" w:customStyle="1" w:styleId="Heading1Char">
    <w:name w:val="Heading 1 Char"/>
    <w:basedOn w:val="DefaultParagraphFont"/>
    <w:link w:val="Heading1"/>
    <w:rsid w:val="000A0A97"/>
    <w:rPr>
      <w:rFonts w:ascii="Times New Roman" w:eastAsia="Times New Roman" w:hAnsi="Times New Roman" w:cs="Times New Roman"/>
      <w:b/>
      <w:sz w:val="32"/>
      <w:szCs w:val="20"/>
      <w:lang w:eastAsia="en-US"/>
    </w:rPr>
  </w:style>
  <w:style w:type="paragraph" w:styleId="BodyText">
    <w:name w:val="Body Text"/>
    <w:basedOn w:val="Normal"/>
    <w:link w:val="BodyTextChar"/>
    <w:rsid w:val="000A0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A97"/>
    <w:rPr>
      <w:rFonts w:ascii="Times New Roman" w:eastAsia="Times New Roman" w:hAnsi="Times New Roman" w:cs="Times New Roman"/>
      <w:sz w:val="24"/>
      <w:lang w:eastAsia="en-US"/>
    </w:rPr>
  </w:style>
  <w:style w:type="paragraph" w:styleId="ListBullet">
    <w:name w:val="List Bullet"/>
    <w:basedOn w:val="List"/>
    <w:rsid w:val="000A0A97"/>
    <w:pPr>
      <w:numPr>
        <w:numId w:val="11"/>
      </w:numPr>
      <w:tabs>
        <w:tab w:val="clear" w:pos="340"/>
      </w:tabs>
      <w:spacing w:before="40" w:after="40"/>
    </w:pPr>
  </w:style>
  <w:style w:type="character" w:customStyle="1" w:styleId="SpecialBold">
    <w:name w:val="Special Bold"/>
    <w:basedOn w:val="DefaultParagraphFont"/>
    <w:rsid w:val="000A0A97"/>
    <w:rPr>
      <w:b/>
      <w:spacing w:val="0"/>
    </w:rPr>
  </w:style>
  <w:style w:type="paragraph" w:customStyle="1" w:styleId="SuperHeading">
    <w:name w:val="SuperHeading"/>
    <w:basedOn w:val="Normal"/>
    <w:rsid w:val="000A0A97"/>
    <w:pPr>
      <w:spacing w:before="240" w:after="120"/>
      <w:outlineLvl w:val="0"/>
    </w:pPr>
    <w:rPr>
      <w:rFonts w:ascii="Times New Roman" w:hAnsi="Times New Roman"/>
      <w:b/>
      <w:sz w:val="32"/>
    </w:rPr>
  </w:style>
  <w:style w:type="paragraph" w:customStyle="1" w:styleId="AllowPageBreak">
    <w:name w:val="AllowPageBreak"/>
    <w:rsid w:val="000A0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A97"/>
    <w:rPr>
      <w:rFonts w:ascii="Courier New" w:eastAsia="Times New Roman" w:hAnsi="Courier New" w:cs="Times New Roman"/>
      <w:i/>
      <w:szCs w:val="20"/>
      <w:lang w:eastAsia="en-US"/>
    </w:rPr>
  </w:style>
  <w:style w:type="paragraph" w:customStyle="1" w:styleId="HeadingBase">
    <w:name w:val="Heading Base"/>
    <w:rsid w:val="000A0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A97"/>
    <w:pPr>
      <w:tabs>
        <w:tab w:val="right" w:leader="dot" w:pos="9072"/>
      </w:tabs>
      <w:ind w:left="567"/>
    </w:pPr>
    <w:rPr>
      <w:szCs w:val="22"/>
    </w:rPr>
  </w:style>
  <w:style w:type="paragraph" w:customStyle="1" w:styleId="TOCBase">
    <w:name w:val="TOC Base"/>
    <w:rsid w:val="000A0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A97"/>
    <w:pPr>
      <w:tabs>
        <w:tab w:val="right" w:leader="dot" w:pos="9072"/>
      </w:tabs>
      <w:spacing w:before="40" w:after="40"/>
      <w:ind w:left="284"/>
    </w:pPr>
    <w:rPr>
      <w:rFonts w:ascii="Times New Roman" w:hAnsi="Times New Roman"/>
    </w:rPr>
  </w:style>
  <w:style w:type="paragraph" w:styleId="TOC1">
    <w:name w:val="toc 1"/>
    <w:basedOn w:val="TOCBase"/>
    <w:next w:val="Normal"/>
    <w:rsid w:val="000A0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A97"/>
    <w:rPr>
      <w:rFonts w:ascii="Times New Roman" w:eastAsia="Times New Roman" w:hAnsi="Times New Roman" w:cs="Times New Roman"/>
      <w:sz w:val="16"/>
      <w:lang w:eastAsia="en-US"/>
    </w:rPr>
  </w:style>
  <w:style w:type="paragraph" w:styleId="Title">
    <w:name w:val="Title"/>
    <w:basedOn w:val="HeadingBase"/>
    <w:link w:val="TitleChar"/>
    <w:qFormat/>
    <w:rsid w:val="000A0A97"/>
    <w:pPr>
      <w:spacing w:before="5040"/>
      <w:jc w:val="center"/>
    </w:pPr>
    <w:rPr>
      <w:sz w:val="48"/>
      <w:szCs w:val="72"/>
      <w:lang w:val="en-US"/>
    </w:rPr>
  </w:style>
  <w:style w:type="character" w:customStyle="1" w:styleId="TitleChar">
    <w:name w:val="Title Char"/>
    <w:basedOn w:val="DefaultParagraphFont"/>
    <w:link w:val="Title"/>
    <w:rsid w:val="000A0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A97"/>
    <w:pPr>
      <w:tabs>
        <w:tab w:val="left" w:pos="3600"/>
        <w:tab w:val="left" w:pos="3958"/>
      </w:tabs>
    </w:pPr>
  </w:style>
  <w:style w:type="paragraph" w:styleId="List">
    <w:name w:val="List"/>
    <w:basedOn w:val="BodyText"/>
    <w:next w:val="BodyText"/>
    <w:rsid w:val="000A0A97"/>
    <w:pPr>
      <w:tabs>
        <w:tab w:val="left" w:pos="340"/>
      </w:tabs>
      <w:spacing w:before="60" w:after="60"/>
      <w:ind w:left="340" w:hanging="340"/>
    </w:pPr>
  </w:style>
  <w:style w:type="paragraph" w:customStyle="1" w:styleId="Note">
    <w:name w:val="Note"/>
    <w:basedOn w:val="BodyText"/>
    <w:rsid w:val="000A0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A97"/>
    <w:pPr>
      <w:framePr w:wrap="auto" w:hAnchor="text" w:y="6049"/>
    </w:pPr>
    <w:rPr>
      <w:color w:val="000000"/>
      <w:sz w:val="40"/>
    </w:rPr>
  </w:style>
  <w:style w:type="paragraph" w:customStyle="1" w:styleId="TOCTitle">
    <w:name w:val="TOCTitle"/>
    <w:basedOn w:val="Heading1"/>
    <w:rsid w:val="000A0A97"/>
    <w:pPr>
      <w:spacing w:after="240"/>
      <w:jc w:val="center"/>
      <w:outlineLvl w:val="9"/>
    </w:pPr>
    <w:rPr>
      <w:caps/>
    </w:rPr>
  </w:style>
  <w:style w:type="paragraph" w:customStyle="1" w:styleId="Version">
    <w:name w:val="Version"/>
    <w:rsid w:val="000A0A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A97"/>
    <w:pPr>
      <w:numPr>
        <w:numId w:val="12"/>
      </w:numPr>
      <w:tabs>
        <w:tab w:val="clear" w:pos="680"/>
      </w:tabs>
    </w:pPr>
  </w:style>
  <w:style w:type="paragraph" w:styleId="Index1">
    <w:name w:val="index 1"/>
    <w:basedOn w:val="Normal"/>
    <w:next w:val="Normal"/>
    <w:semiHidden/>
    <w:rsid w:val="000A0A97"/>
    <w:pPr>
      <w:keepNext w:val="0"/>
      <w:tabs>
        <w:tab w:val="right" w:pos="4176"/>
      </w:tabs>
      <w:ind w:left="198" w:hanging="198"/>
    </w:pPr>
    <w:rPr>
      <w:rFonts w:ascii="Garamond" w:hAnsi="Garamond"/>
    </w:rPr>
  </w:style>
  <w:style w:type="paragraph" w:styleId="IndexHeading">
    <w:name w:val="index heading"/>
    <w:basedOn w:val="Normal"/>
    <w:next w:val="Index1"/>
    <w:semiHidden/>
    <w:rsid w:val="000A0A97"/>
    <w:pPr>
      <w:spacing w:before="120" w:after="120"/>
    </w:pPr>
    <w:rPr>
      <w:rFonts w:ascii="Arial" w:hAnsi="Arial"/>
      <w:b/>
      <w:color w:val="918585"/>
      <w:sz w:val="24"/>
    </w:rPr>
  </w:style>
  <w:style w:type="paragraph" w:styleId="Header">
    <w:name w:val="header"/>
    <w:basedOn w:val="Normal"/>
    <w:link w:val="HeaderChar"/>
    <w:rsid w:val="000A0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A97"/>
    <w:rPr>
      <w:rFonts w:ascii="Times New Roman" w:eastAsia="Times New Roman" w:hAnsi="Times New Roman" w:cs="Times New Roman"/>
      <w:sz w:val="16"/>
      <w:szCs w:val="20"/>
      <w:lang w:val="en-GB" w:eastAsia="en-US"/>
    </w:rPr>
  </w:style>
  <w:style w:type="paragraph" w:customStyle="1" w:styleId="Chapter">
    <w:name w:val="Chapter"/>
    <w:basedOn w:val="Normal"/>
    <w:rsid w:val="000A0A97"/>
    <w:pPr>
      <w:spacing w:before="240"/>
    </w:pPr>
    <w:rPr>
      <w:rFonts w:ascii="Times New Roman" w:hAnsi="Times New Roman"/>
      <w:smallCaps/>
      <w:spacing w:val="80"/>
      <w:sz w:val="28"/>
    </w:rPr>
  </w:style>
  <w:style w:type="paragraph" w:customStyle="1" w:styleId="InChapter">
    <w:name w:val="InChapter"/>
    <w:basedOn w:val="Heading3"/>
    <w:rsid w:val="000A0A97"/>
    <w:pPr>
      <w:spacing w:after="240"/>
      <w:outlineLvl w:val="9"/>
    </w:pPr>
    <w:rPr>
      <w:noProof/>
    </w:rPr>
  </w:style>
  <w:style w:type="paragraph" w:styleId="Index2">
    <w:name w:val="index 2"/>
    <w:basedOn w:val="Normal"/>
    <w:next w:val="Normal"/>
    <w:semiHidden/>
    <w:rsid w:val="000A0A97"/>
    <w:pPr>
      <w:tabs>
        <w:tab w:val="right" w:pos="4176"/>
      </w:tabs>
      <w:ind w:left="568" w:hanging="284"/>
    </w:pPr>
    <w:rPr>
      <w:rFonts w:ascii="Garamond" w:hAnsi="Garamond"/>
    </w:rPr>
  </w:style>
  <w:style w:type="paragraph" w:customStyle="1" w:styleId="Byline">
    <w:name w:val="Byline"/>
    <w:rsid w:val="000A0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A97"/>
    <w:pPr>
      <w:tabs>
        <w:tab w:val="clear" w:pos="3600"/>
        <w:tab w:val="clear" w:pos="3958"/>
      </w:tabs>
      <w:jc w:val="right"/>
    </w:pPr>
  </w:style>
  <w:style w:type="character" w:styleId="Emphasis">
    <w:name w:val="Emphasis"/>
    <w:basedOn w:val="DefaultParagraphFont"/>
    <w:qFormat/>
    <w:rsid w:val="000A0A97"/>
    <w:rPr>
      <w:i/>
    </w:rPr>
  </w:style>
  <w:style w:type="paragraph" w:styleId="Caption">
    <w:name w:val="caption"/>
    <w:basedOn w:val="BodyText"/>
    <w:next w:val="Normal"/>
    <w:qFormat/>
    <w:rsid w:val="000A0A97"/>
    <w:pPr>
      <w:framePr w:w="2268" w:hSpace="181" w:vSpace="181" w:wrap="around" w:vAnchor="text" w:hAnchor="page" w:x="1135" w:y="285" w:anchorLock="1"/>
    </w:pPr>
    <w:rPr>
      <w:i/>
    </w:rPr>
  </w:style>
  <w:style w:type="paragraph" w:customStyle="1" w:styleId="MiniTOCTitle">
    <w:name w:val="MiniTOCTitle"/>
    <w:basedOn w:val="Heading4"/>
    <w:rsid w:val="000A0A97"/>
    <w:pPr>
      <w:spacing w:before="240"/>
      <w:outlineLvl w:val="9"/>
    </w:pPr>
    <w:rPr>
      <w:noProof/>
      <w:sz w:val="24"/>
    </w:rPr>
  </w:style>
  <w:style w:type="paragraph" w:customStyle="1" w:styleId="MiniTOCItem">
    <w:name w:val="MiniTOCItem"/>
    <w:basedOn w:val="ListBullet"/>
    <w:rsid w:val="000A0A97"/>
    <w:pPr>
      <w:numPr>
        <w:numId w:val="0"/>
      </w:numPr>
      <w:tabs>
        <w:tab w:val="right" w:leader="dot" w:pos="6521"/>
      </w:tabs>
      <w:spacing w:before="0" w:after="0"/>
    </w:pPr>
  </w:style>
  <w:style w:type="paragraph" w:customStyle="1" w:styleId="TOFTitle">
    <w:name w:val="TOFTitle"/>
    <w:basedOn w:val="TOCTitle"/>
    <w:rsid w:val="000A0A97"/>
  </w:style>
  <w:style w:type="paragraph" w:styleId="TableofFigures">
    <w:name w:val="table of figures"/>
    <w:basedOn w:val="Normal"/>
    <w:next w:val="Normal"/>
    <w:semiHidden/>
    <w:rsid w:val="000A0A97"/>
    <w:pPr>
      <w:tabs>
        <w:tab w:val="right" w:leader="dot" w:pos="9072"/>
      </w:tabs>
      <w:ind w:left="970" w:hanging="403"/>
    </w:pPr>
    <w:rPr>
      <w:rFonts w:ascii="Times New Roman" w:hAnsi="Times New Roman"/>
      <w:b/>
    </w:rPr>
  </w:style>
  <w:style w:type="paragraph" w:styleId="ListNumber">
    <w:name w:val="List Number"/>
    <w:basedOn w:val="List"/>
    <w:rsid w:val="000A0A97"/>
    <w:pPr>
      <w:numPr>
        <w:numId w:val="14"/>
      </w:numPr>
      <w:tabs>
        <w:tab w:val="clear" w:pos="340"/>
      </w:tabs>
    </w:pPr>
  </w:style>
  <w:style w:type="character" w:customStyle="1" w:styleId="WingdingSymbols">
    <w:name w:val="Wingding Symbols"/>
    <w:rsid w:val="000A0A97"/>
    <w:rPr>
      <w:rFonts w:ascii="Wingdings" w:hAnsi="Wingdings"/>
    </w:rPr>
  </w:style>
  <w:style w:type="paragraph" w:customStyle="1" w:styleId="TableHeading">
    <w:name w:val="Table Heading"/>
    <w:basedOn w:val="HeadingBase"/>
    <w:rsid w:val="000A0A97"/>
    <w:pPr>
      <w:keepLines/>
      <w:pBdr>
        <w:bottom w:val="single" w:sz="6" w:space="1" w:color="918585"/>
      </w:pBdr>
      <w:spacing w:before="240"/>
    </w:pPr>
  </w:style>
  <w:style w:type="character" w:customStyle="1" w:styleId="HotSpot">
    <w:name w:val="HotSpot"/>
    <w:rsid w:val="000A0A97"/>
    <w:rPr>
      <w:color w:val="0033CC"/>
      <w:u w:val="none"/>
    </w:rPr>
  </w:style>
  <w:style w:type="paragraph" w:customStyle="1" w:styleId="BodyTextRight">
    <w:name w:val="Body Text Right"/>
    <w:basedOn w:val="BodyText"/>
    <w:rsid w:val="000A0A97"/>
    <w:pPr>
      <w:spacing w:before="0" w:after="0"/>
      <w:jc w:val="right"/>
    </w:pPr>
  </w:style>
  <w:style w:type="paragraph" w:styleId="Index3">
    <w:name w:val="index 3"/>
    <w:basedOn w:val="ListNumber2"/>
    <w:next w:val="Normal"/>
    <w:semiHidden/>
    <w:rsid w:val="000A0A97"/>
    <w:pPr>
      <w:numPr>
        <w:numId w:val="0"/>
      </w:numPr>
      <w:tabs>
        <w:tab w:val="right" w:leader="dot" w:pos="4176"/>
      </w:tabs>
    </w:pPr>
  </w:style>
  <w:style w:type="paragraph" w:styleId="ListNumber2">
    <w:name w:val="List Number 2"/>
    <w:basedOn w:val="List2"/>
    <w:rsid w:val="000A0A97"/>
    <w:pPr>
      <w:numPr>
        <w:numId w:val="9"/>
      </w:numPr>
      <w:tabs>
        <w:tab w:val="clear" w:pos="1060"/>
      </w:tabs>
    </w:pPr>
  </w:style>
  <w:style w:type="paragraph" w:customStyle="1" w:styleId="MarginNote">
    <w:name w:val="Margin Note"/>
    <w:basedOn w:val="BodyText"/>
    <w:rsid w:val="000A0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A97"/>
    <w:rPr>
      <w:sz w:val="32"/>
    </w:rPr>
  </w:style>
  <w:style w:type="paragraph" w:customStyle="1" w:styleId="HeadingProcedure">
    <w:name w:val="Heading Procedure"/>
    <w:basedOn w:val="HeadingBase"/>
    <w:next w:val="Normal"/>
    <w:rsid w:val="000A0A97"/>
    <w:pPr>
      <w:tabs>
        <w:tab w:val="left" w:pos="0"/>
      </w:tabs>
      <w:spacing w:before="120" w:after="60"/>
    </w:pPr>
    <w:rPr>
      <w:i/>
      <w:color w:val="918585"/>
      <w:sz w:val="22"/>
    </w:rPr>
  </w:style>
  <w:style w:type="paragraph" w:customStyle="1" w:styleId="TableBodyText">
    <w:name w:val="Table Body Text"/>
    <w:basedOn w:val="BodyText"/>
    <w:rsid w:val="000A0A97"/>
    <w:pPr>
      <w:spacing w:before="60" w:after="60"/>
    </w:pPr>
  </w:style>
  <w:style w:type="paragraph" w:styleId="ListContinue">
    <w:name w:val="List Continue"/>
    <w:basedOn w:val="List"/>
    <w:rsid w:val="000A0A97"/>
    <w:pPr>
      <w:ind w:firstLine="0"/>
    </w:pPr>
  </w:style>
  <w:style w:type="paragraph" w:customStyle="1" w:styleId="ListNote">
    <w:name w:val="List Note"/>
    <w:basedOn w:val="List"/>
    <w:rsid w:val="000A0A97"/>
    <w:pPr>
      <w:pBdr>
        <w:top w:val="single" w:sz="6" w:space="2" w:color="918585"/>
        <w:bottom w:val="single" w:sz="6" w:space="2" w:color="918585"/>
      </w:pBdr>
      <w:tabs>
        <w:tab w:val="left" w:pos="1021"/>
      </w:tabs>
      <w:ind w:firstLine="0"/>
    </w:pPr>
  </w:style>
  <w:style w:type="paragraph" w:customStyle="1" w:styleId="Warning">
    <w:name w:val="Warning"/>
    <w:basedOn w:val="BodyText"/>
    <w:rsid w:val="000A0A97"/>
    <w:pPr>
      <w:shd w:val="clear" w:color="auto" w:fill="D9D9D9"/>
      <w:tabs>
        <w:tab w:val="left" w:pos="992"/>
      </w:tabs>
      <w:ind w:left="119" w:right="119"/>
    </w:pPr>
    <w:rPr>
      <w:sz w:val="20"/>
    </w:rPr>
  </w:style>
  <w:style w:type="paragraph" w:customStyle="1" w:styleId="MarginIcons">
    <w:name w:val="Margin Icons"/>
    <w:basedOn w:val="BodyText"/>
    <w:rsid w:val="000A0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A97"/>
    <w:rPr>
      <w:rFonts w:ascii="Courier New" w:hAnsi="Courier New"/>
    </w:rPr>
  </w:style>
  <w:style w:type="paragraph" w:customStyle="1" w:styleId="NoteBullet">
    <w:name w:val="Note Bullet"/>
    <w:basedOn w:val="Note"/>
    <w:rsid w:val="000A0A97"/>
    <w:pPr>
      <w:tabs>
        <w:tab w:val="clear" w:pos="680"/>
      </w:tabs>
      <w:spacing w:before="60" w:after="60"/>
    </w:pPr>
  </w:style>
  <w:style w:type="paragraph" w:customStyle="1" w:styleId="SubHeading2">
    <w:name w:val="SubHeading2"/>
    <w:basedOn w:val="HeadingBase"/>
    <w:rsid w:val="000A0A97"/>
    <w:pPr>
      <w:spacing w:before="240" w:after="60"/>
    </w:pPr>
    <w:rPr>
      <w:sz w:val="20"/>
    </w:rPr>
  </w:style>
  <w:style w:type="paragraph" w:customStyle="1" w:styleId="SubHeading1">
    <w:name w:val="SubHeading1"/>
    <w:basedOn w:val="HeadingBase"/>
    <w:rsid w:val="000A0A97"/>
    <w:pPr>
      <w:spacing w:before="240" w:after="60"/>
    </w:pPr>
    <w:rPr>
      <w:color w:val="918585"/>
      <w:sz w:val="22"/>
    </w:rPr>
  </w:style>
  <w:style w:type="paragraph" w:customStyle="1" w:styleId="SideHeading">
    <w:name w:val="Side Heading"/>
    <w:basedOn w:val="HeadingBase"/>
    <w:rsid w:val="000A0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A97"/>
    <w:pPr>
      <w:numPr>
        <w:numId w:val="10"/>
      </w:numPr>
    </w:pPr>
  </w:style>
  <w:style w:type="paragraph" w:styleId="PlainText">
    <w:name w:val="Plain Text"/>
    <w:basedOn w:val="Normal"/>
    <w:link w:val="PlainTextChar"/>
    <w:rsid w:val="000A0A97"/>
    <w:rPr>
      <w:sz w:val="20"/>
    </w:rPr>
  </w:style>
  <w:style w:type="character" w:customStyle="1" w:styleId="PlainTextChar">
    <w:name w:val="Plain Text Char"/>
    <w:basedOn w:val="DefaultParagraphFont"/>
    <w:link w:val="PlainText"/>
    <w:rsid w:val="000A0A97"/>
    <w:rPr>
      <w:rFonts w:ascii="Courier New" w:eastAsia="Times New Roman" w:hAnsi="Courier New" w:cs="Times New Roman"/>
      <w:sz w:val="20"/>
      <w:szCs w:val="20"/>
      <w:lang w:eastAsia="en-US"/>
    </w:rPr>
  </w:style>
  <w:style w:type="character" w:customStyle="1" w:styleId="MenuOption">
    <w:name w:val="Menu Option"/>
    <w:basedOn w:val="DefaultParagraphFont"/>
    <w:rsid w:val="000A0A97"/>
    <w:rPr>
      <w:b/>
      <w:smallCaps/>
    </w:rPr>
  </w:style>
  <w:style w:type="paragraph" w:customStyle="1" w:styleId="TableListNumber">
    <w:name w:val="Table List Number"/>
    <w:basedOn w:val="ListNumber"/>
    <w:rsid w:val="000A0A97"/>
    <w:pPr>
      <w:numPr>
        <w:numId w:val="0"/>
      </w:numPr>
    </w:pPr>
  </w:style>
  <w:style w:type="paragraph" w:styleId="TOC4">
    <w:name w:val="toc 4"/>
    <w:basedOn w:val="TOCBase"/>
    <w:next w:val="Normal"/>
    <w:semiHidden/>
    <w:rsid w:val="000A0A97"/>
    <w:pPr>
      <w:tabs>
        <w:tab w:val="right" w:leader="dot" w:pos="9071"/>
      </w:tabs>
      <w:ind w:left="1701"/>
    </w:pPr>
  </w:style>
  <w:style w:type="paragraph" w:customStyle="1" w:styleId="ListAlpha">
    <w:name w:val="List Alpha"/>
    <w:basedOn w:val="List"/>
    <w:rsid w:val="000A0A97"/>
    <w:pPr>
      <w:numPr>
        <w:numId w:val="8"/>
      </w:numPr>
    </w:pPr>
  </w:style>
  <w:style w:type="paragraph" w:customStyle="1" w:styleId="ListAlpha2">
    <w:name w:val="List Alpha 2"/>
    <w:basedOn w:val="List2"/>
    <w:rsid w:val="000A0A97"/>
    <w:pPr>
      <w:numPr>
        <w:numId w:val="7"/>
      </w:numPr>
    </w:pPr>
  </w:style>
  <w:style w:type="paragraph" w:styleId="List2">
    <w:name w:val="List 2"/>
    <w:basedOn w:val="BodyText"/>
    <w:rsid w:val="000A0A97"/>
    <w:pPr>
      <w:tabs>
        <w:tab w:val="left" w:pos="680"/>
      </w:tabs>
      <w:spacing w:before="60" w:after="60"/>
      <w:ind w:left="680" w:hanging="340"/>
    </w:pPr>
  </w:style>
  <w:style w:type="paragraph" w:styleId="List3">
    <w:name w:val="List 3"/>
    <w:basedOn w:val="BodyText"/>
    <w:rsid w:val="000A0A97"/>
    <w:pPr>
      <w:tabs>
        <w:tab w:val="left" w:pos="1021"/>
      </w:tabs>
      <w:spacing w:before="60" w:after="60"/>
      <w:ind w:left="1020" w:hanging="340"/>
    </w:pPr>
  </w:style>
  <w:style w:type="paragraph" w:styleId="List4">
    <w:name w:val="List 4"/>
    <w:basedOn w:val="BodyText"/>
    <w:rsid w:val="000A0A97"/>
    <w:pPr>
      <w:tabs>
        <w:tab w:val="left" w:pos="1361"/>
      </w:tabs>
      <w:spacing w:before="60" w:after="60"/>
      <w:ind w:left="1361" w:hanging="340"/>
    </w:pPr>
  </w:style>
  <w:style w:type="paragraph" w:styleId="List5">
    <w:name w:val="List 5"/>
    <w:basedOn w:val="BodyText"/>
    <w:rsid w:val="000A0A97"/>
    <w:pPr>
      <w:tabs>
        <w:tab w:val="left" w:pos="1701"/>
      </w:tabs>
      <w:spacing w:before="60" w:after="60"/>
      <w:ind w:left="1701" w:hanging="340"/>
    </w:pPr>
  </w:style>
  <w:style w:type="paragraph" w:styleId="ListBullet3">
    <w:name w:val="List Bullet 3"/>
    <w:basedOn w:val="List3"/>
    <w:rsid w:val="000A0A97"/>
    <w:pPr>
      <w:numPr>
        <w:numId w:val="13"/>
      </w:numPr>
      <w:tabs>
        <w:tab w:val="clear" w:pos="1021"/>
      </w:tabs>
      <w:ind w:left="1037" w:hanging="357"/>
    </w:pPr>
  </w:style>
  <w:style w:type="paragraph" w:styleId="ListBullet4">
    <w:name w:val="List Bullet 4"/>
    <w:basedOn w:val="List4"/>
    <w:rsid w:val="000A0A97"/>
    <w:pPr>
      <w:numPr>
        <w:numId w:val="2"/>
      </w:numPr>
      <w:tabs>
        <w:tab w:val="clear" w:pos="1361"/>
      </w:tabs>
    </w:pPr>
  </w:style>
  <w:style w:type="paragraph" w:styleId="ListBullet5">
    <w:name w:val="List Bullet 5"/>
    <w:basedOn w:val="List5"/>
    <w:rsid w:val="000A0A97"/>
    <w:pPr>
      <w:numPr>
        <w:numId w:val="3"/>
      </w:numPr>
    </w:pPr>
  </w:style>
  <w:style w:type="paragraph" w:styleId="ListContinue2">
    <w:name w:val="List Continue 2"/>
    <w:basedOn w:val="List2"/>
    <w:rsid w:val="000A0A97"/>
    <w:pPr>
      <w:ind w:firstLine="0"/>
    </w:pPr>
  </w:style>
  <w:style w:type="paragraph" w:styleId="ListContinue3">
    <w:name w:val="List Continue 3"/>
    <w:basedOn w:val="List3"/>
    <w:rsid w:val="000A0A97"/>
    <w:pPr>
      <w:ind w:left="1021" w:firstLine="0"/>
    </w:pPr>
  </w:style>
  <w:style w:type="paragraph" w:styleId="ListContinue4">
    <w:name w:val="List Continue 4"/>
    <w:basedOn w:val="List4"/>
    <w:rsid w:val="000A0A97"/>
    <w:pPr>
      <w:ind w:firstLine="0"/>
    </w:pPr>
  </w:style>
  <w:style w:type="paragraph" w:styleId="ListContinue5">
    <w:name w:val="List Continue 5"/>
    <w:basedOn w:val="List5"/>
    <w:rsid w:val="000A0A97"/>
    <w:pPr>
      <w:ind w:firstLine="0"/>
    </w:pPr>
  </w:style>
  <w:style w:type="paragraph" w:styleId="ListNumber3">
    <w:name w:val="List Number 3"/>
    <w:basedOn w:val="List3"/>
    <w:rsid w:val="000A0A97"/>
    <w:pPr>
      <w:numPr>
        <w:numId w:val="4"/>
      </w:numPr>
    </w:pPr>
  </w:style>
  <w:style w:type="paragraph" w:styleId="ListNumber4">
    <w:name w:val="List Number 4"/>
    <w:basedOn w:val="List4"/>
    <w:rsid w:val="000A0A97"/>
    <w:pPr>
      <w:numPr>
        <w:numId w:val="5"/>
      </w:numPr>
    </w:pPr>
  </w:style>
  <w:style w:type="paragraph" w:styleId="ListNumber5">
    <w:name w:val="List Number 5"/>
    <w:basedOn w:val="List5"/>
    <w:rsid w:val="000A0A97"/>
    <w:pPr>
      <w:numPr>
        <w:numId w:val="6"/>
      </w:numPr>
    </w:pPr>
  </w:style>
  <w:style w:type="paragraph" w:styleId="BlockText">
    <w:name w:val="Block Text"/>
    <w:basedOn w:val="Normal"/>
    <w:rsid w:val="000A0A97"/>
    <w:pPr>
      <w:spacing w:after="120"/>
      <w:ind w:left="1440" w:right="1440"/>
    </w:pPr>
  </w:style>
  <w:style w:type="character" w:customStyle="1" w:styleId="Subscript">
    <w:name w:val="Subscript"/>
    <w:basedOn w:val="DefaultParagraphFont"/>
    <w:rsid w:val="000A0A97"/>
    <w:rPr>
      <w:sz w:val="16"/>
      <w:vertAlign w:val="subscript"/>
    </w:rPr>
  </w:style>
  <w:style w:type="character" w:customStyle="1" w:styleId="Superscript">
    <w:name w:val="Superscript"/>
    <w:basedOn w:val="DefaultParagraphFont"/>
    <w:rsid w:val="000A0A97"/>
    <w:rPr>
      <w:sz w:val="16"/>
      <w:vertAlign w:val="superscript"/>
    </w:rPr>
  </w:style>
  <w:style w:type="character" w:customStyle="1" w:styleId="Symbols">
    <w:name w:val="Symbols"/>
    <w:basedOn w:val="DefaultParagraphFont"/>
    <w:rsid w:val="000A0A97"/>
    <w:rPr>
      <w:rFonts w:ascii="Symbol" w:hAnsi="Symbol"/>
    </w:rPr>
  </w:style>
  <w:style w:type="character" w:customStyle="1" w:styleId="MenuOptions">
    <w:name w:val="Menu Options"/>
    <w:basedOn w:val="DefaultParagraphFont"/>
    <w:rsid w:val="000A0A97"/>
    <w:rPr>
      <w:rFonts w:ascii="Arial Narrow" w:hAnsi="Arial Narrow"/>
      <w:smallCaps/>
    </w:rPr>
  </w:style>
  <w:style w:type="character" w:customStyle="1" w:styleId="Buttons">
    <w:name w:val="Buttons"/>
    <w:basedOn w:val="DefaultParagraphFont"/>
    <w:rsid w:val="000A0A97"/>
    <w:rPr>
      <w:b/>
    </w:rPr>
  </w:style>
  <w:style w:type="character" w:customStyle="1" w:styleId="Underlined">
    <w:name w:val="Underlined"/>
    <w:basedOn w:val="DefaultParagraphFont"/>
    <w:rsid w:val="000A0A97"/>
    <w:rPr>
      <w:u w:val="single"/>
    </w:rPr>
  </w:style>
  <w:style w:type="paragraph" w:customStyle="1" w:styleId="TableBodyTextRight">
    <w:name w:val="Table Body Text Right"/>
    <w:basedOn w:val="TableBodyText"/>
    <w:rsid w:val="000A0A97"/>
    <w:pPr>
      <w:widowControl w:val="0"/>
      <w:autoSpaceDE w:val="0"/>
      <w:autoSpaceDN w:val="0"/>
      <w:adjustRightInd w:val="0"/>
      <w:jc w:val="right"/>
    </w:pPr>
    <w:rPr>
      <w:rFonts w:cs="Arial"/>
      <w:szCs w:val="18"/>
    </w:rPr>
  </w:style>
  <w:style w:type="paragraph" w:customStyle="1" w:styleId="CopyrightText">
    <w:name w:val="Copyright Text"/>
    <w:basedOn w:val="BodyText"/>
    <w:rsid w:val="000A0A97"/>
    <w:rPr>
      <w:sz w:val="18"/>
    </w:rPr>
  </w:style>
  <w:style w:type="paragraph" w:customStyle="1" w:styleId="BodySmallRight">
    <w:name w:val="Body Small Right"/>
    <w:basedOn w:val="BodyTextRight"/>
    <w:rsid w:val="000A0A97"/>
    <w:rPr>
      <w:sz w:val="18"/>
      <w:szCs w:val="18"/>
    </w:rPr>
  </w:style>
  <w:style w:type="paragraph" w:customStyle="1" w:styleId="MarginEdition">
    <w:name w:val="Margin Edition"/>
    <w:basedOn w:val="MarginNote"/>
    <w:rsid w:val="000A0A97"/>
    <w:pPr>
      <w:spacing w:before="0" w:after="0"/>
    </w:pPr>
    <w:rPr>
      <w:rFonts w:ascii="Times New Roman" w:hAnsi="Times New Roman"/>
      <w:color w:val="999999"/>
    </w:rPr>
  </w:style>
  <w:style w:type="paragraph" w:customStyle="1" w:styleId="Spacer">
    <w:name w:val="Spacer"/>
    <w:basedOn w:val="Normal"/>
    <w:rsid w:val="000A0A97"/>
    <w:rPr>
      <w:sz w:val="2"/>
      <w:szCs w:val="2"/>
    </w:rPr>
  </w:style>
  <w:style w:type="character" w:customStyle="1" w:styleId="Small">
    <w:name w:val="Small"/>
    <w:basedOn w:val="DefaultParagraphFont"/>
    <w:rsid w:val="000A0A97"/>
    <w:rPr>
      <w:sz w:val="16"/>
    </w:rPr>
  </w:style>
  <w:style w:type="paragraph" w:customStyle="1" w:styleId="WideTable">
    <w:name w:val="Wide Table"/>
    <w:basedOn w:val="Normal"/>
    <w:rsid w:val="000A0A97"/>
    <w:pPr>
      <w:ind w:left="-1418"/>
    </w:pPr>
    <w:rPr>
      <w:sz w:val="2"/>
      <w:szCs w:val="2"/>
    </w:rPr>
  </w:style>
  <w:style w:type="character" w:styleId="PageNumber">
    <w:name w:val="page number"/>
    <w:basedOn w:val="DefaultParagraphFont"/>
    <w:rsid w:val="000A0A97"/>
  </w:style>
  <w:style w:type="paragraph" w:styleId="Quote">
    <w:name w:val="Quote"/>
    <w:basedOn w:val="Heading1"/>
    <w:link w:val="QuoteChar"/>
    <w:qFormat/>
    <w:rsid w:val="000A0A97"/>
    <w:rPr>
      <w:b w:val="0"/>
      <w:sz w:val="72"/>
      <w:szCs w:val="72"/>
      <w:lang w:val="en-NZ"/>
    </w:rPr>
  </w:style>
  <w:style w:type="character" w:customStyle="1" w:styleId="QuoteChar">
    <w:name w:val="Quote Char"/>
    <w:basedOn w:val="DefaultParagraphFont"/>
    <w:link w:val="Quote"/>
    <w:rsid w:val="000A0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A97"/>
    <w:pPr>
      <w:pageBreakBefore/>
    </w:pPr>
  </w:style>
  <w:style w:type="paragraph" w:customStyle="1" w:styleId="Border">
    <w:name w:val="Border"/>
    <w:basedOn w:val="Normal"/>
    <w:qFormat/>
    <w:rsid w:val="000A0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A97"/>
    <w:rPr>
      <w:b/>
      <w:bCs/>
      <w:i/>
      <w:iCs/>
      <w:color w:val="auto"/>
    </w:rPr>
  </w:style>
  <w:style w:type="paragraph" w:styleId="IntenseQuote">
    <w:name w:val="Intense Quote"/>
    <w:basedOn w:val="Normal"/>
    <w:next w:val="Normal"/>
    <w:link w:val="IntenseQuoteChar"/>
    <w:uiPriority w:val="30"/>
    <w:qFormat/>
    <w:rsid w:val="000A0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A97"/>
    <w:rPr>
      <w:smallCaps/>
      <w:color w:val="auto"/>
      <w:u w:val="single"/>
    </w:rPr>
  </w:style>
  <w:style w:type="character" w:styleId="IntenseReference">
    <w:name w:val="Intense Reference"/>
    <w:basedOn w:val="DefaultParagraphFont"/>
    <w:uiPriority w:val="32"/>
    <w:qFormat/>
    <w:rsid w:val="000A0A97"/>
    <w:rPr>
      <w:b/>
      <w:bCs/>
      <w:smallCaps/>
      <w:color w:val="auto"/>
      <w:spacing w:val="5"/>
      <w:u w:val="single"/>
    </w:rPr>
  </w:style>
  <w:style w:type="paragraph" w:customStyle="1" w:styleId="2ColumnHeading">
    <w:name w:val="2Column Heading"/>
    <w:basedOn w:val="BodyText"/>
    <w:qFormat/>
    <w:rsid w:val="000A0A97"/>
    <w:pPr>
      <w:spacing w:after="60"/>
      <w:ind w:left="-2268"/>
    </w:pPr>
    <w:rPr>
      <w:b/>
    </w:rPr>
  </w:style>
  <w:style w:type="paragraph" w:customStyle="1" w:styleId="Heading1TOC">
    <w:name w:val="Heading1 TOC"/>
    <w:basedOn w:val="Normal"/>
    <w:qFormat/>
    <w:rsid w:val="000A0A97"/>
    <w:pPr>
      <w:spacing w:before="240" w:after="120"/>
    </w:pPr>
    <w:rPr>
      <w:rFonts w:ascii="Times New Roman" w:hAnsi="Times New Roman"/>
      <w:b/>
      <w:sz w:val="32"/>
    </w:rPr>
  </w:style>
  <w:style w:type="paragraph" w:customStyle="1" w:styleId="Heading2TOC">
    <w:name w:val="Heading2 TOC"/>
    <w:basedOn w:val="Normal"/>
    <w:qFormat/>
    <w:rsid w:val="000A0A97"/>
    <w:pPr>
      <w:spacing w:before="240" w:after="60"/>
    </w:pPr>
    <w:rPr>
      <w:rFonts w:ascii="Times New Roman" w:hAnsi="Times New Roman"/>
      <w:b/>
      <w:sz w:val="28"/>
    </w:rPr>
  </w:style>
  <w:style w:type="character" w:customStyle="1" w:styleId="Underline">
    <w:name w:val="Underline"/>
    <w:basedOn w:val="DefaultParagraphFont"/>
    <w:qFormat/>
    <w:rsid w:val="000A0A97"/>
    <w:rPr>
      <w:u w:val="single"/>
    </w:rPr>
  </w:style>
  <w:style w:type="character" w:customStyle="1" w:styleId="BoldandItalics">
    <w:name w:val="Bold and Italics"/>
    <w:qFormat/>
    <w:rsid w:val="000A0A97"/>
    <w:rPr>
      <w:b/>
      <w:i/>
      <w:u w:val="none"/>
    </w:rPr>
  </w:style>
  <w:style w:type="paragraph" w:styleId="BalloonText">
    <w:name w:val="Balloon Text"/>
    <w:basedOn w:val="Normal"/>
    <w:link w:val="BalloonTextChar"/>
    <w:rsid w:val="000A0A97"/>
    <w:rPr>
      <w:rFonts w:ascii="Tahoma" w:hAnsi="Tahoma" w:cs="Tahoma"/>
      <w:sz w:val="16"/>
      <w:szCs w:val="16"/>
    </w:rPr>
  </w:style>
  <w:style w:type="character" w:customStyle="1" w:styleId="BalloonTextChar">
    <w:name w:val="Balloon Text Char"/>
    <w:basedOn w:val="DefaultParagraphFont"/>
    <w:link w:val="BalloonText"/>
    <w:rsid w:val="000A0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A97"/>
    <w:rPr>
      <w:b/>
      <w:color w:val="660033"/>
      <w:spacing w:val="0"/>
    </w:rPr>
  </w:style>
  <w:style w:type="paragraph" w:customStyle="1" w:styleId="Nameditemlist">
    <w:name w:val="Named item list"/>
    <w:basedOn w:val="BodyText"/>
    <w:qFormat/>
    <w:rsid w:val="000A0A97"/>
    <w:pPr>
      <w:tabs>
        <w:tab w:val="left" w:pos="2835"/>
      </w:tabs>
      <w:ind w:left="2835" w:hanging="2835"/>
    </w:pPr>
  </w:style>
  <w:style w:type="paragraph" w:customStyle="1" w:styleId="BodyTextnopadding">
    <w:name w:val="Body Text no padding"/>
    <w:basedOn w:val="BodyText"/>
    <w:qFormat/>
    <w:rsid w:val="000A0A97"/>
    <w:pPr>
      <w:spacing w:before="0" w:after="0"/>
    </w:pPr>
  </w:style>
  <w:style w:type="paragraph" w:customStyle="1" w:styleId="BodyTextBold">
    <w:name w:val="Body Text Bold"/>
    <w:basedOn w:val="BodyText"/>
    <w:qFormat/>
    <w:rsid w:val="000A0A97"/>
    <w:rPr>
      <w:b/>
    </w:rPr>
  </w:style>
  <w:style w:type="character" w:styleId="Hyperlink">
    <w:name w:val="Hyperlink"/>
    <w:basedOn w:val="DefaultParagraphFont"/>
    <w:uiPriority w:val="99"/>
    <w:unhideWhenUsed/>
    <w:rsid w:val="00546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5294</Characters>
  <Application>Microsoft Office Word</Application>
  <DocSecurity>0</DocSecurity>
  <Lines>240</Lines>
  <Paragraphs>166</Paragraphs>
  <ScaleCrop>false</ScaleCrop>
  <Company>Author-it Software Corporation Ltd.</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UEE20111 Certificate II in Split Air-conditioning and Heat Pump Systems</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2022-12-22T22:00:00Z</dcterms:created>
  <dcterms:modified xsi:type="dcterms:W3CDTF">2022-12-22T22:00:00Z</dcterms:modified>
</cp:coreProperties>
</file>