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A7E" w:rsidP="00C36A7E">
      <w:pPr>
        <w:pStyle w:val="Title"/>
      </w:pPr>
      <w:r>
        <w:fldChar w:fldCharType="begin"/>
      </w:r>
      <w:r>
        <w:instrText xml:space="preserve"> TITLE   \* MERGEFORMAT </w:instrText>
      </w:r>
      <w:r>
        <w:fldChar w:fldCharType="separate"/>
      </w:r>
      <w:r>
        <w:t>UEE10110 Certificate I in ElectroComms Skills</w:t>
      </w:r>
      <w:r>
        <w:fldChar w:fldCharType="end"/>
      </w:r>
    </w:p>
    <w:p w:rsidR="00C36A7E" w:rsidP="00C36A7E">
      <w:pPr>
        <w:pStyle w:val="Version"/>
        <w:sectPr w:rsidSect="000F6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E6A" w:rsidP="000F6E6A">
      <w:pPr>
        <w:pStyle w:val="SuperHeading"/>
      </w:pPr>
      <w:r w:rsidRPr="000F6E6A">
        <w:t>UEE10110 Certificate I in ElectroComms Skills</w:t>
      </w:r>
    </w:p>
    <w:p w:rsidR="00000000" w:rsidRPr="000F6E6A" w:rsidP="000F6E6A">
      <w:pPr>
        <w:pStyle w:val="Heading1"/>
      </w:pPr>
      <w:bookmarkStart w:id="1" w:name="O_300179"/>
      <w:bookmarkEnd w:id="1"/>
      <w:r w:rsidRPr="000F6E6A">
        <w:t>Modification History</w:t>
      </w:r>
    </w:p>
    <w:p w:rsidR="00000000" w:rsidRPr="000F6E6A" w:rsidP="000F6E6A">
      <w:pPr>
        <w:pStyle w:val="BodyText"/>
      </w:pPr>
      <w:r w:rsidRPr="000F6E6A">
        <w:t>Not Applicable</w:t>
      </w:r>
    </w:p>
    <w:p w:rsidR="00000000" w:rsidRPr="000F6E6A" w:rsidP="000F6E6A">
      <w:pPr>
        <w:pStyle w:val="AllowPageBreak"/>
      </w:pPr>
    </w:p>
    <w:p w:rsidR="00000000" w:rsidRPr="000F6E6A" w:rsidP="000F6E6A">
      <w:pPr>
        <w:pStyle w:val="Heading1"/>
      </w:pPr>
      <w:bookmarkStart w:id="2" w:name="O_265857"/>
      <w:bookmarkEnd w:id="2"/>
      <w:r w:rsidRPr="000F6E6A">
        <w:t>Description</w:t>
      </w:r>
    </w:p>
    <w:p w:rsidR="00000000" w:rsidRPr="000F6E6A" w:rsidP="000F6E6A">
      <w:pPr>
        <w:pStyle w:val="BodyText"/>
      </w:pPr>
      <w:r w:rsidRPr="000F6E6A">
        <w:rPr>
          <w:rStyle w:val="SpecialBold"/>
        </w:rPr>
        <w:t>Scope</w:t>
      </w:r>
    </w:p>
    <w:p w:rsidR="00000000" w:rsidRPr="000F6E6A" w:rsidP="000F6E6A">
      <w:pPr>
        <w:pStyle w:val="BodyText"/>
      </w:pPr>
      <w:r w:rsidRPr="000F6E6A">
        <w:t>This qualification provides competencies to perform basic work activities, including identifying and using a range of c</w:t>
      </w:r>
      <w:r w:rsidRPr="000F6E6A">
        <w:t>omponents, accessories, materials, tools, equipment, technologies, and customs for carrying out work in the Electrotechnology -Communications Industry. Sectors in the industry are electronics, electrical, communications, including telecommunications - voic</w:t>
      </w:r>
      <w:r w:rsidRPr="000F6E6A">
        <w:t>e, data, video and information technology, computer systems, instrumentation, lifts, refrigeration and air conditioning, and renewable/sustainable energy.</w:t>
      </w:r>
    </w:p>
    <w:p w:rsidR="00000000" w:rsidRPr="000F6E6A" w:rsidP="000F6E6A">
      <w:pPr>
        <w:pStyle w:val="BodyText"/>
      </w:pPr>
    </w:p>
    <w:p w:rsidR="00C36A7E" w:rsidP="000F6E6A">
      <w:pPr>
        <w:pStyle w:val="BodyText"/>
      </w:pPr>
      <w:r w:rsidRPr="000F6E6A">
        <w:rPr>
          <w:rStyle w:val="SpecialBold"/>
        </w:rPr>
        <w:t>Note</w:t>
      </w:r>
      <w:r w:rsidRPr="000F6E6A">
        <w:t xml:space="preserve">: </w:t>
      </w:r>
      <w:r w:rsidRPr="000F6E6A">
        <w:tab/>
        <w:t>Sectors in the industry are electronics, electrical, communications including telecommunicati</w:t>
      </w:r>
      <w:r w:rsidRPr="000F6E6A">
        <w:t>ons - voice, data, video and information technology, computer systems, instrumentation, lifts, refrigeration and air conditioning, and renewable/sustainable energy.</w:t>
      </w:r>
    </w:p>
    <w:p w:rsidR="00C36A7E" w:rsidP="000F6E6A">
      <w:pPr>
        <w:pStyle w:val="BodyText"/>
      </w:pPr>
    </w:p>
    <w:p w:rsidR="00000000" w:rsidRPr="000F6E6A" w:rsidP="000F6E6A">
      <w:pPr>
        <w:pStyle w:val="Heading1"/>
      </w:pPr>
      <w:bookmarkStart w:id="3" w:name="O_300174"/>
      <w:bookmarkEnd w:id="3"/>
      <w:r w:rsidRPr="000F6E6A">
        <w:t>Pathways Information</w:t>
      </w:r>
    </w:p>
    <w:p w:rsidR="00000000" w:rsidRPr="000F6E6A" w:rsidP="000F6E6A">
      <w:pPr>
        <w:pStyle w:val="BodyText"/>
      </w:pPr>
      <w:r w:rsidRPr="000F6E6A">
        <w:t>Not Applicable</w:t>
      </w:r>
    </w:p>
    <w:p w:rsidR="00000000" w:rsidRPr="000F6E6A" w:rsidP="000F6E6A">
      <w:pPr>
        <w:pStyle w:val="AllowPageBreak"/>
      </w:pPr>
    </w:p>
    <w:p w:rsidR="00000000" w:rsidRPr="000F6E6A" w:rsidP="000F6E6A">
      <w:pPr>
        <w:pStyle w:val="Heading1"/>
      </w:pPr>
      <w:bookmarkStart w:id="4" w:name="O_300177"/>
      <w:bookmarkEnd w:id="4"/>
      <w:r w:rsidRPr="000F6E6A">
        <w:t>Licensing/Regulatory Information</w:t>
      </w:r>
    </w:p>
    <w:p w:rsidR="00000000" w:rsidRPr="000F6E6A" w:rsidP="000F6E6A">
      <w:pPr>
        <w:pStyle w:val="BodyText"/>
      </w:pPr>
      <w:r w:rsidRPr="000F6E6A">
        <w:t>Not Applicable</w:t>
      </w:r>
    </w:p>
    <w:p w:rsidR="00000000" w:rsidRPr="000F6E6A" w:rsidP="000F6E6A">
      <w:pPr>
        <w:pStyle w:val="AllowPageBreak"/>
      </w:pPr>
    </w:p>
    <w:p w:rsidR="00000000" w:rsidRPr="000F6E6A" w:rsidP="000F6E6A">
      <w:pPr>
        <w:pStyle w:val="Heading1"/>
      </w:pPr>
      <w:bookmarkStart w:id="5" w:name="O_300176"/>
      <w:bookmarkEnd w:id="5"/>
      <w:r w:rsidRPr="000F6E6A">
        <w:t>Entry Requirements</w:t>
      </w:r>
    </w:p>
    <w:p w:rsidR="00000000" w:rsidRPr="000F6E6A" w:rsidP="000F6E6A">
      <w:pPr>
        <w:pStyle w:val="BodyText"/>
      </w:pPr>
      <w:r w:rsidRPr="000F6E6A">
        <w:t>Not Applicable</w:t>
      </w:r>
    </w:p>
    <w:p w:rsidR="00000000" w:rsidRPr="000F6E6A" w:rsidP="000F6E6A">
      <w:pPr>
        <w:pStyle w:val="AllowPageBreak"/>
      </w:pPr>
    </w:p>
    <w:p w:rsidR="00000000" w:rsidRPr="000F6E6A" w:rsidP="000F6E6A">
      <w:pPr>
        <w:pStyle w:val="Heading1"/>
      </w:pPr>
      <w:bookmarkStart w:id="6" w:name="O_300175"/>
      <w:bookmarkEnd w:id="6"/>
      <w:r w:rsidRPr="000F6E6A">
        <w:t>Employability Skills Summary</w:t>
      </w:r>
    </w:p>
    <w:p w:rsidR="00000000" w:rsidRPr="000F6E6A" w:rsidP="000F6E6A">
      <w:pPr>
        <w:pStyle w:val="BodyText"/>
      </w:pPr>
      <w:r w:rsidRPr="000F6E6A">
        <w:t>Not Applicable</w:t>
      </w:r>
    </w:p>
    <w:p w:rsidR="00000000" w:rsidRPr="000F6E6A" w:rsidP="000F6E6A">
      <w:pPr>
        <w:pStyle w:val="AllowPageBreak"/>
      </w:pPr>
    </w:p>
    <w:p w:rsidR="00000000" w:rsidRPr="000F6E6A" w:rsidP="000F6E6A">
      <w:pPr>
        <w:pStyle w:val="Heading1"/>
      </w:pPr>
      <w:bookmarkStart w:id="7" w:name="O_265858"/>
      <w:bookmarkEnd w:id="7"/>
      <w:r w:rsidRPr="000F6E6A">
        <w:t>Packaging Rules</w:t>
      </w:r>
    </w:p>
    <w:p w:rsidR="00000000" w:rsidRPr="000F6E6A" w:rsidP="000F6E6A">
      <w:pPr>
        <w:pStyle w:val="BodyText"/>
      </w:pPr>
      <w:r w:rsidRPr="000F6E6A">
        <w:rPr>
          <w:rStyle w:val="SpecialBold"/>
        </w:rPr>
        <w:t>Completion requirements</w:t>
      </w:r>
    </w:p>
    <w:p w:rsidR="00000000" w:rsidRPr="000F6E6A" w:rsidP="000F6E6A">
      <w:pPr>
        <w:pStyle w:val="BodyText"/>
      </w:pPr>
      <w:r w:rsidRPr="000F6E6A">
        <w:t>The requirements for granting this qualification will be met when competency is demonstrated and achieved for:</w:t>
      </w:r>
    </w:p>
    <w:p w:rsidR="00000000" w:rsidRPr="000F6E6A" w:rsidP="000F6E6A">
      <w:pPr>
        <w:pStyle w:val="ListBullet"/>
      </w:pPr>
      <w:r w:rsidRPr="000F6E6A">
        <w:t xml:space="preserve">All the Core competency standard units, </w:t>
      </w:r>
      <w:r w:rsidRPr="000F6E6A">
        <w:rPr>
          <w:rStyle w:val="SpecialBold"/>
        </w:rPr>
        <w:t>and</w:t>
      </w:r>
    </w:p>
    <w:p w:rsidR="00000000" w:rsidRPr="000F6E6A" w:rsidP="000F6E6A">
      <w:pPr>
        <w:pStyle w:val="ListBullet"/>
      </w:pPr>
      <w:r w:rsidRPr="000F6E6A">
        <w:t>A combination of Elective competency standard units selected from Group A and/or Group B, to achieve</w:t>
      </w:r>
      <w:r w:rsidRPr="000F6E6A">
        <w:t xml:space="preserve"> a total weighting of 60 points, </w:t>
      </w:r>
      <w:r w:rsidRPr="000F6E6A">
        <w:rPr>
          <w:rStyle w:val="SpecialBold"/>
        </w:rPr>
        <w:t>and</w:t>
      </w:r>
      <w:r w:rsidRPr="000F6E6A">
        <w:t xml:space="preserve">  </w:t>
      </w:r>
    </w:p>
    <w:p w:rsidR="00000000" w:rsidRPr="000F6E6A" w:rsidP="000F6E6A">
      <w:pPr>
        <w:pStyle w:val="ListBullet"/>
      </w:pPr>
      <w:r w:rsidRPr="000F6E6A">
        <w:t>All the required pre-requisite competency standard units.</w:t>
      </w:r>
    </w:p>
    <w:p w:rsidR="00000000" w:rsidRPr="000F6E6A" w:rsidP="000F6E6A">
      <w:pPr>
        <w:pStyle w:val="BodyText"/>
      </w:pPr>
    </w:p>
    <w:tbl>
      <w:tblPr>
        <w:tblW w:w="0" w:type="auto"/>
        <w:tblLayout w:type="fixed"/>
        <w:tblCellMar>
          <w:left w:w="62" w:type="dxa"/>
          <w:right w:w="62" w:type="dxa"/>
        </w:tblCellMar>
        <w:tblLook w:val="0000"/>
      </w:tblPr>
      <w:tblGrid>
        <w:gridCol w:w="1906"/>
        <w:gridCol w:w="5409"/>
        <w:gridCol w:w="1332"/>
      </w:tblGrid>
      <w:tr w:rsidTr="00C36A7E">
        <w:tblPrEx>
          <w:tblW w:w="0" w:type="auto"/>
          <w:tblLayout w:type="fixed"/>
          <w:tblCellMar>
            <w:left w:w="62" w:type="dxa"/>
            <w:right w:w="62" w:type="dxa"/>
          </w:tblCellMar>
          <w:tblLook w:val="0000"/>
        </w:tblPrEx>
        <w:trPr>
          <w:tblHeader/>
        </w:trPr>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rPr>
                <w:rStyle w:val="SpecialBold"/>
              </w:rPr>
              <w:t>Core Competency Standard Units</w:t>
            </w:r>
            <w:r w:rsidRPr="000F6E6A">
              <w:t xml:space="preserve"> </w:t>
            </w:r>
          </w:p>
          <w:p w:rsidR="00000000" w:rsidRPr="000F6E6A" w:rsidP="000F6E6A">
            <w:pPr>
              <w:pStyle w:val="BodyText"/>
            </w:pPr>
            <w:r w:rsidRPr="000F6E6A">
              <w:t>All Core competency standard units to be achieved</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rPr>
                <w:rStyle w:val="SpecialBold"/>
              </w:rPr>
              <w:t>Weighting Points</w:t>
            </w:r>
          </w:p>
        </w:tc>
      </w:tr>
      <w:tr w:rsidTr="00C36A7E">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UEENEED001B</w:t>
            </w:r>
          </w:p>
        </w:tc>
        <w:tc>
          <w:tcPr>
            <w:tcW w:w="5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Use basic computer applications relevant to a workplace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20</w:t>
            </w:r>
          </w:p>
        </w:tc>
      </w:tr>
      <w:tr w:rsidTr="00C36A7E">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UEENEEE001B</w:t>
            </w:r>
          </w:p>
        </w:tc>
        <w:tc>
          <w:tcPr>
            <w:tcW w:w="5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Apply OHS practices in the workplace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20</w:t>
            </w:r>
          </w:p>
        </w:tc>
      </w:tr>
      <w:tr w:rsidTr="00C36A7E">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UEENEEE079A</w:t>
            </w:r>
          </w:p>
        </w:tc>
        <w:tc>
          <w:tcPr>
            <w:tcW w:w="5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Identify and select components, accessories and materials for electrotechnology work activities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20</w:t>
            </w:r>
          </w:p>
        </w:tc>
      </w:tr>
      <w:tr w:rsidTr="00C36A7E">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UEENEEE048C</w:t>
            </w:r>
          </w:p>
        </w:tc>
        <w:tc>
          <w:tcPr>
            <w:tcW w:w="5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Carry out routine work activities in an electrotechnology environment</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40</w:t>
            </w:r>
          </w:p>
        </w:tc>
      </w:tr>
      <w:tr w:rsidTr="00C36A7E">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UEENEEK042A</w:t>
            </w:r>
          </w:p>
        </w:tc>
        <w:tc>
          <w:tcPr>
            <w:tcW w:w="5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Participate in environmentally sustainable work practices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20</w:t>
            </w:r>
          </w:p>
        </w:tc>
      </w:tr>
      <w:tr w:rsidTr="00C36A7E">
        <w:tblPrEx>
          <w:tblW w:w="0" w:type="auto"/>
          <w:tblLayout w:type="fixed"/>
          <w:tblCellMar>
            <w:left w:w="62" w:type="dxa"/>
            <w:right w:w="62" w:type="dxa"/>
          </w:tblCellMar>
          <w:tblLook w:val="0000"/>
        </w:tblPrEx>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rPr>
                <w:rStyle w:val="SpecialBold"/>
              </w:rPr>
              <w:t>Total points in core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rPr>
                <w:rStyle w:val="SpecialBold"/>
              </w:rPr>
              <w:t>120</w:t>
            </w:r>
          </w:p>
        </w:tc>
      </w:tr>
    </w:tbl>
    <w:p w:rsidR="00000000" w:rsidRPr="000F6E6A" w:rsidP="000F6E6A">
      <w:pPr>
        <w:pStyle w:val="BodyText"/>
      </w:pPr>
    </w:p>
    <w:tbl>
      <w:tblPr>
        <w:tblW w:w="0" w:type="auto"/>
        <w:tblLayout w:type="fixed"/>
        <w:tblCellMar>
          <w:left w:w="62" w:type="dxa"/>
          <w:right w:w="62" w:type="dxa"/>
        </w:tblCellMar>
        <w:tblLook w:val="0000"/>
      </w:tblPr>
      <w:tblGrid>
        <w:gridCol w:w="413"/>
        <w:gridCol w:w="5507"/>
        <w:gridCol w:w="1391"/>
        <w:gridCol w:w="1336"/>
      </w:tblGrid>
      <w:tr w:rsidTr="00C36A7E">
        <w:tblPrEx>
          <w:tblW w:w="0" w:type="auto"/>
          <w:tblLayout w:type="fixed"/>
          <w:tblCellMar>
            <w:left w:w="62" w:type="dxa"/>
            <w:right w:w="62" w:type="dxa"/>
          </w:tblCellMar>
          <w:tblLook w:val="0000"/>
        </w:tblPrEx>
        <w:trPr>
          <w:tblHeader/>
        </w:trPr>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rPr>
                <w:rStyle w:val="SpecialBold"/>
              </w:rPr>
              <w:t>Elective Competency Standard Units</w:t>
            </w:r>
          </w:p>
          <w:p w:rsidR="00000000" w:rsidP="000F6E6A">
            <w:pPr>
              <w:pStyle w:val="BodyText"/>
              <w:rPr>
                <w:lang w:val="en-NZ"/>
              </w:rPr>
            </w:pPr>
            <w:r w:rsidRPr="000F6E6A">
              <w:t>Complete Elective units to achieve a tot</w:t>
            </w:r>
            <w:r w:rsidRPr="000F6E6A">
              <w:t xml:space="preserve">al of weighting of 60 points from the following groups: </w:t>
            </w:r>
          </w:p>
        </w:tc>
      </w:tr>
      <w:tr w:rsidTr="00C36A7E">
        <w:tblPrEx>
          <w:tblW w:w="0" w:type="auto"/>
          <w:tblLayout w:type="fixed"/>
          <w:tblCellMar>
            <w:left w:w="62" w:type="dxa"/>
            <w:right w:w="62" w:type="dxa"/>
          </w:tblCellMar>
          <w:tblLook w:val="0000"/>
        </w:tblPrEx>
        <w:tc>
          <w:tcPr>
            <w:tcW w:w="59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rPr>
                <w:rStyle w:val="SpecialBold"/>
              </w:rPr>
              <w:t>Group</w:t>
            </w: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rPr>
                <w:rStyle w:val="SpecialBold"/>
              </w:rPr>
              <w:t>Minimum points</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rPr>
                <w:rStyle w:val="SpecialBold"/>
              </w:rPr>
              <w:t>Maximum points</w:t>
            </w:r>
          </w:p>
        </w:tc>
      </w:tr>
      <w:tr w:rsidTr="00C36A7E">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rPr>
                <w:rStyle w:val="SpecialBold"/>
              </w:rPr>
              <w:t>A</w:t>
            </w:r>
          </w:p>
        </w:tc>
        <w:tc>
          <w:tcPr>
            <w:tcW w:w="5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rPr>
                <w:rStyle w:val="SpecialBold"/>
              </w:rPr>
              <w:t>Imported and Common Competency Standard Units</w:t>
            </w:r>
          </w:p>
          <w:p w:rsidR="00000000" w:rsidP="000F6E6A">
            <w:pPr>
              <w:pStyle w:val="BodyText"/>
              <w:rPr>
                <w:lang w:val="en-NZ"/>
              </w:rPr>
            </w:pPr>
            <w:r w:rsidRPr="000F6E6A">
              <w:t>Imported units from other training packages and/or state accredited courses can be added to this group, but t</w:t>
            </w:r>
            <w:r w:rsidRPr="000F6E6A">
              <w:t>hey must be selected from qualifications where the unit is first packaged at AQF level 1.  If units have not being assigned a weighting in the Electrotechnology Training Package, their weighting will be 10 points.</w:t>
            </w: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30</w:t>
            </w:r>
          </w:p>
        </w:tc>
      </w:tr>
      <w:tr w:rsidTr="00C36A7E">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rPr>
                <w:rStyle w:val="SpecialBold"/>
              </w:rPr>
              <w:t>B</w:t>
            </w:r>
          </w:p>
        </w:tc>
        <w:tc>
          <w:tcPr>
            <w:tcW w:w="5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rPr>
                <w:rStyle w:val="SpecialBold"/>
              </w:rPr>
              <w:t>Qualification Electives</w:t>
            </w:r>
            <w:r w:rsidRPr="000F6E6A">
              <w:t xml:space="preserve"> - </w:t>
            </w:r>
            <w:r w:rsidRPr="000F6E6A">
              <w:rPr>
                <w:rStyle w:val="SpecialBold"/>
              </w:rPr>
              <w:t>Schedule 1 Units</w:t>
            </w:r>
            <w:r w:rsidRPr="000F6E6A">
              <w:t xml:space="preserve"> </w:t>
            </w:r>
          </w:p>
          <w:p w:rsidR="00000000" w:rsidP="000F6E6A">
            <w:pPr>
              <w:pStyle w:val="BodyText"/>
              <w:rPr>
                <w:lang w:val="en-NZ"/>
              </w:rPr>
            </w:pPr>
            <w:r w:rsidRPr="000F6E6A">
              <w:t>You may select all your elective units from this Group</w:t>
            </w: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30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t>60</w:t>
            </w:r>
          </w:p>
        </w:tc>
      </w:tr>
    </w:tbl>
    <w:p w:rsidR="00000000" w:rsidRPr="000F6E6A" w:rsidP="000F6E6A">
      <w:pPr>
        <w:pStyle w:val="BodyText"/>
      </w:pPr>
    </w:p>
    <w:tbl>
      <w:tblPr>
        <w:tblW w:w="0" w:type="auto"/>
        <w:tblLayout w:type="fixed"/>
        <w:tblCellMar>
          <w:left w:w="62" w:type="dxa"/>
          <w:right w:w="62" w:type="dxa"/>
        </w:tblCellMar>
        <w:tblLook w:val="0000"/>
      </w:tblPr>
      <w:tblGrid>
        <w:gridCol w:w="2103"/>
        <w:gridCol w:w="5224"/>
        <w:gridCol w:w="1320"/>
      </w:tblGrid>
      <w:tr w:rsidTr="00C36A7E">
        <w:tblPrEx>
          <w:tblW w:w="0" w:type="auto"/>
          <w:tblLayout w:type="fixed"/>
          <w:tblCellMar>
            <w:left w:w="62" w:type="dxa"/>
            <w:right w:w="62" w:type="dxa"/>
          </w:tblCellMar>
          <w:tblLook w:val="0000"/>
        </w:tblPrEx>
        <w:trPr>
          <w:tblHeader/>
        </w:trPr>
        <w:tc>
          <w:tcPr>
            <w:tcW w:w="732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rPr>
                <w:rStyle w:val="SpecialBold"/>
              </w:rPr>
              <w:t>Group A</w:t>
            </w:r>
            <w:r w:rsidRPr="000F6E6A">
              <w:t xml:space="preserve"> - </w:t>
            </w:r>
            <w:r w:rsidRPr="000F6E6A">
              <w:rPr>
                <w:rStyle w:val="SpecialBold"/>
              </w:rPr>
              <w:t>Imported and Common Elective Units</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rPr>
                <w:rStyle w:val="SpecialBold"/>
              </w:rPr>
              <w:t>Weighting Points</w:t>
            </w:r>
          </w:p>
        </w:tc>
      </w:tr>
      <w:tr w:rsidTr="00C36A7E">
        <w:tblPrEx>
          <w:tblW w:w="0" w:type="auto"/>
          <w:tblLayout w:type="fixed"/>
          <w:tblCellMar>
            <w:left w:w="62" w:type="dxa"/>
            <w:right w:w="62" w:type="dxa"/>
          </w:tblCellMar>
          <w:tblLook w:val="0000"/>
        </w:tblPrEx>
        <w:tc>
          <w:tcPr>
            <w:tcW w:w="2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UEENEEC001B</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Maintain documentation</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20</w:t>
            </w:r>
          </w:p>
        </w:tc>
      </w:tr>
      <w:tr w:rsidTr="00C36A7E">
        <w:tblPrEx>
          <w:tblW w:w="0" w:type="auto"/>
          <w:tblLayout w:type="fixed"/>
          <w:tblCellMar>
            <w:left w:w="62" w:type="dxa"/>
            <w:right w:w="62" w:type="dxa"/>
          </w:tblCellMar>
          <w:tblLook w:val="0000"/>
        </w:tblPrEx>
        <w:tc>
          <w:tcPr>
            <w:tcW w:w="2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UEENEEC002B</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Source and purchase material/parts for installation or service jobs</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20</w:t>
            </w:r>
          </w:p>
        </w:tc>
      </w:tr>
      <w:tr w:rsidTr="00C36A7E">
        <w:tblPrEx>
          <w:tblW w:w="0" w:type="auto"/>
          <w:tblLayout w:type="fixed"/>
          <w:tblCellMar>
            <w:left w:w="62" w:type="dxa"/>
            <w:right w:w="62" w:type="dxa"/>
          </w:tblCellMar>
          <w:tblLook w:val="0000"/>
        </w:tblPrEx>
        <w:tc>
          <w:tcPr>
            <w:tcW w:w="2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UEENEEC008B</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Receive and store materials and equipment for electrotechnology work</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20</w:t>
            </w:r>
          </w:p>
        </w:tc>
      </w:tr>
      <w:tr w:rsidTr="00C36A7E">
        <w:tblPrEx>
          <w:tblW w:w="0" w:type="auto"/>
          <w:tblLayout w:type="fixed"/>
          <w:tblCellMar>
            <w:left w:w="62" w:type="dxa"/>
            <w:right w:w="62" w:type="dxa"/>
          </w:tblCellMar>
          <w:tblLook w:val="0000"/>
        </w:tblPrEx>
        <w:tc>
          <w:tcPr>
            <w:tcW w:w="2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UEENEEC010B</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Deliver a service to customers</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20</w:t>
            </w:r>
          </w:p>
        </w:tc>
      </w:tr>
      <w:tr w:rsidTr="00C36A7E">
        <w:tblPrEx>
          <w:tblW w:w="0" w:type="auto"/>
          <w:tblLayout w:type="fixed"/>
          <w:tblCellMar>
            <w:left w:w="62" w:type="dxa"/>
            <w:right w:w="62" w:type="dxa"/>
          </w:tblCellMar>
          <w:tblLook w:val="0000"/>
        </w:tblPrEx>
        <w:tc>
          <w:tcPr>
            <w:tcW w:w="2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t xml:space="preserve">Imported </w:t>
            </w:r>
            <w:r w:rsidRPr="000F6E6A">
              <w:t>units from other training packages and/or state accredited courses can be added to this group, but they must be selected from qualifications where the unit is first packaged at AQF level 1.  If units have not being assigned a weighting in the Electrotechno</w:t>
            </w:r>
            <w:r w:rsidRPr="000F6E6A">
              <w:t xml:space="preserve">logy Training Package, their weighting will be 10 points. </w:t>
            </w:r>
          </w:p>
          <w:p w:rsidR="00000000" w:rsidRPr="000F6E6A" w:rsidP="000F6E6A">
            <w:pPr>
              <w:pStyle w:val="BodyText"/>
            </w:pPr>
          </w:p>
          <w:p w:rsidR="00000000" w:rsidP="000F6E6A">
            <w:pPr>
              <w:pStyle w:val="BodyText"/>
              <w:rPr>
                <w:lang w:val="en-NZ"/>
              </w:rPr>
            </w:pPr>
            <w:r w:rsidRPr="000F6E6A">
              <w:t xml:space="preserve">Note: For further information see </w:t>
            </w:r>
            <w:r w:rsidRPr="000F6E6A">
              <w:rPr>
                <w:rStyle w:val="Emphasis"/>
              </w:rPr>
              <w:t>Transition to NQC Packaging Rules for Flexibility</w:t>
            </w:r>
            <w:r w:rsidRPr="000F6E6A">
              <w:t>, Page 48, UEE07 Electrotechnology Training Package, Version 4,Volume 1 Preliminary Information.</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t>Up to 30 Points</w:t>
            </w:r>
          </w:p>
        </w:tc>
      </w:tr>
    </w:tbl>
    <w:p w:rsidR="00000000" w:rsidRPr="000F6E6A" w:rsidP="000F6E6A">
      <w:pPr>
        <w:pStyle w:val="BodyText"/>
      </w:pPr>
    </w:p>
    <w:tbl>
      <w:tblPr>
        <w:tblW w:w="0" w:type="auto"/>
        <w:tblLayout w:type="fixed"/>
        <w:tblCellMar>
          <w:left w:w="62" w:type="dxa"/>
          <w:right w:w="62" w:type="dxa"/>
        </w:tblCellMar>
        <w:tblLook w:val="0000"/>
      </w:tblPr>
      <w:tblGrid>
        <w:gridCol w:w="2103"/>
        <w:gridCol w:w="5224"/>
        <w:gridCol w:w="1320"/>
      </w:tblGrid>
      <w:tr w:rsidTr="00C36A7E">
        <w:tblPrEx>
          <w:tblW w:w="0" w:type="auto"/>
          <w:tblLayout w:type="fixed"/>
          <w:tblCellMar>
            <w:left w:w="62" w:type="dxa"/>
            <w:right w:w="62" w:type="dxa"/>
          </w:tblCellMar>
          <w:tblLook w:val="0000"/>
        </w:tblPrEx>
        <w:trPr>
          <w:tblHeader/>
        </w:trPr>
        <w:tc>
          <w:tcPr>
            <w:tcW w:w="732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rPr>
                <w:rStyle w:val="SpecialBold"/>
              </w:rPr>
              <w:t>Group B</w:t>
            </w:r>
            <w:r w:rsidRPr="000F6E6A">
              <w:t xml:space="preserve"> - </w:t>
            </w:r>
            <w:r w:rsidRPr="000F6E6A">
              <w:rPr>
                <w:rStyle w:val="SpecialBold"/>
              </w:rPr>
              <w:t>Qualification Electives</w:t>
            </w:r>
            <w:r w:rsidRPr="000F6E6A">
              <w:t xml:space="preserve"> - </w:t>
            </w:r>
            <w:r w:rsidRPr="000F6E6A">
              <w:rPr>
                <w:rStyle w:val="SpecialBold"/>
              </w:rPr>
              <w:t>Schedule 1 Units</w:t>
            </w:r>
          </w:p>
          <w:p w:rsidR="00000000" w:rsidRPr="000F6E6A" w:rsidP="000F6E6A">
            <w:pPr>
              <w:pStyle w:val="BodyText"/>
            </w:pPr>
            <w:r w:rsidRPr="000F6E6A">
              <w:t>You may select all your elective units from this Group</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rPr>
                <w:rStyle w:val="SpecialBold"/>
              </w:rPr>
              <w:t>Weighting Points</w:t>
            </w:r>
          </w:p>
        </w:tc>
      </w:tr>
      <w:tr w:rsidTr="00C36A7E">
        <w:tblPrEx>
          <w:tblW w:w="0" w:type="auto"/>
          <w:tblLayout w:type="fixed"/>
          <w:tblCellMar>
            <w:left w:w="62" w:type="dxa"/>
            <w:right w:w="62" w:type="dxa"/>
          </w:tblCellMar>
          <w:tblLook w:val="0000"/>
        </w:tblPrEx>
        <w:tc>
          <w:tcPr>
            <w:tcW w:w="2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UEENEEB001B</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Operate and maintain an amateur radio communication station</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40</w:t>
            </w:r>
          </w:p>
        </w:tc>
      </w:tr>
      <w:tr w:rsidTr="00C36A7E">
        <w:tblPrEx>
          <w:tblW w:w="0" w:type="auto"/>
          <w:tblLayout w:type="fixed"/>
          <w:tblCellMar>
            <w:left w:w="62" w:type="dxa"/>
            <w:right w:w="62" w:type="dxa"/>
          </w:tblCellMar>
          <w:tblLook w:val="0000"/>
        </w:tblPrEx>
        <w:tc>
          <w:tcPr>
            <w:tcW w:w="2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UEENEEE002B</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Dismantle, assemble and fabricate electrotechnology components</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40</w:t>
            </w:r>
          </w:p>
        </w:tc>
      </w:tr>
      <w:tr w:rsidTr="00C36A7E">
        <w:tblPrEx>
          <w:tblW w:w="0" w:type="auto"/>
          <w:tblLayout w:type="fixed"/>
          <w:tblCellMar>
            <w:left w:w="62" w:type="dxa"/>
            <w:right w:w="62" w:type="dxa"/>
          </w:tblCellMar>
          <w:tblLook w:val="0000"/>
        </w:tblPrEx>
        <w:tc>
          <w:tcPr>
            <w:tcW w:w="2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UEENEEE003B</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Solve problems in extra-low voltage single path circuits</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40</w:t>
            </w:r>
          </w:p>
        </w:tc>
      </w:tr>
      <w:tr w:rsidTr="00C36A7E">
        <w:tblPrEx>
          <w:tblW w:w="0" w:type="auto"/>
          <w:tblLayout w:type="fixed"/>
          <w:tblCellMar>
            <w:left w:w="62" w:type="dxa"/>
            <w:right w:w="62" w:type="dxa"/>
          </w:tblCellMar>
          <w:tblLook w:val="0000"/>
        </w:tblPrEx>
        <w:tc>
          <w:tcPr>
            <w:tcW w:w="2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UEENEEE005B</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Fix and secure equipment</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20</w:t>
            </w:r>
          </w:p>
        </w:tc>
      </w:tr>
      <w:tr w:rsidTr="00C36A7E">
        <w:tblPrEx>
          <w:tblW w:w="0" w:type="auto"/>
          <w:tblLayout w:type="fixed"/>
          <w:tblCellMar>
            <w:left w:w="62" w:type="dxa"/>
            <w:right w:w="62" w:type="dxa"/>
          </w:tblCellMar>
          <w:tblLook w:val="0000"/>
        </w:tblPrEx>
        <w:tc>
          <w:tcPr>
            <w:tcW w:w="2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UEENEEE020B</w:t>
            </w: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6E6A">
            <w:pPr>
              <w:pStyle w:val="BodyText"/>
              <w:rPr>
                <w:lang w:val="en-NZ"/>
              </w:rPr>
            </w:pPr>
            <w:r w:rsidRPr="000F6E6A">
              <w:t>Provide basic instruction in the use of electrotechnology appar</w:t>
            </w:r>
            <w:r w:rsidRPr="000F6E6A">
              <w:t>atus</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6E6A" w:rsidP="000F6E6A">
            <w:pPr>
              <w:pStyle w:val="BodyText"/>
            </w:pPr>
            <w:r w:rsidRPr="000F6E6A">
              <w:t>20</w:t>
            </w:r>
          </w:p>
        </w:tc>
      </w:tr>
    </w:tbl>
    <w:p w:rsidR="00000000" w:rsidRPr="000F6E6A" w:rsidP="000F6E6A">
      <w:pPr>
        <w:pStyle w:val="BodyText"/>
      </w:pPr>
    </w:p>
    <w:p w:rsidR="00000000" w:rsidRPr="000F6E6A" w:rsidP="000F6E6A">
      <w:pPr>
        <w:pStyle w:val="BodyText"/>
      </w:pPr>
      <w:r w:rsidRPr="000F6E6A">
        <w:t xml:space="preserve">Note: </w:t>
      </w:r>
    </w:p>
    <w:p w:rsidR="00000000" w:rsidRPr="000F6E6A" w:rsidP="000F6E6A">
      <w:pPr>
        <w:pStyle w:val="BodyText"/>
      </w:pPr>
      <w:r w:rsidRPr="000F6E6A">
        <w:t>1. In selecting elective unit's considerations to career planning advice should be given to units that form part a pre-requisite pathway for the progression to achieve particular competencies or qualification at a higher level.</w:t>
      </w:r>
    </w:p>
    <w:p w:rsidR="00000000" w:rsidRPr="000F6E6A" w:rsidP="000F6E6A">
      <w:pPr>
        <w:pStyle w:val="BodyText"/>
      </w:pPr>
    </w:p>
    <w:p w:rsidR="00C36A7E" w:rsidP="000F6E6A">
      <w:pPr>
        <w:pStyle w:val="BodyText"/>
      </w:pPr>
      <w:r w:rsidRPr="000F6E6A">
        <w:t>END OF QUALIFICATION</w:t>
      </w:r>
    </w:p>
    <w:p w:rsidR="00C36A7E" w:rsidP="000F6E6A">
      <w:pPr>
        <w:pStyle w:val="BodyText"/>
      </w:pPr>
    </w:p>
    <w:p w:rsidR="00000000" w:rsidRPr="000F6E6A" w:rsidP="000F6E6A">
      <w:pPr>
        <w:pStyle w:val="BodyText"/>
      </w:pPr>
      <w:r w:rsidRPr="000F6E6A">
        <w:rPr>
          <w:rStyle w:val="SpecialBold"/>
        </w:rPr>
        <w:t>Certificate II</w:t>
      </w:r>
    </w:p>
    <w:tbl>
      <w:tblPr>
        <w:tblW w:w="0" w:type="auto"/>
        <w:tblLayout w:type="fixed"/>
        <w:tblCellMar>
          <w:left w:w="62" w:type="dxa"/>
          <w:right w:w="62" w:type="dxa"/>
        </w:tblCellMar>
        <w:tblLook w:val="0000"/>
      </w:tblPr>
      <w:tblGrid>
        <w:gridCol w:w="8522"/>
      </w:tblGrid>
      <w:tr w:rsidTr="00C36A7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0F6E6A" w:rsidP="000F6E6A">
            <w:pPr>
              <w:pStyle w:val="BodyText"/>
            </w:pPr>
          </w:p>
          <w:p w:rsidR="00000000" w:rsidRPr="000F6E6A" w:rsidP="000F6E6A">
            <w:pPr>
              <w:pStyle w:val="BodyText"/>
            </w:pPr>
            <w:r w:rsidRPr="000F6E6A">
              <w:rPr>
                <w:rStyle w:val="SpecialBold"/>
              </w:rPr>
              <w:t>UEE20111</w:t>
            </w:r>
          </w:p>
          <w:p w:rsidR="00000000" w:rsidRPr="000F6E6A" w:rsidP="000F6E6A">
            <w:pPr>
              <w:pStyle w:val="BodyText"/>
            </w:pPr>
            <w:r w:rsidRPr="000F6E6A">
              <w:rPr>
                <w:rStyle w:val="SpecialBold"/>
              </w:rPr>
              <w:t>Certificate II in Split Air-conditioning and Heat Pumps Systems</w:t>
            </w:r>
          </w:p>
        </w:tc>
      </w:tr>
    </w:tbl>
    <w:p w:rsidR="00C36A7E" w:rsidP="000F6E6A">
      <w:pPr>
        <w:pStyle w:val="BodyText"/>
      </w:pPr>
    </w:p>
    <w:p w:rsidR="00C36A7E" w:rsidP="000F6E6A">
      <w:pPr>
        <w:pStyle w:val="BodyText"/>
      </w:pPr>
    </w:p>
    <w:p w:rsidR="00000000" w:rsidRPr="000F6E6A" w:rsidP="000F6E6A"/>
    <w:sectPr w:rsidSect="000F6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6A7E" w:rsidP="00C36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7E" w:rsidP="000F6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36A7E" w:rsidP="000F6E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36A7E" w:rsidP="000F6E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6A7E" w:rsidP="00C36A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7E" w:rsidP="000F6E6A">
    <w:pPr>
      <w:pStyle w:val="Header"/>
      <w:framePr w:wrap="around"/>
    </w:pPr>
    <w:r>
      <w:fldChar w:fldCharType="begin"/>
    </w:r>
    <w:r>
      <w:instrText xml:space="preserve"> TITLE   \* MERGEFORMAT </w:instrText>
    </w:r>
    <w:r>
      <w:fldChar w:fldCharType="separate"/>
    </w:r>
    <w:r>
      <w:t>UEE10110 Certificate I in ElectroComms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6A7E" w:rsidP="000F6E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187C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E2AB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E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6E6A"/>
    <w:pPr>
      <w:spacing w:before="360" w:after="60"/>
      <w:outlineLvl w:val="0"/>
    </w:pPr>
    <w:rPr>
      <w:sz w:val="32"/>
    </w:rPr>
  </w:style>
  <w:style w:type="paragraph" w:styleId="Heading2">
    <w:name w:val="heading 2"/>
    <w:basedOn w:val="HeadingBase"/>
    <w:next w:val="BodyText"/>
    <w:link w:val="Heading2Char"/>
    <w:qFormat/>
    <w:rsid w:val="000F6E6A"/>
    <w:pPr>
      <w:keepLines/>
      <w:spacing w:before="240" w:after="120"/>
      <w:outlineLvl w:val="1"/>
    </w:pPr>
    <w:rPr>
      <w:sz w:val="28"/>
      <w:szCs w:val="40"/>
    </w:rPr>
  </w:style>
  <w:style w:type="paragraph" w:styleId="Heading3">
    <w:name w:val="heading 3"/>
    <w:basedOn w:val="HeadingBase"/>
    <w:next w:val="BodyText"/>
    <w:link w:val="Heading3Char"/>
    <w:qFormat/>
    <w:rsid w:val="000F6E6A"/>
    <w:pPr>
      <w:spacing w:before="180" w:after="120"/>
      <w:outlineLvl w:val="2"/>
    </w:pPr>
    <w:rPr>
      <w:spacing w:val="-10"/>
      <w:kern w:val="32"/>
    </w:rPr>
  </w:style>
  <w:style w:type="paragraph" w:styleId="Heading4">
    <w:name w:val="heading 4"/>
    <w:basedOn w:val="HeadingBase"/>
    <w:next w:val="BodyText"/>
    <w:link w:val="Heading4Char"/>
    <w:qFormat/>
    <w:rsid w:val="000F6E6A"/>
    <w:pPr>
      <w:spacing w:before="160" w:after="120"/>
      <w:outlineLvl w:val="3"/>
    </w:pPr>
    <w:rPr>
      <w:sz w:val="22"/>
    </w:rPr>
  </w:style>
  <w:style w:type="paragraph" w:styleId="Heading5">
    <w:name w:val="heading 5"/>
    <w:basedOn w:val="HeadingBase"/>
    <w:next w:val="Normal"/>
    <w:link w:val="Heading5Char"/>
    <w:qFormat/>
    <w:rsid w:val="000F6E6A"/>
    <w:pPr>
      <w:spacing w:before="80"/>
      <w:outlineLvl w:val="4"/>
    </w:pPr>
    <w:rPr>
      <w:color w:val="918585"/>
      <w:sz w:val="20"/>
    </w:rPr>
  </w:style>
  <w:style w:type="paragraph" w:styleId="Heading6">
    <w:name w:val="heading 6"/>
    <w:basedOn w:val="HeadingBase"/>
    <w:next w:val="Normal"/>
    <w:link w:val="Heading6Char"/>
    <w:qFormat/>
    <w:rsid w:val="000F6E6A"/>
    <w:pPr>
      <w:spacing w:before="60"/>
      <w:outlineLvl w:val="5"/>
    </w:pPr>
    <w:rPr>
      <w:color w:val="918585"/>
      <w:sz w:val="20"/>
    </w:rPr>
  </w:style>
  <w:style w:type="paragraph" w:styleId="Heading7">
    <w:name w:val="heading 7"/>
    <w:basedOn w:val="Normal"/>
    <w:next w:val="Normal"/>
    <w:link w:val="Heading7Char"/>
    <w:qFormat/>
    <w:rsid w:val="000F6E6A"/>
    <w:pPr>
      <w:ind w:left="720"/>
      <w:outlineLvl w:val="6"/>
    </w:pPr>
    <w:rPr>
      <w:i/>
    </w:rPr>
  </w:style>
  <w:style w:type="paragraph" w:styleId="Heading8">
    <w:name w:val="heading 8"/>
    <w:basedOn w:val="Normal"/>
    <w:next w:val="Normal"/>
    <w:link w:val="Heading8Char"/>
    <w:qFormat/>
    <w:rsid w:val="000F6E6A"/>
    <w:pPr>
      <w:ind w:left="720"/>
      <w:outlineLvl w:val="7"/>
    </w:pPr>
    <w:rPr>
      <w:i/>
    </w:rPr>
  </w:style>
  <w:style w:type="paragraph" w:styleId="Heading9">
    <w:name w:val="heading 9"/>
    <w:basedOn w:val="Normal"/>
    <w:next w:val="Normal"/>
    <w:link w:val="Heading9Char"/>
    <w:qFormat/>
    <w:rsid w:val="000F6E6A"/>
    <w:pPr>
      <w:ind w:left="720"/>
      <w:outlineLvl w:val="8"/>
    </w:pPr>
    <w:rPr>
      <w:i/>
    </w:rPr>
  </w:style>
  <w:style w:type="character" w:default="1" w:styleId="DefaultParagraphFont">
    <w:name w:val="Default Paragraph Font"/>
    <w:uiPriority w:val="1"/>
    <w:unhideWhenUsed/>
    <w:rsid w:val="000F6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E6A"/>
  </w:style>
  <w:style w:type="character" w:customStyle="1" w:styleId="Heading1Char">
    <w:name w:val="Heading 1 Char"/>
    <w:basedOn w:val="DefaultParagraphFont"/>
    <w:link w:val="Heading1"/>
    <w:rsid w:val="000F6E6A"/>
    <w:rPr>
      <w:rFonts w:ascii="Times New Roman" w:eastAsia="Times New Roman" w:hAnsi="Times New Roman" w:cs="Times New Roman"/>
      <w:b/>
      <w:sz w:val="32"/>
      <w:szCs w:val="20"/>
      <w:lang w:eastAsia="en-US"/>
    </w:rPr>
  </w:style>
  <w:style w:type="paragraph" w:styleId="BodyText">
    <w:name w:val="Body Text"/>
    <w:basedOn w:val="Normal"/>
    <w:link w:val="BodyTextChar"/>
    <w:rsid w:val="000F6E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6E6A"/>
    <w:rPr>
      <w:rFonts w:ascii="Times New Roman" w:eastAsia="Times New Roman" w:hAnsi="Times New Roman" w:cs="Times New Roman"/>
      <w:sz w:val="24"/>
      <w:lang w:val="en-US" w:eastAsia="en-US"/>
    </w:rPr>
  </w:style>
  <w:style w:type="paragraph" w:styleId="Footer">
    <w:name w:val="footer"/>
    <w:basedOn w:val="Normal"/>
    <w:link w:val="FooterChar"/>
    <w:rsid w:val="000F6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E6A"/>
    <w:rPr>
      <w:rFonts w:ascii="Times New Roman" w:eastAsia="Times New Roman" w:hAnsi="Times New Roman" w:cs="Times New Roman"/>
      <w:sz w:val="16"/>
      <w:lang w:val="en-US" w:eastAsia="en-US"/>
    </w:rPr>
  </w:style>
  <w:style w:type="paragraph" w:styleId="ListBullet">
    <w:name w:val="List Bullet"/>
    <w:basedOn w:val="List"/>
    <w:rsid w:val="000F6E6A"/>
    <w:pPr>
      <w:numPr>
        <w:numId w:val="12"/>
      </w:numPr>
      <w:tabs>
        <w:tab w:val="clear" w:pos="340"/>
      </w:tabs>
      <w:spacing w:before="40" w:after="40"/>
    </w:pPr>
  </w:style>
  <w:style w:type="character" w:customStyle="1" w:styleId="SpecialBold">
    <w:name w:val="Special Bold"/>
    <w:basedOn w:val="DefaultParagraphFont"/>
    <w:rsid w:val="000F6E6A"/>
    <w:rPr>
      <w:b/>
      <w:spacing w:val="0"/>
    </w:rPr>
  </w:style>
  <w:style w:type="paragraph" w:styleId="Header">
    <w:name w:val="header"/>
    <w:basedOn w:val="Normal"/>
    <w:link w:val="HeaderChar"/>
    <w:rsid w:val="000F6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E6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F6E6A"/>
    <w:rPr>
      <w:i/>
    </w:rPr>
  </w:style>
  <w:style w:type="paragraph" w:customStyle="1" w:styleId="SuperHeading">
    <w:name w:val="SuperHeading"/>
    <w:basedOn w:val="Normal"/>
    <w:rsid w:val="000F6E6A"/>
    <w:pPr>
      <w:spacing w:before="240" w:after="120"/>
      <w:outlineLvl w:val="0"/>
    </w:pPr>
    <w:rPr>
      <w:rFonts w:ascii="Times New Roman" w:hAnsi="Times New Roman"/>
      <w:b/>
      <w:sz w:val="28"/>
    </w:rPr>
  </w:style>
  <w:style w:type="paragraph" w:customStyle="1" w:styleId="AllowPageBreak">
    <w:name w:val="AllowPageBreak"/>
    <w:rsid w:val="000F6E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6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E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6E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6E6A"/>
    <w:rPr>
      <w:rFonts w:ascii="Courier New" w:eastAsia="Times New Roman" w:hAnsi="Courier New" w:cs="Times New Roman"/>
      <w:i/>
      <w:szCs w:val="20"/>
      <w:lang w:val="en-US" w:eastAsia="en-US"/>
    </w:rPr>
  </w:style>
  <w:style w:type="paragraph" w:customStyle="1" w:styleId="HeadingBase">
    <w:name w:val="Heading Base"/>
    <w:rsid w:val="000F6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E6A"/>
    <w:pPr>
      <w:tabs>
        <w:tab w:val="right" w:leader="dot" w:pos="9072"/>
      </w:tabs>
      <w:ind w:left="567"/>
    </w:pPr>
    <w:rPr>
      <w:szCs w:val="22"/>
    </w:rPr>
  </w:style>
  <w:style w:type="paragraph" w:customStyle="1" w:styleId="TOCBase">
    <w:name w:val="TOC Base"/>
    <w:rsid w:val="000F6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E6A"/>
    <w:pPr>
      <w:tabs>
        <w:tab w:val="right" w:leader="dot" w:pos="9072"/>
      </w:tabs>
      <w:spacing w:before="40" w:after="40"/>
      <w:ind w:left="284"/>
    </w:pPr>
    <w:rPr>
      <w:rFonts w:ascii="Times New Roman" w:hAnsi="Times New Roman"/>
    </w:rPr>
  </w:style>
  <w:style w:type="paragraph" w:styleId="TOC1">
    <w:name w:val="toc 1"/>
    <w:basedOn w:val="TOCBase"/>
    <w:next w:val="Normal"/>
    <w:rsid w:val="000F6E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6E6A"/>
    <w:pPr>
      <w:spacing w:before="5040"/>
      <w:jc w:val="center"/>
    </w:pPr>
    <w:rPr>
      <w:sz w:val="48"/>
      <w:szCs w:val="72"/>
      <w:lang w:val="en-US"/>
    </w:rPr>
  </w:style>
  <w:style w:type="character" w:customStyle="1" w:styleId="TitleChar">
    <w:name w:val="Title Char"/>
    <w:basedOn w:val="DefaultParagraphFont"/>
    <w:link w:val="Title"/>
    <w:rsid w:val="000F6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E6A"/>
    <w:pPr>
      <w:tabs>
        <w:tab w:val="left" w:pos="3600"/>
        <w:tab w:val="left" w:pos="3958"/>
      </w:tabs>
    </w:pPr>
  </w:style>
  <w:style w:type="paragraph" w:styleId="List">
    <w:name w:val="List"/>
    <w:basedOn w:val="BodyText"/>
    <w:next w:val="BodyText"/>
    <w:rsid w:val="000F6E6A"/>
    <w:pPr>
      <w:tabs>
        <w:tab w:val="left" w:pos="340"/>
      </w:tabs>
      <w:spacing w:before="60" w:after="60"/>
      <w:ind w:left="340" w:hanging="340"/>
    </w:pPr>
  </w:style>
  <w:style w:type="paragraph" w:customStyle="1" w:styleId="Note">
    <w:name w:val="Note"/>
    <w:basedOn w:val="BodyText"/>
    <w:rsid w:val="000F6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E6A"/>
    <w:pPr>
      <w:framePr w:wrap="auto" w:hAnchor="text" w:y="6049"/>
    </w:pPr>
    <w:rPr>
      <w:color w:val="000000"/>
      <w:sz w:val="40"/>
    </w:rPr>
  </w:style>
  <w:style w:type="paragraph" w:customStyle="1" w:styleId="TOCTitle">
    <w:name w:val="TOCTitle"/>
    <w:basedOn w:val="Heading1"/>
    <w:rsid w:val="000F6E6A"/>
    <w:pPr>
      <w:spacing w:after="240"/>
      <w:jc w:val="center"/>
      <w:outlineLvl w:val="9"/>
    </w:pPr>
    <w:rPr>
      <w:caps/>
    </w:rPr>
  </w:style>
  <w:style w:type="paragraph" w:customStyle="1" w:styleId="Version">
    <w:name w:val="Version"/>
    <w:rsid w:val="000F6E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6E6A"/>
    <w:pPr>
      <w:numPr>
        <w:numId w:val="13"/>
      </w:numPr>
      <w:tabs>
        <w:tab w:val="clear" w:pos="680"/>
      </w:tabs>
    </w:pPr>
  </w:style>
  <w:style w:type="paragraph" w:styleId="Index1">
    <w:name w:val="index 1"/>
    <w:basedOn w:val="Normal"/>
    <w:next w:val="Normal"/>
    <w:semiHidden/>
    <w:rsid w:val="000F6E6A"/>
    <w:pPr>
      <w:keepNext w:val="0"/>
      <w:tabs>
        <w:tab w:val="right" w:pos="4176"/>
      </w:tabs>
      <w:ind w:left="198" w:hanging="198"/>
    </w:pPr>
    <w:rPr>
      <w:rFonts w:ascii="Garamond" w:hAnsi="Garamond"/>
    </w:rPr>
  </w:style>
  <w:style w:type="paragraph" w:styleId="IndexHeading">
    <w:name w:val="index heading"/>
    <w:basedOn w:val="Normal"/>
    <w:next w:val="Index1"/>
    <w:semiHidden/>
    <w:rsid w:val="000F6E6A"/>
    <w:pPr>
      <w:spacing w:before="120" w:after="120"/>
    </w:pPr>
    <w:rPr>
      <w:rFonts w:ascii="Arial" w:hAnsi="Arial"/>
      <w:b/>
      <w:color w:val="918585"/>
      <w:sz w:val="24"/>
    </w:rPr>
  </w:style>
  <w:style w:type="paragraph" w:customStyle="1" w:styleId="Chapter">
    <w:name w:val="Chapter"/>
    <w:basedOn w:val="Normal"/>
    <w:rsid w:val="000F6E6A"/>
    <w:pPr>
      <w:spacing w:before="240"/>
    </w:pPr>
    <w:rPr>
      <w:rFonts w:ascii="Times New Roman" w:hAnsi="Times New Roman"/>
      <w:smallCaps/>
      <w:spacing w:val="80"/>
      <w:sz w:val="28"/>
    </w:rPr>
  </w:style>
  <w:style w:type="paragraph" w:customStyle="1" w:styleId="InChapter">
    <w:name w:val="InChapter"/>
    <w:basedOn w:val="Heading3"/>
    <w:rsid w:val="000F6E6A"/>
    <w:pPr>
      <w:spacing w:after="240"/>
      <w:outlineLvl w:val="9"/>
    </w:pPr>
    <w:rPr>
      <w:noProof/>
    </w:rPr>
  </w:style>
  <w:style w:type="paragraph" w:styleId="Index2">
    <w:name w:val="index 2"/>
    <w:basedOn w:val="Normal"/>
    <w:next w:val="Normal"/>
    <w:semiHidden/>
    <w:rsid w:val="000F6E6A"/>
    <w:pPr>
      <w:tabs>
        <w:tab w:val="right" w:pos="4176"/>
      </w:tabs>
      <w:ind w:left="568" w:hanging="284"/>
    </w:pPr>
    <w:rPr>
      <w:rFonts w:ascii="Garamond" w:hAnsi="Garamond"/>
    </w:rPr>
  </w:style>
  <w:style w:type="paragraph" w:customStyle="1" w:styleId="Byline">
    <w:name w:val="Byline"/>
    <w:rsid w:val="000F6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E6A"/>
    <w:pPr>
      <w:tabs>
        <w:tab w:val="clear" w:pos="3600"/>
        <w:tab w:val="clear" w:pos="3958"/>
      </w:tabs>
      <w:jc w:val="right"/>
    </w:pPr>
  </w:style>
  <w:style w:type="paragraph" w:styleId="Caption">
    <w:name w:val="caption"/>
    <w:basedOn w:val="BodyText"/>
    <w:next w:val="Normal"/>
    <w:qFormat/>
    <w:rsid w:val="000F6E6A"/>
    <w:pPr>
      <w:framePr w:w="2268" w:hSpace="181" w:vSpace="181" w:wrap="around" w:vAnchor="text" w:hAnchor="page" w:x="1135" w:y="285" w:anchorLock="1"/>
    </w:pPr>
    <w:rPr>
      <w:i/>
    </w:rPr>
  </w:style>
  <w:style w:type="paragraph" w:customStyle="1" w:styleId="MiniTOCTitle">
    <w:name w:val="MiniTOCTitle"/>
    <w:basedOn w:val="Heading4"/>
    <w:rsid w:val="000F6E6A"/>
    <w:pPr>
      <w:spacing w:before="240"/>
      <w:outlineLvl w:val="9"/>
    </w:pPr>
    <w:rPr>
      <w:noProof/>
      <w:sz w:val="24"/>
    </w:rPr>
  </w:style>
  <w:style w:type="paragraph" w:customStyle="1" w:styleId="MiniTOCItem">
    <w:name w:val="MiniTOCItem"/>
    <w:basedOn w:val="ListBullet"/>
    <w:rsid w:val="000F6E6A"/>
    <w:pPr>
      <w:numPr>
        <w:numId w:val="0"/>
      </w:numPr>
      <w:tabs>
        <w:tab w:val="right" w:leader="dot" w:pos="6521"/>
      </w:tabs>
      <w:spacing w:before="0" w:after="0"/>
    </w:pPr>
  </w:style>
  <w:style w:type="paragraph" w:customStyle="1" w:styleId="TOFTitle">
    <w:name w:val="TOFTitle"/>
    <w:basedOn w:val="TOCTitle"/>
    <w:rsid w:val="000F6E6A"/>
  </w:style>
  <w:style w:type="paragraph" w:styleId="TableofFigures">
    <w:name w:val="table of figures"/>
    <w:basedOn w:val="Normal"/>
    <w:next w:val="Normal"/>
    <w:semiHidden/>
    <w:rsid w:val="000F6E6A"/>
    <w:pPr>
      <w:tabs>
        <w:tab w:val="right" w:leader="dot" w:pos="9072"/>
      </w:tabs>
      <w:ind w:left="970" w:hanging="403"/>
    </w:pPr>
    <w:rPr>
      <w:rFonts w:ascii="Times New Roman" w:hAnsi="Times New Roman"/>
      <w:b/>
    </w:rPr>
  </w:style>
  <w:style w:type="paragraph" w:styleId="ListNumber">
    <w:name w:val="List Number"/>
    <w:basedOn w:val="List"/>
    <w:rsid w:val="000F6E6A"/>
    <w:pPr>
      <w:numPr>
        <w:numId w:val="10"/>
      </w:numPr>
    </w:pPr>
  </w:style>
  <w:style w:type="character" w:customStyle="1" w:styleId="WingdingSymbols">
    <w:name w:val="Wingding Symbols"/>
    <w:rsid w:val="000F6E6A"/>
    <w:rPr>
      <w:rFonts w:ascii="Wingdings" w:hAnsi="Wingdings"/>
    </w:rPr>
  </w:style>
  <w:style w:type="paragraph" w:customStyle="1" w:styleId="TableHeading">
    <w:name w:val="Table Heading"/>
    <w:basedOn w:val="HeadingBase"/>
    <w:rsid w:val="000F6E6A"/>
    <w:pPr>
      <w:keepLines/>
      <w:pBdr>
        <w:bottom w:val="single" w:sz="6" w:space="1" w:color="918585"/>
      </w:pBdr>
      <w:spacing w:before="240"/>
    </w:pPr>
  </w:style>
  <w:style w:type="character" w:customStyle="1" w:styleId="HotSpot">
    <w:name w:val="HotSpot"/>
    <w:rsid w:val="000F6E6A"/>
    <w:rPr>
      <w:color w:val="0033CC"/>
      <w:u w:val="none"/>
    </w:rPr>
  </w:style>
  <w:style w:type="paragraph" w:customStyle="1" w:styleId="BodyTextRight">
    <w:name w:val="Body Text Right"/>
    <w:basedOn w:val="BodyText"/>
    <w:rsid w:val="000F6E6A"/>
    <w:pPr>
      <w:spacing w:before="0" w:after="0"/>
      <w:jc w:val="right"/>
    </w:pPr>
  </w:style>
  <w:style w:type="paragraph" w:styleId="Index3">
    <w:name w:val="index 3"/>
    <w:basedOn w:val="ListNumber2"/>
    <w:next w:val="Normal"/>
    <w:semiHidden/>
    <w:rsid w:val="000F6E6A"/>
    <w:pPr>
      <w:numPr>
        <w:numId w:val="0"/>
      </w:numPr>
      <w:tabs>
        <w:tab w:val="right" w:leader="dot" w:pos="4176"/>
      </w:tabs>
    </w:pPr>
  </w:style>
  <w:style w:type="paragraph" w:styleId="ListNumber2">
    <w:name w:val="List Number 2"/>
    <w:basedOn w:val="List2"/>
    <w:rsid w:val="000F6E6A"/>
    <w:pPr>
      <w:numPr>
        <w:numId w:val="9"/>
      </w:numPr>
      <w:tabs>
        <w:tab w:val="clear" w:pos="1060"/>
      </w:tabs>
    </w:pPr>
  </w:style>
  <w:style w:type="paragraph" w:customStyle="1" w:styleId="MarginNote">
    <w:name w:val="Margin Note"/>
    <w:basedOn w:val="BodyText"/>
    <w:rsid w:val="000F6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E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6E6A"/>
    <w:rPr>
      <w:sz w:val="32"/>
    </w:rPr>
  </w:style>
  <w:style w:type="paragraph" w:customStyle="1" w:styleId="HeadingProcedure">
    <w:name w:val="Heading Procedure"/>
    <w:basedOn w:val="HeadingBase"/>
    <w:next w:val="Normal"/>
    <w:rsid w:val="000F6E6A"/>
    <w:pPr>
      <w:tabs>
        <w:tab w:val="left" w:pos="0"/>
      </w:tabs>
      <w:spacing w:before="120" w:after="60"/>
    </w:pPr>
    <w:rPr>
      <w:i/>
      <w:color w:val="918585"/>
      <w:sz w:val="22"/>
    </w:rPr>
  </w:style>
  <w:style w:type="paragraph" w:customStyle="1" w:styleId="TableBodyText">
    <w:name w:val="Table Body Text"/>
    <w:basedOn w:val="BodyText"/>
    <w:rsid w:val="000F6E6A"/>
    <w:pPr>
      <w:spacing w:before="60" w:after="60"/>
    </w:pPr>
  </w:style>
  <w:style w:type="paragraph" w:styleId="ListContinue">
    <w:name w:val="List Continue"/>
    <w:basedOn w:val="List"/>
    <w:rsid w:val="000F6E6A"/>
    <w:pPr>
      <w:ind w:firstLine="0"/>
    </w:pPr>
  </w:style>
  <w:style w:type="paragraph" w:customStyle="1" w:styleId="ListNote">
    <w:name w:val="List Note"/>
    <w:basedOn w:val="List"/>
    <w:rsid w:val="000F6E6A"/>
    <w:pPr>
      <w:pBdr>
        <w:top w:val="single" w:sz="6" w:space="2" w:color="918585"/>
        <w:bottom w:val="single" w:sz="6" w:space="2" w:color="918585"/>
      </w:pBdr>
      <w:tabs>
        <w:tab w:val="left" w:pos="1021"/>
      </w:tabs>
      <w:ind w:firstLine="0"/>
    </w:pPr>
  </w:style>
  <w:style w:type="paragraph" w:customStyle="1" w:styleId="Warning">
    <w:name w:val="Warning"/>
    <w:basedOn w:val="BodyText"/>
    <w:rsid w:val="000F6E6A"/>
    <w:pPr>
      <w:shd w:val="clear" w:color="auto" w:fill="D9D9D9"/>
      <w:tabs>
        <w:tab w:val="left" w:pos="992"/>
      </w:tabs>
      <w:ind w:left="119" w:right="119"/>
    </w:pPr>
    <w:rPr>
      <w:sz w:val="20"/>
    </w:rPr>
  </w:style>
  <w:style w:type="paragraph" w:customStyle="1" w:styleId="MarginIcons">
    <w:name w:val="Margin Icons"/>
    <w:basedOn w:val="BodyText"/>
    <w:rsid w:val="000F6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E6A"/>
    <w:rPr>
      <w:rFonts w:ascii="Courier New" w:hAnsi="Courier New"/>
    </w:rPr>
  </w:style>
  <w:style w:type="paragraph" w:customStyle="1" w:styleId="NoteBullet">
    <w:name w:val="Note Bullet"/>
    <w:basedOn w:val="Note"/>
    <w:rsid w:val="000F6E6A"/>
    <w:pPr>
      <w:tabs>
        <w:tab w:val="clear" w:pos="680"/>
      </w:tabs>
      <w:spacing w:before="60" w:after="60"/>
    </w:pPr>
  </w:style>
  <w:style w:type="paragraph" w:customStyle="1" w:styleId="SubHeading2">
    <w:name w:val="SubHeading2"/>
    <w:basedOn w:val="HeadingBase"/>
    <w:rsid w:val="000F6E6A"/>
    <w:pPr>
      <w:spacing w:before="240" w:after="60"/>
    </w:pPr>
    <w:rPr>
      <w:sz w:val="20"/>
    </w:rPr>
  </w:style>
  <w:style w:type="paragraph" w:customStyle="1" w:styleId="SubHeading1">
    <w:name w:val="SubHeading1"/>
    <w:basedOn w:val="HeadingBase"/>
    <w:rsid w:val="000F6E6A"/>
    <w:pPr>
      <w:spacing w:before="240" w:after="60"/>
    </w:pPr>
    <w:rPr>
      <w:color w:val="918585"/>
      <w:sz w:val="22"/>
    </w:rPr>
  </w:style>
  <w:style w:type="paragraph" w:customStyle="1" w:styleId="SideHeading">
    <w:name w:val="Side Heading"/>
    <w:basedOn w:val="HeadingBase"/>
    <w:rsid w:val="000F6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E6A"/>
    <w:pPr>
      <w:tabs>
        <w:tab w:val="num" w:pos="360"/>
      </w:tabs>
    </w:pPr>
  </w:style>
  <w:style w:type="paragraph" w:styleId="PlainText">
    <w:name w:val="Plain Text"/>
    <w:basedOn w:val="Normal"/>
    <w:link w:val="PlainTextChar"/>
    <w:rsid w:val="000F6E6A"/>
    <w:rPr>
      <w:sz w:val="20"/>
    </w:rPr>
  </w:style>
  <w:style w:type="character" w:customStyle="1" w:styleId="PlainTextChar">
    <w:name w:val="Plain Text Char"/>
    <w:basedOn w:val="DefaultParagraphFont"/>
    <w:link w:val="PlainText"/>
    <w:rsid w:val="000F6E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6E6A"/>
    <w:rPr>
      <w:b/>
      <w:smallCaps/>
    </w:rPr>
  </w:style>
  <w:style w:type="paragraph" w:customStyle="1" w:styleId="TableListNumber">
    <w:name w:val="Table List Number"/>
    <w:basedOn w:val="ListNumber"/>
    <w:rsid w:val="000F6E6A"/>
    <w:pPr>
      <w:numPr>
        <w:numId w:val="0"/>
      </w:numPr>
    </w:pPr>
  </w:style>
  <w:style w:type="paragraph" w:styleId="TOC4">
    <w:name w:val="toc 4"/>
    <w:basedOn w:val="TOCBase"/>
    <w:next w:val="Normal"/>
    <w:semiHidden/>
    <w:rsid w:val="000F6E6A"/>
    <w:pPr>
      <w:tabs>
        <w:tab w:val="right" w:leader="dot" w:pos="9071"/>
      </w:tabs>
      <w:ind w:left="1701"/>
    </w:pPr>
  </w:style>
  <w:style w:type="paragraph" w:customStyle="1" w:styleId="ListAlpha">
    <w:name w:val="List Alpha"/>
    <w:basedOn w:val="List"/>
    <w:rsid w:val="000F6E6A"/>
    <w:pPr>
      <w:numPr>
        <w:numId w:val="8"/>
      </w:numPr>
    </w:pPr>
  </w:style>
  <w:style w:type="paragraph" w:customStyle="1" w:styleId="ListAlpha2">
    <w:name w:val="List Alpha 2"/>
    <w:basedOn w:val="List2"/>
    <w:rsid w:val="000F6E6A"/>
    <w:pPr>
      <w:numPr>
        <w:numId w:val="7"/>
      </w:numPr>
    </w:pPr>
  </w:style>
  <w:style w:type="paragraph" w:styleId="List2">
    <w:name w:val="List 2"/>
    <w:basedOn w:val="BodyText"/>
    <w:rsid w:val="000F6E6A"/>
    <w:pPr>
      <w:tabs>
        <w:tab w:val="left" w:pos="680"/>
      </w:tabs>
      <w:spacing w:before="60" w:after="60"/>
      <w:ind w:left="680" w:hanging="340"/>
    </w:pPr>
  </w:style>
  <w:style w:type="paragraph" w:styleId="List3">
    <w:name w:val="List 3"/>
    <w:basedOn w:val="BodyText"/>
    <w:rsid w:val="000F6E6A"/>
    <w:pPr>
      <w:tabs>
        <w:tab w:val="left" w:pos="1021"/>
      </w:tabs>
      <w:spacing w:before="60" w:after="60"/>
      <w:ind w:left="1020" w:hanging="340"/>
    </w:pPr>
  </w:style>
  <w:style w:type="paragraph" w:styleId="List4">
    <w:name w:val="List 4"/>
    <w:basedOn w:val="BodyText"/>
    <w:rsid w:val="000F6E6A"/>
    <w:pPr>
      <w:tabs>
        <w:tab w:val="left" w:pos="1361"/>
      </w:tabs>
      <w:spacing w:before="60" w:after="60"/>
      <w:ind w:left="1361" w:hanging="340"/>
    </w:pPr>
  </w:style>
  <w:style w:type="paragraph" w:styleId="List5">
    <w:name w:val="List 5"/>
    <w:basedOn w:val="BodyText"/>
    <w:rsid w:val="000F6E6A"/>
    <w:pPr>
      <w:tabs>
        <w:tab w:val="left" w:pos="1701"/>
      </w:tabs>
      <w:spacing w:before="60" w:after="60"/>
      <w:ind w:left="1701" w:hanging="340"/>
    </w:pPr>
  </w:style>
  <w:style w:type="paragraph" w:styleId="ListBullet3">
    <w:name w:val="List Bullet 3"/>
    <w:basedOn w:val="List3"/>
    <w:rsid w:val="000F6E6A"/>
    <w:pPr>
      <w:numPr>
        <w:numId w:val="14"/>
      </w:numPr>
      <w:tabs>
        <w:tab w:val="clear" w:pos="1021"/>
      </w:tabs>
      <w:ind w:left="1037" w:hanging="357"/>
    </w:pPr>
  </w:style>
  <w:style w:type="paragraph" w:styleId="ListBullet4">
    <w:name w:val="List Bullet 4"/>
    <w:basedOn w:val="List4"/>
    <w:rsid w:val="000F6E6A"/>
    <w:pPr>
      <w:numPr>
        <w:numId w:val="2"/>
      </w:numPr>
    </w:pPr>
  </w:style>
  <w:style w:type="paragraph" w:styleId="ListBullet5">
    <w:name w:val="List Bullet 5"/>
    <w:basedOn w:val="List5"/>
    <w:rsid w:val="000F6E6A"/>
    <w:pPr>
      <w:numPr>
        <w:numId w:val="3"/>
      </w:numPr>
    </w:pPr>
  </w:style>
  <w:style w:type="paragraph" w:styleId="ListContinue2">
    <w:name w:val="List Continue 2"/>
    <w:basedOn w:val="List2"/>
    <w:rsid w:val="000F6E6A"/>
    <w:pPr>
      <w:ind w:firstLine="0"/>
    </w:pPr>
  </w:style>
  <w:style w:type="paragraph" w:styleId="ListContinue3">
    <w:name w:val="List Continue 3"/>
    <w:basedOn w:val="List3"/>
    <w:rsid w:val="000F6E6A"/>
    <w:pPr>
      <w:ind w:left="1021" w:firstLine="0"/>
    </w:pPr>
  </w:style>
  <w:style w:type="paragraph" w:styleId="ListContinue4">
    <w:name w:val="List Continue 4"/>
    <w:basedOn w:val="List4"/>
    <w:rsid w:val="000F6E6A"/>
    <w:pPr>
      <w:ind w:firstLine="0"/>
    </w:pPr>
  </w:style>
  <w:style w:type="paragraph" w:styleId="ListContinue5">
    <w:name w:val="List Continue 5"/>
    <w:basedOn w:val="List5"/>
    <w:rsid w:val="000F6E6A"/>
    <w:pPr>
      <w:ind w:firstLine="0"/>
    </w:pPr>
  </w:style>
  <w:style w:type="paragraph" w:styleId="ListNumber3">
    <w:name w:val="List Number 3"/>
    <w:basedOn w:val="List3"/>
    <w:rsid w:val="000F6E6A"/>
    <w:pPr>
      <w:numPr>
        <w:numId w:val="4"/>
      </w:numPr>
    </w:pPr>
  </w:style>
  <w:style w:type="paragraph" w:styleId="ListNumber4">
    <w:name w:val="List Number 4"/>
    <w:basedOn w:val="List4"/>
    <w:rsid w:val="000F6E6A"/>
    <w:pPr>
      <w:numPr>
        <w:numId w:val="5"/>
      </w:numPr>
    </w:pPr>
  </w:style>
  <w:style w:type="paragraph" w:styleId="ListNumber5">
    <w:name w:val="List Number 5"/>
    <w:basedOn w:val="List5"/>
    <w:rsid w:val="000F6E6A"/>
    <w:pPr>
      <w:numPr>
        <w:numId w:val="6"/>
      </w:numPr>
    </w:pPr>
  </w:style>
  <w:style w:type="paragraph" w:styleId="BlockText">
    <w:name w:val="Block Text"/>
    <w:basedOn w:val="Normal"/>
    <w:rsid w:val="000F6E6A"/>
    <w:pPr>
      <w:spacing w:after="120"/>
      <w:ind w:left="1440" w:right="1440"/>
    </w:pPr>
  </w:style>
  <w:style w:type="character" w:customStyle="1" w:styleId="Subscript">
    <w:name w:val="Subscript"/>
    <w:basedOn w:val="DefaultParagraphFont"/>
    <w:rsid w:val="000F6E6A"/>
    <w:rPr>
      <w:sz w:val="16"/>
      <w:vertAlign w:val="subscript"/>
    </w:rPr>
  </w:style>
  <w:style w:type="character" w:customStyle="1" w:styleId="Superscript">
    <w:name w:val="Superscript"/>
    <w:basedOn w:val="DefaultParagraphFont"/>
    <w:rsid w:val="000F6E6A"/>
    <w:rPr>
      <w:sz w:val="16"/>
      <w:vertAlign w:val="superscript"/>
    </w:rPr>
  </w:style>
  <w:style w:type="character" w:customStyle="1" w:styleId="Symbols">
    <w:name w:val="Symbols"/>
    <w:basedOn w:val="DefaultParagraphFont"/>
    <w:rsid w:val="000F6E6A"/>
    <w:rPr>
      <w:rFonts w:ascii="Symbol" w:hAnsi="Symbol"/>
    </w:rPr>
  </w:style>
  <w:style w:type="character" w:customStyle="1" w:styleId="MenuOptions">
    <w:name w:val="Menu Options"/>
    <w:basedOn w:val="DefaultParagraphFont"/>
    <w:rsid w:val="000F6E6A"/>
    <w:rPr>
      <w:rFonts w:ascii="Arial Narrow" w:hAnsi="Arial Narrow"/>
      <w:smallCaps/>
    </w:rPr>
  </w:style>
  <w:style w:type="character" w:customStyle="1" w:styleId="Buttons">
    <w:name w:val="Buttons"/>
    <w:basedOn w:val="DefaultParagraphFont"/>
    <w:rsid w:val="000F6E6A"/>
    <w:rPr>
      <w:b/>
    </w:rPr>
  </w:style>
  <w:style w:type="character" w:customStyle="1" w:styleId="Underlined">
    <w:name w:val="Underlined"/>
    <w:basedOn w:val="DefaultParagraphFont"/>
    <w:rsid w:val="000F6E6A"/>
    <w:rPr>
      <w:u w:val="single"/>
    </w:rPr>
  </w:style>
  <w:style w:type="paragraph" w:customStyle="1" w:styleId="TableBodyTextRight">
    <w:name w:val="Table Body Text Right"/>
    <w:basedOn w:val="TableBodyText"/>
    <w:rsid w:val="000F6E6A"/>
    <w:pPr>
      <w:widowControl w:val="0"/>
      <w:autoSpaceDE w:val="0"/>
      <w:autoSpaceDN w:val="0"/>
      <w:adjustRightInd w:val="0"/>
      <w:jc w:val="right"/>
    </w:pPr>
    <w:rPr>
      <w:rFonts w:cs="Arial"/>
      <w:szCs w:val="18"/>
    </w:rPr>
  </w:style>
  <w:style w:type="paragraph" w:customStyle="1" w:styleId="CopyrightText">
    <w:name w:val="Copyright Text"/>
    <w:basedOn w:val="BodyText"/>
    <w:rsid w:val="000F6E6A"/>
    <w:rPr>
      <w:sz w:val="18"/>
    </w:rPr>
  </w:style>
  <w:style w:type="paragraph" w:customStyle="1" w:styleId="BodySmallRight">
    <w:name w:val="Body Small Right"/>
    <w:basedOn w:val="BodyTextRight"/>
    <w:rsid w:val="000F6E6A"/>
    <w:rPr>
      <w:sz w:val="18"/>
      <w:szCs w:val="18"/>
    </w:rPr>
  </w:style>
  <w:style w:type="paragraph" w:customStyle="1" w:styleId="MarginEdition">
    <w:name w:val="Margin Edition"/>
    <w:basedOn w:val="MarginNote"/>
    <w:rsid w:val="000F6E6A"/>
    <w:pPr>
      <w:spacing w:before="0" w:after="0"/>
    </w:pPr>
    <w:rPr>
      <w:rFonts w:ascii="Times New Roman" w:hAnsi="Times New Roman"/>
      <w:color w:val="999999"/>
    </w:rPr>
  </w:style>
  <w:style w:type="paragraph" w:customStyle="1" w:styleId="Spacer">
    <w:name w:val="Spacer"/>
    <w:basedOn w:val="Normal"/>
    <w:rsid w:val="000F6E6A"/>
    <w:rPr>
      <w:sz w:val="2"/>
      <w:szCs w:val="2"/>
    </w:rPr>
  </w:style>
  <w:style w:type="character" w:customStyle="1" w:styleId="Small">
    <w:name w:val="Small"/>
    <w:basedOn w:val="DefaultParagraphFont"/>
    <w:rsid w:val="000F6E6A"/>
    <w:rPr>
      <w:sz w:val="16"/>
    </w:rPr>
  </w:style>
  <w:style w:type="paragraph" w:customStyle="1" w:styleId="WideTable">
    <w:name w:val="Wide Table"/>
    <w:basedOn w:val="Normal"/>
    <w:rsid w:val="000F6E6A"/>
    <w:pPr>
      <w:ind w:left="-1418"/>
    </w:pPr>
    <w:rPr>
      <w:sz w:val="2"/>
      <w:szCs w:val="2"/>
    </w:rPr>
  </w:style>
  <w:style w:type="character" w:styleId="PageNumber">
    <w:name w:val="page number"/>
    <w:basedOn w:val="DefaultParagraphFont"/>
    <w:rsid w:val="000F6E6A"/>
  </w:style>
  <w:style w:type="paragraph" w:styleId="Quote">
    <w:name w:val="Quote"/>
    <w:basedOn w:val="Heading1"/>
    <w:link w:val="QuoteChar"/>
    <w:qFormat/>
    <w:rsid w:val="000F6E6A"/>
    <w:rPr>
      <w:b w:val="0"/>
      <w:sz w:val="72"/>
      <w:szCs w:val="72"/>
      <w:lang w:val="en-NZ"/>
    </w:rPr>
  </w:style>
  <w:style w:type="character" w:customStyle="1" w:styleId="QuoteChar">
    <w:name w:val="Quote Char"/>
    <w:basedOn w:val="DefaultParagraphFont"/>
    <w:link w:val="Quote"/>
    <w:rsid w:val="000F6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E6A"/>
    <w:pPr>
      <w:pageBreakBefore/>
    </w:pPr>
  </w:style>
  <w:style w:type="paragraph" w:customStyle="1" w:styleId="Border">
    <w:name w:val="Border"/>
    <w:basedOn w:val="Normal"/>
    <w:qFormat/>
    <w:rsid w:val="000F6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E6A"/>
    <w:rPr>
      <w:b/>
      <w:bCs/>
      <w:i/>
      <w:iCs/>
      <w:color w:val="auto"/>
    </w:rPr>
  </w:style>
  <w:style w:type="paragraph" w:styleId="IntenseQuote">
    <w:name w:val="Intense Quote"/>
    <w:basedOn w:val="Normal"/>
    <w:next w:val="Normal"/>
    <w:link w:val="IntenseQuoteChar"/>
    <w:uiPriority w:val="30"/>
    <w:qFormat/>
    <w:rsid w:val="000F6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E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6E6A"/>
    <w:rPr>
      <w:smallCaps/>
      <w:color w:val="auto"/>
      <w:u w:val="single"/>
    </w:rPr>
  </w:style>
  <w:style w:type="character" w:styleId="IntenseReference">
    <w:name w:val="Intense Reference"/>
    <w:basedOn w:val="DefaultParagraphFont"/>
    <w:uiPriority w:val="32"/>
    <w:qFormat/>
    <w:rsid w:val="000F6E6A"/>
    <w:rPr>
      <w:b/>
      <w:bCs/>
      <w:smallCaps/>
      <w:color w:val="auto"/>
      <w:spacing w:val="5"/>
      <w:u w:val="single"/>
    </w:rPr>
  </w:style>
  <w:style w:type="paragraph" w:customStyle="1" w:styleId="2ColumnHeading">
    <w:name w:val="2Column Heading"/>
    <w:basedOn w:val="BodyText"/>
    <w:qFormat/>
    <w:rsid w:val="000F6E6A"/>
    <w:pPr>
      <w:spacing w:after="60"/>
      <w:ind w:left="-2268"/>
    </w:pPr>
    <w:rPr>
      <w:b/>
    </w:rPr>
  </w:style>
  <w:style w:type="paragraph" w:customStyle="1" w:styleId="Heading1TOC">
    <w:name w:val="Heading1 TOC"/>
    <w:basedOn w:val="Normal"/>
    <w:qFormat/>
    <w:rsid w:val="000F6E6A"/>
    <w:pPr>
      <w:spacing w:before="240" w:after="120"/>
    </w:pPr>
    <w:rPr>
      <w:rFonts w:ascii="Times New Roman" w:hAnsi="Times New Roman"/>
      <w:b/>
      <w:sz w:val="32"/>
    </w:rPr>
  </w:style>
  <w:style w:type="paragraph" w:customStyle="1" w:styleId="Heading2TOC">
    <w:name w:val="Heading2 TOC"/>
    <w:basedOn w:val="Normal"/>
    <w:qFormat/>
    <w:rsid w:val="000F6E6A"/>
    <w:pPr>
      <w:spacing w:before="240" w:after="60"/>
    </w:pPr>
    <w:rPr>
      <w:rFonts w:ascii="Times New Roman" w:hAnsi="Times New Roman"/>
      <w:b/>
      <w:sz w:val="28"/>
    </w:rPr>
  </w:style>
  <w:style w:type="character" w:customStyle="1" w:styleId="Underline">
    <w:name w:val="Underline"/>
    <w:basedOn w:val="DefaultParagraphFont"/>
    <w:qFormat/>
    <w:rsid w:val="000F6E6A"/>
    <w:rPr>
      <w:u w:val="single"/>
    </w:rPr>
  </w:style>
  <w:style w:type="character" w:customStyle="1" w:styleId="BoldandItalics">
    <w:name w:val="Bold and Italics"/>
    <w:qFormat/>
    <w:rsid w:val="000F6E6A"/>
    <w:rPr>
      <w:b/>
      <w:i/>
      <w:u w:val="none"/>
    </w:rPr>
  </w:style>
  <w:style w:type="paragraph" w:styleId="BalloonText">
    <w:name w:val="Balloon Text"/>
    <w:basedOn w:val="Normal"/>
    <w:link w:val="BalloonTextChar"/>
    <w:rsid w:val="000F6E6A"/>
    <w:rPr>
      <w:rFonts w:ascii="Tahoma" w:hAnsi="Tahoma" w:cs="Tahoma"/>
      <w:sz w:val="16"/>
      <w:szCs w:val="16"/>
    </w:rPr>
  </w:style>
  <w:style w:type="character" w:customStyle="1" w:styleId="BalloonTextChar">
    <w:name w:val="Balloon Text Char"/>
    <w:basedOn w:val="DefaultParagraphFont"/>
    <w:link w:val="BalloonText"/>
    <w:rsid w:val="000F6E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6E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6E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596</Words>
  <Characters>3720</Characters>
  <Application>Microsoft Office Word</Application>
  <DocSecurity>0</DocSecurity>
  <Lines>163</Lines>
  <Paragraphs>99</Paragraphs>
  <ScaleCrop>false</ScaleCrop>
  <Company>Author-it Software Corporation Ltd.</Company>
  <LinksUpToDate>false</LinksUpToDate>
  <CharactersWithSpaces>4229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UEE10110 Certificate I in ElectroComms Skills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2012-05-27T08:21:00Z</dcterms:created>
  <dcterms:modified xsi:type="dcterms:W3CDTF">2012-05-27T08:21:00Z</dcterms:modified>
</cp:coreProperties>
</file>