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EB0" w:rsidP="00206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UEERS0031 Maintain rail signalling power supplies</w:t>
      </w:r>
      <w:r>
        <w:fldChar w:fldCharType="end"/>
      </w:r>
    </w:p>
    <w:p w:rsidR="00206EB0" w:rsidP="00206EB0">
      <w:pPr>
        <w:pStyle w:val="Version"/>
        <w:sectPr w:rsidSect="00A51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A0E" w:rsidP="00A51A0E">
      <w:pPr>
        <w:pStyle w:val="SuperHeading"/>
      </w:pPr>
      <w:r w:rsidRPr="00A51A0E">
        <w:t>Assessment Requirements for UEERS0031 Maintain rail signalling power supplies</w:t>
      </w:r>
    </w:p>
    <w:p w:rsidR="00000000" w:rsidRPr="00A51A0E" w:rsidP="00A51A0E">
      <w:pPr>
        <w:pStyle w:val="Heading1"/>
      </w:pPr>
      <w:bookmarkStart w:id="1" w:name="O_1267526"/>
      <w:bookmarkEnd w:id="1"/>
      <w:r w:rsidRPr="00A51A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0E" w:rsidP="00A51A0E">
            <w:pPr>
              <w:pStyle w:val="BodyText"/>
            </w:pPr>
            <w:r w:rsidRPr="00A51A0E">
              <w:t>Release 1. This is the first release of this unit of competency in the UEE Electrotechnology Training Package.</w:t>
            </w:r>
          </w:p>
          <w:p w:rsidR="00000000" w:rsidRPr="00A51A0E" w:rsidP="00A51A0E">
            <w:pPr>
              <w:pStyle w:val="BodyText"/>
            </w:pPr>
            <w:r w:rsidRPr="00A51A0E">
              <w:t>This unit replaces and is equivalent to UEERS0010 Install and maintain rail signalling power supplies.</w:t>
            </w:r>
          </w:p>
          <w:p w:rsidR="00000000" w:rsidRPr="00A51A0E" w:rsidP="00A51A0E">
            <w:pPr>
              <w:pStyle w:val="BodyText"/>
            </w:pPr>
            <w:r w:rsidRPr="00A51A0E">
              <w:t>Modifications this release include:</w:t>
            </w:r>
          </w:p>
          <w:p w:rsidR="00000000" w:rsidRPr="00A51A0E" w:rsidP="00A51A0E">
            <w:pPr>
              <w:pStyle w:val="ListBullet"/>
            </w:pPr>
            <w:r w:rsidRPr="00A51A0E">
              <w:t>Title changed.</w:t>
            </w:r>
          </w:p>
          <w:p w:rsidR="00000000" w:rsidRPr="00A51A0E" w:rsidP="00A51A0E">
            <w:pPr>
              <w:pStyle w:val="ListBullet"/>
            </w:pPr>
            <w:r w:rsidRPr="00A51A0E">
              <w:t>Application updated to reflect title change.</w:t>
            </w:r>
          </w:p>
          <w:p w:rsidR="00000000" w:rsidRPr="00A51A0E" w:rsidP="00A51A0E">
            <w:pPr>
              <w:pStyle w:val="ListBullet"/>
            </w:pPr>
            <w:r w:rsidRPr="00A51A0E">
              <w:t>Element titles and performance criteria amended to refle</w:t>
            </w:r>
            <w:r w:rsidRPr="00A51A0E">
              <w:t>ct title change.</w:t>
            </w:r>
          </w:p>
          <w:p w:rsidR="00000000" w:rsidRPr="00A51A0E" w:rsidP="00A51A0E">
            <w:pPr>
              <w:pStyle w:val="ListBullet"/>
            </w:pPr>
            <w:r w:rsidRPr="00A51A0E">
              <w:t>Performance criteria 1.7, 2.2, 3.2 and 3.3 added.</w:t>
            </w:r>
          </w:p>
          <w:p w:rsidR="00000000" w:rsidRPr="00A51A0E" w:rsidP="00A51A0E">
            <w:pPr>
              <w:pStyle w:val="ListBullet"/>
            </w:pPr>
            <w:r w:rsidRPr="00A51A0E">
              <w:t>Performance and Knowledge Evidence updated for clarity.</w:t>
            </w:r>
          </w:p>
        </w:tc>
      </w:tr>
    </w:tbl>
    <w:p w:rsidR="00000000" w:rsidRPr="00A51A0E" w:rsidP="00A51A0E">
      <w:pPr>
        <w:pStyle w:val="NoPaddingFontSize1"/>
      </w:pPr>
    </w:p>
    <w:p w:rsidR="00000000" w:rsidRPr="00A51A0E" w:rsidP="00A51A0E">
      <w:pPr>
        <w:pStyle w:val="AllowPageBreak"/>
      </w:pPr>
    </w:p>
    <w:p w:rsidR="00000000" w:rsidRPr="00A51A0E" w:rsidP="00A51A0E">
      <w:pPr>
        <w:pStyle w:val="Heading1"/>
      </w:pPr>
      <w:bookmarkStart w:id="2" w:name="O_1267527"/>
      <w:bookmarkEnd w:id="2"/>
      <w:r w:rsidRPr="00A51A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0E">
            <w:pPr>
              <w:pStyle w:val="BodyText"/>
              <w:rPr>
                <w:lang w:val="en-NZ"/>
              </w:rPr>
            </w:pPr>
            <w:r w:rsidRPr="00A51A0E">
              <w:t>Evidence required to demonstrate competence in this unit must be relevant to and satisfy al</w:t>
            </w:r>
            <w:r w:rsidRPr="00A51A0E">
              <w:t>l of the requirements of the elements and performance criteria on at least one occasion and include:</w:t>
            </w:r>
          </w:p>
        </w:tc>
      </w:tr>
      <w:tr w:rsidTr="00A51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0E" w:rsidP="00A51A0E">
            <w:pPr>
              <w:pStyle w:val="ListBullet"/>
            </w:pPr>
            <w:r w:rsidRPr="00A51A0E">
              <w:t>applying relevant work health and safety (WHS)/occupational health and safety (OHS) requirements, including:</w:t>
            </w:r>
          </w:p>
          <w:p w:rsidR="00000000" w:rsidRPr="00A51A0E" w:rsidP="00A51A0E">
            <w:pPr>
              <w:pStyle w:val="ListBullet2"/>
            </w:pPr>
            <w:r w:rsidRPr="00A51A0E">
              <w:t>implementing workplace procedures and practices</w:t>
            </w:r>
          </w:p>
          <w:p w:rsidR="00000000" w:rsidRPr="00A51A0E" w:rsidP="00A51A0E">
            <w:pPr>
              <w:pStyle w:val="ListBullet2"/>
            </w:pPr>
            <w:r w:rsidRPr="00A51A0E">
              <w:t>using risk control measures</w:t>
            </w:r>
          </w:p>
          <w:p w:rsidR="00000000" w:rsidRPr="00A51A0E" w:rsidP="00A51A0E">
            <w:pPr>
              <w:pStyle w:val="ListBullet"/>
            </w:pPr>
            <w:r w:rsidRPr="00A51A0E">
              <w:t>applying sustainable energy principles and practices</w:t>
            </w:r>
          </w:p>
          <w:p w:rsidR="00000000" w:rsidRPr="00A51A0E" w:rsidP="00A51A0E">
            <w:pPr>
              <w:pStyle w:val="ListBullet"/>
            </w:pPr>
            <w:r w:rsidRPr="00A51A0E">
              <w:t>following relevant codes of practice, procedures and requirements</w:t>
            </w:r>
          </w:p>
          <w:p w:rsidR="00000000" w:rsidRPr="00A51A0E" w:rsidP="00A51A0E">
            <w:pPr>
              <w:pStyle w:val="ListBullet"/>
            </w:pPr>
            <w:r w:rsidRPr="00A51A0E">
              <w:t>interpreting specifications and circuit diagrams correctly</w:t>
            </w:r>
          </w:p>
          <w:p w:rsidR="00000000" w:rsidRPr="00A51A0E" w:rsidP="00A51A0E">
            <w:pPr>
              <w:pStyle w:val="ListBullet"/>
            </w:pPr>
            <w:r w:rsidRPr="00A51A0E">
              <w:t>u</w:t>
            </w:r>
            <w:r w:rsidRPr="00A51A0E">
              <w:t>sing tools and test instruments correctly</w:t>
            </w:r>
          </w:p>
          <w:p w:rsidR="00000000" w:rsidRPr="00A51A0E" w:rsidP="00A51A0E">
            <w:pPr>
              <w:pStyle w:val="ListBullet"/>
            </w:pPr>
            <w:r w:rsidRPr="00A51A0E">
              <w:t>maintaining power supplies correctly</w:t>
            </w:r>
          </w:p>
          <w:p w:rsidR="00000000" w:rsidRPr="00A51A0E" w:rsidP="00A51A0E">
            <w:pPr>
              <w:pStyle w:val="ListBullet"/>
            </w:pPr>
            <w:r w:rsidRPr="00A51A0E">
              <w:t>using appropriate diagnostic and fault-finding techniques</w:t>
            </w:r>
          </w:p>
          <w:p w:rsidR="00000000" w:rsidRPr="00A51A0E" w:rsidP="00A51A0E">
            <w:pPr>
              <w:pStyle w:val="ListBullet"/>
            </w:pPr>
            <w:r w:rsidRPr="00A51A0E">
              <w:t>checking:</w:t>
            </w:r>
          </w:p>
          <w:p w:rsidR="00000000" w:rsidRPr="00A51A0E" w:rsidP="00A51A0E">
            <w:pPr>
              <w:pStyle w:val="ListBullet2"/>
            </w:pPr>
            <w:r w:rsidRPr="00A51A0E">
              <w:t>quality of the DC power supply feeding the equipment</w:t>
            </w:r>
          </w:p>
          <w:p w:rsidR="00000000" w:rsidRPr="00A51A0E" w:rsidP="00A51A0E">
            <w:pPr>
              <w:pStyle w:val="ListBullet2"/>
            </w:pPr>
            <w:r w:rsidRPr="00A51A0E">
              <w:t>quality &amp; operation of the com</w:t>
            </w:r>
            <w:r w:rsidRPr="00A51A0E">
              <w:t>munications links, where applicable</w:t>
            </w:r>
          </w:p>
          <w:p w:rsidR="00000000" w:rsidRPr="00A51A0E" w:rsidP="00A51A0E">
            <w:pPr>
              <w:pStyle w:val="ListBullet2"/>
            </w:pPr>
            <w:r w:rsidRPr="00A51A0E">
              <w:t>availability of any protective earthing, surge protection</w:t>
            </w:r>
          </w:p>
          <w:p w:rsidR="00000000" w:rsidRPr="00A51A0E" w:rsidP="00A51A0E">
            <w:pPr>
              <w:pStyle w:val="ListBullet"/>
            </w:pPr>
            <w:r w:rsidRPr="00A51A0E">
              <w:t>completing relevant technical reports, records and documentation</w:t>
            </w:r>
          </w:p>
          <w:p w:rsidR="00000000" w:rsidRPr="00A51A0E" w:rsidP="00A51A0E">
            <w:pPr>
              <w:pStyle w:val="ListBullet"/>
            </w:pPr>
            <w:r w:rsidRPr="00A51A0E">
              <w:t>completing installation/maintenance of rail signalling power supplies</w:t>
            </w:r>
          </w:p>
          <w:p w:rsidR="00000000" w:rsidRPr="00A51A0E" w:rsidP="00A51A0E">
            <w:pPr>
              <w:pStyle w:val="ListBullet"/>
            </w:pPr>
            <w:r w:rsidRPr="00A51A0E">
              <w:t>dealing with unplanned eve</w:t>
            </w:r>
            <w:r w:rsidRPr="00A51A0E">
              <w:t>nts</w:t>
            </w:r>
          </w:p>
        </w:tc>
      </w:tr>
    </w:tbl>
    <w:p w:rsidR="00000000" w:rsidRPr="00A51A0E" w:rsidP="00A51A0E">
      <w:pPr>
        <w:pStyle w:val="NoPaddingFontSize1"/>
      </w:pPr>
    </w:p>
    <w:p w:rsidR="00000000" w:rsidRPr="00A51A0E" w:rsidP="00A51A0E">
      <w:pPr>
        <w:pStyle w:val="AllowPageBreak"/>
      </w:pPr>
    </w:p>
    <w:p w:rsidR="00000000" w:rsidRPr="00A51A0E" w:rsidP="00A51A0E">
      <w:pPr>
        <w:pStyle w:val="Heading1"/>
      </w:pPr>
      <w:bookmarkStart w:id="3" w:name="O_1267528"/>
      <w:bookmarkEnd w:id="3"/>
      <w:r w:rsidRPr="00A51A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0E">
            <w:pPr>
              <w:pStyle w:val="BodyText"/>
              <w:rPr>
                <w:lang w:val="en-NZ"/>
              </w:rPr>
            </w:pPr>
            <w:r w:rsidRPr="00A51A0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51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0E" w:rsidP="00A51A0E">
            <w:pPr>
              <w:pStyle w:val="ListBullet"/>
            </w:pPr>
            <w:r w:rsidRPr="00A51A0E">
              <w:t>rail terminology including:</w:t>
            </w:r>
          </w:p>
          <w:p w:rsidR="00000000" w:rsidRPr="00A51A0E" w:rsidP="00A51A0E">
            <w:pPr>
              <w:pStyle w:val="ListBullet2"/>
            </w:pPr>
            <w:r w:rsidRPr="00A51A0E">
              <w:t>rail signalling nomenclature</w:t>
            </w:r>
          </w:p>
          <w:p w:rsidR="00000000" w:rsidRPr="00A51A0E" w:rsidP="00A51A0E">
            <w:pPr>
              <w:pStyle w:val="ListBullet2"/>
            </w:pPr>
            <w:r w:rsidRPr="00A51A0E">
              <w:t>rail signalling symbols</w:t>
            </w:r>
          </w:p>
          <w:p w:rsidR="00000000" w:rsidRPr="00A51A0E" w:rsidP="00A51A0E">
            <w:pPr>
              <w:pStyle w:val="ListBullet2"/>
            </w:pPr>
            <w:r w:rsidRPr="00A51A0E">
              <w:t xml:space="preserve">relevant state/territory standards </w:t>
            </w:r>
          </w:p>
          <w:p w:rsidR="00000000" w:rsidRPr="00A51A0E" w:rsidP="00A51A0E">
            <w:pPr>
              <w:pStyle w:val="ListBullet2"/>
            </w:pPr>
            <w:r w:rsidRPr="00A51A0E">
              <w:t>standard glossary of terms relevant to each state/territory and where the standard originated from and how new standards are developed to meet a national standard</w:t>
            </w:r>
          </w:p>
          <w:p w:rsidR="00000000" w:rsidRPr="00A51A0E" w:rsidP="00A51A0E">
            <w:pPr>
              <w:pStyle w:val="ListBullet"/>
            </w:pPr>
            <w:r w:rsidRPr="00A51A0E">
              <w:t>power supply alarms and their significance to reliable operation of the signalling system</w:t>
            </w:r>
          </w:p>
          <w:p w:rsidR="00000000" w:rsidRPr="00A51A0E" w:rsidP="00A51A0E">
            <w:pPr>
              <w:pStyle w:val="ListBullet"/>
            </w:pPr>
            <w:r w:rsidRPr="00A51A0E">
              <w:t>the relationship to the signalling arrangement plan/scheme</w:t>
            </w:r>
          </w:p>
          <w:p w:rsidR="00000000" w:rsidRPr="00A51A0E" w:rsidP="00A51A0E">
            <w:pPr>
              <w:pStyle w:val="ListBullet"/>
            </w:pPr>
            <w:r w:rsidRPr="00A51A0E">
              <w:t>abnormal train operating conditions, including signaller operation error, driver operation error, train del</w:t>
            </w:r>
            <w:r w:rsidRPr="00A51A0E">
              <w:t>ayed and train breakdown</w:t>
            </w:r>
          </w:p>
          <w:p w:rsidR="00000000" w:rsidRPr="00A51A0E" w:rsidP="00A51A0E">
            <w:pPr>
              <w:pStyle w:val="ListBullet"/>
            </w:pPr>
            <w:r w:rsidRPr="00A51A0E">
              <w:t>emergency train and signal system operation including</w:t>
            </w:r>
          </w:p>
          <w:p w:rsidR="00000000" w:rsidRPr="00A51A0E" w:rsidP="00A51A0E">
            <w:pPr>
              <w:pStyle w:val="ListBullet2"/>
            </w:pPr>
            <w:r w:rsidRPr="00A51A0E">
              <w:t>degraded signalling system performance, including a partial failure of signalling infrastructure or a system override</w:t>
            </w:r>
          </w:p>
          <w:p w:rsidR="00000000" w:rsidRPr="00A51A0E" w:rsidP="00A51A0E">
            <w:pPr>
              <w:pStyle w:val="ListBullet2"/>
            </w:pPr>
            <w:r w:rsidRPr="00A51A0E">
              <w:t>unscheduled infrastructure maintenance</w:t>
            </w:r>
          </w:p>
          <w:p w:rsidR="00000000" w:rsidRPr="00A51A0E" w:rsidP="00A51A0E">
            <w:pPr>
              <w:pStyle w:val="ListBullet"/>
            </w:pPr>
            <w:r w:rsidRPr="00A51A0E">
              <w:t xml:space="preserve">rail signal power </w:t>
            </w:r>
            <w:r w:rsidRPr="00A51A0E">
              <w:t>supply maintenance, safe working practices and relevant standards, codes and regulations for basic rail operations, including:</w:t>
            </w:r>
          </w:p>
          <w:p w:rsidR="00000000" w:rsidRPr="00A51A0E" w:rsidP="00A51A0E">
            <w:pPr>
              <w:pStyle w:val="ListBullet2"/>
            </w:pPr>
            <w:r w:rsidRPr="00A51A0E">
              <w:t>typical issues affecting electrotechnology services and systems</w:t>
            </w:r>
          </w:p>
          <w:p w:rsidR="00000000" w:rsidRPr="00A51A0E" w:rsidP="00A51A0E">
            <w:pPr>
              <w:pStyle w:val="ListBullet2"/>
            </w:pPr>
            <w:r w:rsidRPr="00A51A0E">
              <w:t>equipment and their components including:</w:t>
            </w:r>
          </w:p>
          <w:p w:rsidR="00000000" w:rsidRPr="00A51A0E" w:rsidP="00A51A0E">
            <w:pPr>
              <w:pStyle w:val="ListBullet3"/>
            </w:pPr>
            <w:r w:rsidRPr="00A51A0E">
              <w:t>transformers</w:t>
            </w:r>
          </w:p>
          <w:p w:rsidR="00000000" w:rsidRPr="00A51A0E" w:rsidP="00A51A0E">
            <w:pPr>
              <w:pStyle w:val="ListBullet3"/>
            </w:pPr>
            <w:r w:rsidRPr="00A51A0E">
              <w:t>batteries</w:t>
            </w:r>
          </w:p>
          <w:p w:rsidR="00000000" w:rsidRPr="00A51A0E" w:rsidP="00A51A0E">
            <w:pPr>
              <w:pStyle w:val="ListBullet3"/>
            </w:pPr>
            <w:r w:rsidRPr="00A51A0E">
              <w:t>converters</w:t>
            </w:r>
          </w:p>
          <w:p w:rsidR="00000000" w:rsidRPr="00A51A0E" w:rsidP="00A51A0E">
            <w:pPr>
              <w:pStyle w:val="ListBullet3"/>
            </w:pPr>
            <w:r w:rsidRPr="00A51A0E">
              <w:t>uninterruptable power supplies (UPS)</w:t>
            </w:r>
          </w:p>
          <w:p w:rsidR="00000000" w:rsidRPr="00A51A0E" w:rsidP="00A51A0E">
            <w:pPr>
              <w:pStyle w:val="ListBullet3"/>
            </w:pPr>
            <w:r w:rsidRPr="00A51A0E">
              <w:t>synchronising switches (STS)</w:t>
            </w:r>
          </w:p>
          <w:p w:rsidR="00000000" w:rsidRPr="00A51A0E" w:rsidP="00A51A0E">
            <w:pPr>
              <w:pStyle w:val="ListBullet3"/>
            </w:pPr>
            <w:r w:rsidRPr="00A51A0E">
              <w:t>generator</w:t>
            </w:r>
          </w:p>
          <w:p w:rsidR="00000000" w:rsidRPr="00A51A0E" w:rsidP="00A51A0E">
            <w:pPr>
              <w:pStyle w:val="ListBullet3"/>
            </w:pPr>
            <w:r w:rsidRPr="00A51A0E">
              <w:t>solar panels, including Regulation and solar charging for remote standalone SELV DC</w:t>
            </w:r>
          </w:p>
          <w:p w:rsidR="00000000" w:rsidRPr="00A51A0E" w:rsidP="00A51A0E">
            <w:pPr>
              <w:pStyle w:val="ListBullet3"/>
            </w:pPr>
            <w:r w:rsidRPr="00A51A0E">
              <w:t>earthing requirements including relevant operators and Australian Standards</w:t>
            </w:r>
            <w:r w:rsidRPr="00A51A0E">
              <w:t xml:space="preserve"> and area specific designs</w:t>
            </w:r>
          </w:p>
          <w:p w:rsidR="00000000" w:rsidRPr="00A51A0E" w:rsidP="00A51A0E">
            <w:pPr>
              <w:pStyle w:val="ListBullet3"/>
            </w:pPr>
            <w:r w:rsidRPr="00A51A0E">
              <w:t>surge protection including relevant operators and Australian Standards and area specific designs</w:t>
            </w:r>
          </w:p>
          <w:p w:rsidR="00000000" w:rsidRPr="00A51A0E" w:rsidP="00A51A0E">
            <w:pPr>
              <w:pStyle w:val="ListBullet3"/>
            </w:pPr>
            <w:r w:rsidRPr="00A51A0E">
              <w:t>switchboards</w:t>
            </w:r>
          </w:p>
          <w:p w:rsidR="00000000" w:rsidRPr="00A51A0E" w:rsidP="00A51A0E">
            <w:pPr>
              <w:pStyle w:val="ListBullet3"/>
            </w:pPr>
            <w:r w:rsidRPr="00A51A0E">
              <w:t>high voltage (HV) and low voltage (LV) power distribution</w:t>
            </w:r>
          </w:p>
          <w:p w:rsidR="00000000" w:rsidRPr="00A51A0E" w:rsidP="00A51A0E">
            <w:pPr>
              <w:pStyle w:val="ListBullet3"/>
            </w:pPr>
            <w:r w:rsidRPr="00A51A0E">
              <w:t>automatic power changeover panels</w:t>
            </w:r>
          </w:p>
          <w:p w:rsidR="00000000" w:rsidRPr="00A51A0E" w:rsidP="00A51A0E">
            <w:pPr>
              <w:pStyle w:val="ListBullet3"/>
            </w:pPr>
            <w:r w:rsidRPr="00A51A0E">
              <w:t>wiring and termination</w:t>
            </w:r>
          </w:p>
          <w:p w:rsidR="00000000" w:rsidRPr="00A51A0E" w:rsidP="00A51A0E">
            <w:pPr>
              <w:pStyle w:val="ListBullet2"/>
            </w:pPr>
            <w:r w:rsidRPr="00A51A0E">
              <w:t>ope</w:t>
            </w:r>
            <w:r w:rsidRPr="00A51A0E">
              <w:t>rating principles and parameters including:</w:t>
            </w:r>
          </w:p>
          <w:p w:rsidR="00000000" w:rsidRPr="00A51A0E" w:rsidP="00A51A0E">
            <w:pPr>
              <w:pStyle w:val="ListBullet3"/>
            </w:pPr>
            <w:r w:rsidRPr="00A51A0E">
              <w:t>normal mode operation</w:t>
            </w:r>
          </w:p>
          <w:p w:rsidR="00000000" w:rsidRPr="00A51A0E" w:rsidP="00A51A0E">
            <w:pPr>
              <w:pStyle w:val="ListBullet3"/>
            </w:pPr>
            <w:r w:rsidRPr="00A51A0E">
              <w:t>alarm mode</w:t>
            </w:r>
          </w:p>
          <w:p w:rsidR="00000000" w:rsidRPr="00A51A0E" w:rsidP="00A51A0E">
            <w:pPr>
              <w:pStyle w:val="ListBullet3"/>
            </w:pPr>
            <w:r w:rsidRPr="00A51A0E">
              <w:t>redundancy mode</w:t>
            </w:r>
          </w:p>
          <w:p w:rsidR="00000000" w:rsidRPr="00A51A0E" w:rsidP="00A51A0E">
            <w:pPr>
              <w:pStyle w:val="ListBullet3"/>
            </w:pPr>
            <w:r w:rsidRPr="00A51A0E">
              <w:t>power interruption/standby mode</w:t>
            </w:r>
          </w:p>
          <w:p w:rsidR="00000000" w:rsidRPr="00A51A0E" w:rsidP="00A51A0E">
            <w:pPr>
              <w:pStyle w:val="ListBullet3"/>
            </w:pPr>
            <w:r w:rsidRPr="00A51A0E">
              <w:t>interpreting circuits diagrams to evaluate correct operation and relationship to other signalling circuits and equipment</w:t>
            </w:r>
          </w:p>
          <w:p w:rsidR="00000000" w:rsidRPr="00A51A0E" w:rsidP="00A51A0E">
            <w:pPr>
              <w:pStyle w:val="ListBullet2"/>
            </w:pPr>
            <w:r w:rsidRPr="00A51A0E">
              <w:t>servicing procedures including:</w:t>
            </w:r>
          </w:p>
          <w:p w:rsidR="00000000" w:rsidRPr="00A51A0E" w:rsidP="00A51A0E">
            <w:pPr>
              <w:pStyle w:val="ListBullet3"/>
            </w:pPr>
            <w:r w:rsidRPr="00A51A0E">
              <w:t>maintenance documentation</w:t>
            </w:r>
          </w:p>
          <w:p w:rsidR="00000000" w:rsidRPr="00A51A0E" w:rsidP="00A51A0E">
            <w:pPr>
              <w:pStyle w:val="ListBullet3"/>
            </w:pPr>
            <w:r w:rsidRPr="00A51A0E">
              <w:t>coordination/planning sequence</w:t>
            </w:r>
          </w:p>
          <w:p w:rsidR="00000000" w:rsidRPr="00A51A0E" w:rsidP="00A51A0E">
            <w:pPr>
              <w:pStyle w:val="ListBullet3"/>
            </w:pPr>
            <w:r w:rsidRPr="00A51A0E">
              <w:t>operational test procedures</w:t>
            </w:r>
          </w:p>
          <w:p w:rsidR="00000000" w:rsidRPr="00A51A0E" w:rsidP="00A51A0E">
            <w:pPr>
              <w:pStyle w:val="ListBullet3"/>
            </w:pPr>
            <w:r w:rsidRPr="00A51A0E">
              <w:t>scheduled/preventative maintenance</w:t>
            </w:r>
          </w:p>
          <w:p w:rsidR="00000000" w:rsidRPr="00A51A0E" w:rsidP="00A51A0E">
            <w:pPr>
              <w:pStyle w:val="ListBullet3"/>
            </w:pPr>
            <w:r w:rsidRPr="00A51A0E">
              <w:t>unscheduled/corrective maintenance</w:t>
            </w:r>
          </w:p>
          <w:p w:rsidR="00000000" w:rsidRPr="00A51A0E" w:rsidP="00A51A0E">
            <w:pPr>
              <w:pStyle w:val="ListBullet3"/>
            </w:pPr>
            <w:r w:rsidRPr="00A51A0E">
              <w:t>certifying power supply equipment, including certifying procedures a</w:t>
            </w:r>
            <w:r w:rsidRPr="00A51A0E">
              <w:t>pplicable for compliance with rail operator and/or enterprise standards</w:t>
            </w:r>
          </w:p>
          <w:p w:rsidR="00000000" w:rsidRPr="00A51A0E" w:rsidP="00A51A0E">
            <w:pPr>
              <w:pStyle w:val="ListBullet2"/>
            </w:pPr>
            <w:r w:rsidRPr="00A51A0E">
              <w:t>inverters including:</w:t>
            </w:r>
          </w:p>
          <w:p w:rsidR="00000000" w:rsidRPr="00A51A0E" w:rsidP="00A51A0E">
            <w:pPr>
              <w:pStyle w:val="ListBullet3"/>
            </w:pPr>
            <w:r w:rsidRPr="00A51A0E">
              <w:t>faults in inverters</w:t>
            </w:r>
          </w:p>
          <w:p w:rsidR="00000000" w:rsidRPr="00A51A0E" w:rsidP="00A51A0E">
            <w:pPr>
              <w:pStyle w:val="ListBullet3"/>
            </w:pPr>
            <w:r w:rsidRPr="00A51A0E">
              <w:t>features and characteristic of inverters under load and no-load c</w:t>
            </w:r>
            <w:r w:rsidRPr="00A51A0E">
              <w:t>haracteristics - circuit configuration, input and output wave forms, relationship between input and output voltages and output voltage under load conditions</w:t>
            </w:r>
          </w:p>
          <w:p w:rsidR="00000000" w:rsidRPr="00A51A0E" w:rsidP="00A51A0E">
            <w:pPr>
              <w:pStyle w:val="ListBullet3"/>
            </w:pPr>
            <w:r w:rsidRPr="00A51A0E">
              <w:t>linear and switch mode power supplies, including:</w:t>
            </w:r>
          </w:p>
          <w:p w:rsidR="00000000" w:rsidRPr="00A51A0E" w:rsidP="00A51A0E">
            <w:pPr>
              <w:pStyle w:val="ListBullet4"/>
            </w:pPr>
            <w:r w:rsidRPr="00A51A0E">
              <w:t xml:space="preserve">direct current (d.c.) to d.c. converters </w:t>
            </w:r>
          </w:p>
          <w:p w:rsidR="00000000" w:rsidRPr="00A51A0E" w:rsidP="00A51A0E">
            <w:pPr>
              <w:pStyle w:val="ListBullet4"/>
            </w:pPr>
            <w:r w:rsidRPr="00A51A0E">
              <w:t>diagnostic procedures to isolate faults</w:t>
            </w:r>
          </w:p>
          <w:p w:rsidR="00000000" w:rsidRPr="00A51A0E" w:rsidP="00A51A0E">
            <w:pPr>
              <w:pStyle w:val="ListBullet4"/>
            </w:pPr>
            <w:r w:rsidRPr="00A51A0E">
              <w:t>isolation requirements and circuitry</w:t>
            </w:r>
          </w:p>
          <w:p w:rsidR="00000000" w:rsidRPr="00A51A0E" w:rsidP="00A51A0E">
            <w:pPr>
              <w:pStyle w:val="ListBullet4"/>
            </w:pPr>
            <w:r w:rsidRPr="00A51A0E">
              <w:t>characteristics of switched mode power supplies</w:t>
            </w:r>
          </w:p>
          <w:p w:rsidR="00000000" w:rsidRPr="00A51A0E" w:rsidP="00A51A0E">
            <w:pPr>
              <w:pStyle w:val="ListBullet4"/>
            </w:pPr>
            <w:r w:rsidRPr="00A51A0E">
              <w:t>operation of step-down and step-up regulators, variable frequency and pulse width modulated regulation techniques, and switched mod</w:t>
            </w:r>
            <w:r w:rsidRPr="00A51A0E">
              <w:t xml:space="preserve">e power supplies </w:t>
            </w:r>
          </w:p>
          <w:p w:rsidR="00000000" w:rsidRPr="00A51A0E" w:rsidP="00A51A0E">
            <w:pPr>
              <w:pStyle w:val="ListBullet4"/>
            </w:pPr>
            <w:r w:rsidRPr="00A51A0E">
              <w:t>radiation suppression circuitry</w:t>
            </w:r>
          </w:p>
          <w:p w:rsidR="00000000" w:rsidRPr="00A51A0E" w:rsidP="00A51A0E">
            <w:pPr>
              <w:pStyle w:val="ListBullet3"/>
            </w:pPr>
            <w:r w:rsidRPr="00A51A0E">
              <w:t>typical applications of inverters.</w:t>
            </w:r>
          </w:p>
          <w:p w:rsidR="00000000" w:rsidRPr="00A51A0E" w:rsidP="00A51A0E">
            <w:pPr>
              <w:pStyle w:val="ListBullet"/>
            </w:pPr>
            <w:r w:rsidRPr="00A51A0E">
              <w:t>environmental and heritage requirements and regulation</w:t>
            </w:r>
          </w:p>
          <w:p w:rsidR="00000000" w:rsidRPr="00A51A0E" w:rsidP="00A51A0E">
            <w:pPr>
              <w:pStyle w:val="ListBullet"/>
            </w:pPr>
            <w:r w:rsidRPr="00A51A0E">
              <w:t>WHS/OHS requirements including:</w:t>
            </w:r>
          </w:p>
          <w:p w:rsidR="00000000" w:rsidRPr="00A51A0E" w:rsidP="00A51A0E">
            <w:pPr>
              <w:pStyle w:val="ListBullet2"/>
            </w:pPr>
            <w:r w:rsidRPr="00A51A0E">
              <w:t>legislated requirements</w:t>
            </w:r>
          </w:p>
          <w:p w:rsidR="00000000" w:rsidRPr="00A51A0E" w:rsidP="00A51A0E">
            <w:pPr>
              <w:pStyle w:val="ListBullet2"/>
            </w:pPr>
            <w:r w:rsidRPr="00A51A0E">
              <w:t>safe working practices</w:t>
            </w:r>
          </w:p>
          <w:p w:rsidR="00000000" w:rsidRPr="00A51A0E" w:rsidP="00A51A0E">
            <w:pPr>
              <w:pStyle w:val="ListBullet2"/>
            </w:pPr>
            <w:r w:rsidRPr="00A51A0E">
              <w:t>job safety assessments or risk mitigation processes</w:t>
            </w:r>
          </w:p>
          <w:p w:rsidR="00000000" w:rsidRPr="00A51A0E" w:rsidP="00A51A0E">
            <w:pPr>
              <w:pStyle w:val="ListBullet"/>
            </w:pPr>
            <w:r w:rsidRPr="00A51A0E">
              <w:t>maintaining work activities records including:</w:t>
            </w:r>
          </w:p>
          <w:p w:rsidR="00000000" w:rsidRPr="00A51A0E" w:rsidP="00A51A0E">
            <w:pPr>
              <w:pStyle w:val="ListBullet2"/>
            </w:pPr>
            <w:r w:rsidRPr="00A51A0E">
              <w:t>purpose and extent of records</w:t>
            </w:r>
          </w:p>
          <w:p w:rsidR="00000000" w:rsidRPr="00A51A0E" w:rsidP="00A51A0E">
            <w:pPr>
              <w:pStyle w:val="ListBullet2"/>
            </w:pPr>
            <w:r w:rsidRPr="00A51A0E">
              <w:t xml:space="preserve">types of records </w:t>
            </w:r>
          </w:p>
          <w:p w:rsidR="00000000" w:rsidRPr="00A51A0E" w:rsidP="00A51A0E">
            <w:pPr>
              <w:pStyle w:val="ListBullet2"/>
            </w:pPr>
            <w:r w:rsidRPr="00A51A0E">
              <w:t>methods for recording</w:t>
            </w:r>
          </w:p>
          <w:p w:rsidR="00000000" w:rsidRPr="00A51A0E" w:rsidP="00A51A0E">
            <w:pPr>
              <w:pStyle w:val="ListBullet2"/>
            </w:pPr>
            <w:r w:rsidRPr="00A51A0E">
              <w:t>records required by regulation</w:t>
            </w:r>
          </w:p>
          <w:p w:rsidR="00000000" w:rsidRPr="00A51A0E" w:rsidP="00A51A0E">
            <w:pPr>
              <w:pStyle w:val="ListBullet"/>
            </w:pPr>
            <w:r w:rsidRPr="00A51A0E">
              <w:t>relevant standards, codes and regulations</w:t>
            </w:r>
          </w:p>
          <w:p w:rsidR="00000000" w:rsidRPr="00A51A0E" w:rsidP="00A51A0E">
            <w:pPr>
              <w:pStyle w:val="ListBullet"/>
            </w:pPr>
            <w:r w:rsidRPr="00A51A0E">
              <w:t>relevant ma</w:t>
            </w:r>
            <w:r w:rsidRPr="00A51A0E">
              <w:t>nufacturer specifications and manuals</w:t>
            </w:r>
          </w:p>
          <w:p w:rsidR="00000000" w:rsidRPr="00A51A0E" w:rsidP="00A51A0E">
            <w:pPr>
              <w:pStyle w:val="ListBullet"/>
            </w:pPr>
            <w:r w:rsidRPr="00A51A0E">
              <w:t>relevant workplace documentation, policies and procedures</w:t>
            </w:r>
          </w:p>
        </w:tc>
      </w:tr>
    </w:tbl>
    <w:p w:rsidR="00000000" w:rsidRPr="00A51A0E" w:rsidP="00A51A0E">
      <w:pPr>
        <w:pStyle w:val="NoPaddingFontSize1"/>
      </w:pPr>
    </w:p>
    <w:p w:rsidR="00000000" w:rsidRPr="00A51A0E" w:rsidP="00A51A0E">
      <w:pPr>
        <w:pStyle w:val="AllowPageBreak"/>
      </w:pPr>
    </w:p>
    <w:p w:rsidR="00000000" w:rsidRPr="00A51A0E" w:rsidP="00A51A0E">
      <w:pPr>
        <w:pStyle w:val="Heading1"/>
      </w:pPr>
      <w:bookmarkStart w:id="4" w:name="O_1267529"/>
      <w:bookmarkEnd w:id="4"/>
      <w:r w:rsidRPr="00A51A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A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0E" w:rsidP="00A51A0E">
            <w:pPr>
              <w:pStyle w:val="BodyText"/>
            </w:pPr>
            <w:r w:rsidRPr="00A51A0E">
              <w:t>Assessors must hold credentials specified within the Standards for Registered Training Organisations current at the time of assessment.</w:t>
            </w:r>
          </w:p>
          <w:p w:rsidR="00000000" w:rsidRPr="00A51A0E" w:rsidP="00A51A0E">
            <w:pPr>
              <w:pStyle w:val="BodyText"/>
            </w:pPr>
            <w:r w:rsidRPr="00A51A0E">
              <w:t>Assessment must satisfy the Principles of Assessment and Rules of Evidence and all regulatory requirements included with</w:t>
            </w:r>
            <w:r w:rsidRPr="00A51A0E">
              <w:t>in the Standards for Registered Training Organisations current at the time of assessment.</w:t>
            </w:r>
          </w:p>
          <w:p w:rsidR="00000000" w:rsidRPr="00A51A0E" w:rsidP="00A51A0E">
            <w:pPr>
              <w:pStyle w:val="BodyText"/>
            </w:pPr>
            <w:r w:rsidRPr="00A51A0E">
              <w:t xml:space="preserve">Assessment must occur in suitable workplace operational situations where it is appropriate to do so; where this is not appropriate, assessment must occur in suitable </w:t>
            </w:r>
            <w:r w:rsidRPr="00A51A0E">
              <w:t>simulated workplace operational situations that replicate workplace conditions.</w:t>
            </w:r>
          </w:p>
          <w:p w:rsidR="00000000" w:rsidRPr="00A51A0E" w:rsidP="00A51A0E">
            <w:pPr>
              <w:pStyle w:val="BodyText"/>
            </w:pPr>
            <w:r w:rsidRPr="00A51A0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51A0E" w:rsidP="00A51A0E">
            <w:pPr>
              <w:pStyle w:val="BodyText"/>
            </w:pPr>
            <w:r w:rsidRPr="00A51A0E">
              <w:t>Resource</w:t>
            </w:r>
            <w:r w:rsidRPr="00A51A0E">
              <w:t>s for assessment must include access to:</w:t>
            </w:r>
          </w:p>
          <w:p w:rsidR="00000000" w:rsidRPr="00A51A0E" w:rsidP="00A51A0E">
            <w:pPr>
              <w:pStyle w:val="ListBullet"/>
            </w:pPr>
            <w:r w:rsidRPr="00A51A0E">
              <w:t>a range of relevant exercises, case studies and/or other simulations</w:t>
            </w:r>
          </w:p>
          <w:p w:rsidR="00000000" w:rsidRPr="00A51A0E" w:rsidP="00A51A0E">
            <w:pPr>
              <w:pStyle w:val="ListBullet"/>
            </w:pPr>
            <w:r w:rsidRPr="00A51A0E">
              <w:t>relevant and appropriate materials, tools, facilities, equipment and personal protective equipment (PPE) currently used in industry</w:t>
            </w:r>
          </w:p>
          <w:p w:rsidR="00000000" w:rsidRPr="00A51A0E" w:rsidP="00A51A0E">
            <w:pPr>
              <w:pStyle w:val="ListBullet"/>
            </w:pPr>
            <w:r w:rsidRPr="00A51A0E">
              <w:t>resources tha</w:t>
            </w:r>
            <w:r w:rsidRPr="00A51A0E">
              <w:t>t reflect current industry practices in relation to maintaining rail signalling power supplies</w:t>
            </w:r>
          </w:p>
          <w:p w:rsidR="00000000" w:rsidRPr="00A51A0E" w:rsidP="00A51A0E">
            <w:pPr>
              <w:pStyle w:val="ListBullet"/>
            </w:pPr>
            <w:r w:rsidRPr="00A51A0E">
              <w:t>applicable documentation, including workplace procedures, equipment specifications, regulations, enterprise work activities records, codes of practice and operat</w:t>
            </w:r>
            <w:r w:rsidRPr="00A51A0E">
              <w:t>ion manuals.</w:t>
            </w:r>
          </w:p>
        </w:tc>
      </w:tr>
    </w:tbl>
    <w:p w:rsidR="00000000" w:rsidRPr="00A51A0E" w:rsidP="00A51A0E">
      <w:pPr>
        <w:pStyle w:val="NoPaddingFontSize1"/>
      </w:pPr>
    </w:p>
    <w:p w:rsidR="00000000" w:rsidRPr="00A51A0E" w:rsidP="00A51A0E">
      <w:pPr>
        <w:pStyle w:val="AllowPageBreak"/>
      </w:pPr>
    </w:p>
    <w:p w:rsidR="00000000" w:rsidRPr="00A51A0E" w:rsidP="00A51A0E">
      <w:pPr>
        <w:pStyle w:val="Heading1"/>
      </w:pPr>
      <w:bookmarkStart w:id="5" w:name="O_1267532"/>
      <w:bookmarkEnd w:id="5"/>
      <w:r w:rsidRPr="00A51A0E">
        <w:t>Links</w:t>
      </w:r>
    </w:p>
    <w:p w:rsidR="00000000" w:rsidRPr="00A51A0E" w:rsidP="00206EB0">
      <w:pPr>
        <w:pStyle w:val="BodyText"/>
      </w:pPr>
      <w:r w:rsidRPr="00A51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1441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51A0E" w:rsidP="00A51A0E"/>
    <w:sectPr w:rsidSect="00A51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0E" w:rsidRPr="00206EB0" w:rsidP="00206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B0" w:rsidP="00A51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EB0" w:rsidP="00A51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06EB0" w:rsidP="00A51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A0E" w:rsidRPr="00206EB0" w:rsidP="00206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B0" w:rsidRPr="002D2AF8" w:rsidP="00A51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UEERS0031 Maintain rail signalling power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06EB0" w:rsidP="00A51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20B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861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01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A0E"/>
  </w:style>
  <w:style w:type="character" w:customStyle="1" w:styleId="Heading1Char">
    <w:name w:val="Heading 1 Char"/>
    <w:basedOn w:val="DefaultParagraphFont"/>
    <w:link w:val="Heading1"/>
    <w:rsid w:val="00A51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A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A0E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1A0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1A0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A0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1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A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A0E"/>
    <w:rPr>
      <w:b/>
      <w:spacing w:val="0"/>
    </w:rPr>
  </w:style>
  <w:style w:type="paragraph" w:customStyle="1" w:styleId="SuperTitle">
    <w:name w:val="SuperTitle"/>
    <w:basedOn w:val="Title"/>
    <w:rsid w:val="00A51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A0E"/>
    <w:rPr>
      <w:i/>
    </w:rPr>
  </w:style>
  <w:style w:type="paragraph" w:styleId="Caption">
    <w:name w:val="caption"/>
    <w:basedOn w:val="BodyText"/>
    <w:next w:val="Normal"/>
    <w:qFormat/>
    <w:rsid w:val="00A51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A0E"/>
  </w:style>
  <w:style w:type="paragraph" w:styleId="TableofFigures">
    <w:name w:val="table of figures"/>
    <w:basedOn w:val="Normal"/>
    <w:next w:val="Normal"/>
    <w:semiHidden/>
    <w:rsid w:val="00A51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A0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51A0E"/>
    <w:rPr>
      <w:rFonts w:ascii="Wingdings" w:hAnsi="Wingdings"/>
    </w:rPr>
  </w:style>
  <w:style w:type="paragraph" w:customStyle="1" w:styleId="TableHeading">
    <w:name w:val="Table Heading"/>
    <w:basedOn w:val="HeadingBase"/>
    <w:rsid w:val="00A51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A0E"/>
    <w:rPr>
      <w:color w:val="0033CC"/>
      <w:u w:val="none"/>
    </w:rPr>
  </w:style>
  <w:style w:type="paragraph" w:customStyle="1" w:styleId="BodyTextRight">
    <w:name w:val="Body Text Right"/>
    <w:basedOn w:val="BodyText"/>
    <w:rsid w:val="00A51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A0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A0E"/>
    <w:rPr>
      <w:sz w:val="32"/>
    </w:rPr>
  </w:style>
  <w:style w:type="paragraph" w:customStyle="1" w:styleId="HeadingProcedure">
    <w:name w:val="Heading Procedure"/>
    <w:basedOn w:val="HeadingBase"/>
    <w:next w:val="Normal"/>
    <w:rsid w:val="00A51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A0E"/>
    <w:pPr>
      <w:spacing w:before="60" w:after="60"/>
    </w:pPr>
  </w:style>
  <w:style w:type="paragraph" w:styleId="ListContinue">
    <w:name w:val="List Continue"/>
    <w:basedOn w:val="List"/>
    <w:rsid w:val="00A51A0E"/>
    <w:pPr>
      <w:ind w:firstLine="0"/>
    </w:pPr>
  </w:style>
  <w:style w:type="paragraph" w:customStyle="1" w:styleId="ListNote">
    <w:name w:val="List Note"/>
    <w:basedOn w:val="List"/>
    <w:rsid w:val="00A51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A0E"/>
    <w:rPr>
      <w:rFonts w:ascii="Courier New" w:hAnsi="Courier New"/>
    </w:rPr>
  </w:style>
  <w:style w:type="paragraph" w:customStyle="1" w:styleId="NoteBullet">
    <w:name w:val="Note Bullet"/>
    <w:basedOn w:val="Note"/>
    <w:rsid w:val="00A51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A0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51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A0E"/>
    <w:rPr>
      <w:b/>
      <w:smallCaps/>
    </w:rPr>
  </w:style>
  <w:style w:type="paragraph" w:customStyle="1" w:styleId="TableListNumber">
    <w:name w:val="Table List Number"/>
    <w:basedOn w:val="ListNumber"/>
    <w:rsid w:val="00A51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A0E"/>
    <w:pPr>
      <w:numPr>
        <w:numId w:val="11"/>
      </w:numPr>
    </w:pPr>
  </w:style>
  <w:style w:type="paragraph" w:customStyle="1" w:styleId="ListAlpha2">
    <w:name w:val="List Alpha 2"/>
    <w:basedOn w:val="List2"/>
    <w:rsid w:val="00A51A0E"/>
    <w:pPr>
      <w:numPr>
        <w:numId w:val="10"/>
      </w:numPr>
    </w:pPr>
  </w:style>
  <w:style w:type="paragraph" w:styleId="List2">
    <w:name w:val="List 2"/>
    <w:basedOn w:val="BodyText"/>
    <w:rsid w:val="00A51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A0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51A0E"/>
    <w:pPr>
      <w:numPr>
        <w:numId w:val="6"/>
      </w:numPr>
    </w:pPr>
  </w:style>
  <w:style w:type="paragraph" w:styleId="ListContinue2">
    <w:name w:val="List Continue 2"/>
    <w:basedOn w:val="List2"/>
    <w:rsid w:val="00A51A0E"/>
    <w:pPr>
      <w:ind w:firstLine="0"/>
    </w:pPr>
  </w:style>
  <w:style w:type="paragraph" w:styleId="ListContinue3">
    <w:name w:val="List Continue 3"/>
    <w:basedOn w:val="List3"/>
    <w:rsid w:val="00A51A0E"/>
    <w:pPr>
      <w:ind w:left="1021" w:firstLine="0"/>
    </w:pPr>
  </w:style>
  <w:style w:type="paragraph" w:styleId="ListContinue4">
    <w:name w:val="List Continue 4"/>
    <w:basedOn w:val="List4"/>
    <w:rsid w:val="00A51A0E"/>
    <w:pPr>
      <w:ind w:firstLine="0"/>
    </w:pPr>
  </w:style>
  <w:style w:type="paragraph" w:styleId="ListContinue5">
    <w:name w:val="List Continue 5"/>
    <w:basedOn w:val="List5"/>
    <w:rsid w:val="00A51A0E"/>
    <w:pPr>
      <w:ind w:firstLine="0"/>
    </w:pPr>
  </w:style>
  <w:style w:type="paragraph" w:styleId="ListNumber3">
    <w:name w:val="List Number 3"/>
    <w:basedOn w:val="List3"/>
    <w:rsid w:val="00A51A0E"/>
    <w:pPr>
      <w:numPr>
        <w:numId w:val="7"/>
      </w:numPr>
    </w:pPr>
  </w:style>
  <w:style w:type="paragraph" w:styleId="ListNumber4">
    <w:name w:val="List Number 4"/>
    <w:basedOn w:val="List4"/>
    <w:rsid w:val="00A51A0E"/>
    <w:pPr>
      <w:numPr>
        <w:numId w:val="8"/>
      </w:numPr>
    </w:pPr>
  </w:style>
  <w:style w:type="paragraph" w:styleId="ListNumber5">
    <w:name w:val="List Number 5"/>
    <w:basedOn w:val="List5"/>
    <w:rsid w:val="00A51A0E"/>
    <w:pPr>
      <w:numPr>
        <w:numId w:val="9"/>
      </w:numPr>
    </w:pPr>
  </w:style>
  <w:style w:type="paragraph" w:styleId="BlockText">
    <w:name w:val="Block Text"/>
    <w:basedOn w:val="Normal"/>
    <w:rsid w:val="00A51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A0E"/>
    <w:rPr>
      <w:sz w:val="16"/>
      <w:vertAlign w:val="superscript"/>
    </w:rPr>
  </w:style>
  <w:style w:type="character" w:customStyle="1" w:styleId="Symbols">
    <w:name w:val="Symbols"/>
    <w:basedOn w:val="DefaultParagraphFont"/>
    <w:rsid w:val="00A51A0E"/>
    <w:rPr>
      <w:rFonts w:ascii="Symbol" w:hAnsi="Symbol"/>
    </w:rPr>
  </w:style>
  <w:style w:type="character" w:customStyle="1" w:styleId="MenuOptions">
    <w:name w:val="Menu Options"/>
    <w:basedOn w:val="DefaultParagraphFont"/>
    <w:rsid w:val="00A51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A0E"/>
    <w:rPr>
      <w:b/>
    </w:rPr>
  </w:style>
  <w:style w:type="character" w:customStyle="1" w:styleId="Underlined">
    <w:name w:val="Underlined"/>
    <w:basedOn w:val="DefaultParagraphFont"/>
    <w:rsid w:val="00A51A0E"/>
    <w:rPr>
      <w:u w:val="single"/>
    </w:rPr>
  </w:style>
  <w:style w:type="paragraph" w:customStyle="1" w:styleId="TableBodyTextRight">
    <w:name w:val="Table Body Text Right"/>
    <w:basedOn w:val="TableBodyText"/>
    <w:rsid w:val="00A51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A0E"/>
    <w:rPr>
      <w:sz w:val="18"/>
    </w:rPr>
  </w:style>
  <w:style w:type="paragraph" w:customStyle="1" w:styleId="BodySmallRight">
    <w:name w:val="Body Small Right"/>
    <w:basedOn w:val="BodyTextRight"/>
    <w:rsid w:val="00A51A0E"/>
    <w:rPr>
      <w:sz w:val="18"/>
      <w:szCs w:val="18"/>
    </w:rPr>
  </w:style>
  <w:style w:type="paragraph" w:customStyle="1" w:styleId="MarginEdition">
    <w:name w:val="Margin Edition"/>
    <w:basedOn w:val="MarginNote"/>
    <w:rsid w:val="00A51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A0E"/>
    <w:rPr>
      <w:sz w:val="2"/>
      <w:szCs w:val="2"/>
    </w:rPr>
  </w:style>
  <w:style w:type="character" w:customStyle="1" w:styleId="Small">
    <w:name w:val="Small"/>
    <w:basedOn w:val="DefaultParagraphFont"/>
    <w:rsid w:val="00A51A0E"/>
    <w:rPr>
      <w:sz w:val="16"/>
    </w:rPr>
  </w:style>
  <w:style w:type="paragraph" w:customStyle="1" w:styleId="WideTable">
    <w:name w:val="Wide Table"/>
    <w:basedOn w:val="Normal"/>
    <w:rsid w:val="00A51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A0E"/>
  </w:style>
  <w:style w:type="paragraph" w:styleId="Quote">
    <w:name w:val="Quote"/>
    <w:basedOn w:val="Heading1"/>
    <w:link w:val="QuoteChar"/>
    <w:qFormat/>
    <w:rsid w:val="00A51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A0E"/>
    <w:pPr>
      <w:pageBreakBefore/>
    </w:pPr>
  </w:style>
  <w:style w:type="paragraph" w:customStyle="1" w:styleId="Border">
    <w:name w:val="Border"/>
    <w:basedOn w:val="Normal"/>
    <w:qFormat/>
    <w:rsid w:val="00A51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A0E"/>
    <w:rPr>
      <w:u w:val="single"/>
    </w:rPr>
  </w:style>
  <w:style w:type="character" w:customStyle="1" w:styleId="BoldandItalics">
    <w:name w:val="Bold and Italics"/>
    <w:qFormat/>
    <w:rsid w:val="00A51A0E"/>
    <w:rPr>
      <w:b/>
      <w:i/>
      <w:u w:val="none"/>
    </w:rPr>
  </w:style>
  <w:style w:type="paragraph" w:styleId="BalloonText">
    <w:name w:val="Balloon Text"/>
    <w:basedOn w:val="Normal"/>
    <w:link w:val="BalloonTextChar"/>
    <w:rsid w:val="00A51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A0E"/>
    <w:pPr>
      <w:spacing w:before="0" w:after="0"/>
    </w:pPr>
  </w:style>
  <w:style w:type="paragraph" w:customStyle="1" w:styleId="BodyTextBold">
    <w:name w:val="Body Text Bold"/>
    <w:basedOn w:val="BodyText"/>
    <w:qFormat/>
    <w:rsid w:val="00A51A0E"/>
    <w:rPr>
      <w:b/>
    </w:rPr>
  </w:style>
  <w:style w:type="character" w:styleId="Hyperlink">
    <w:name w:val="Hyperlink"/>
    <w:basedOn w:val="DefaultParagraphFont"/>
    <w:uiPriority w:val="99"/>
    <w:unhideWhenUsed/>
    <w:rsid w:val="00206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6041</Characters>
  <Application>Microsoft Office Word</Application>
  <DocSecurity>0</DocSecurity>
  <Lines>147</Lines>
  <Paragraphs>123</Paragraphs>
  <ScaleCrop>false</ScaleCrop>
  <Company>Author-it Software Corporation Ltd.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UEERS0031 Maintain rail signalling power supplies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