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E7D" w:rsidP="00F96E7D">
      <w:pPr>
        <w:pStyle w:val="Title"/>
      </w:pPr>
      <w:r>
        <w:fldChar w:fldCharType="begin"/>
      </w:r>
      <w:r>
        <w:instrText xml:space="preserve"> TITLE   \* MERGEFORMAT </w:instrText>
      </w:r>
      <w:r>
        <w:fldChar w:fldCharType="separate"/>
      </w:r>
      <w:r>
        <w:t>Assessment Requirements for UEERS0030 Maintain power-operated point actuating devices</w:t>
      </w:r>
      <w:r>
        <w:fldChar w:fldCharType="end"/>
      </w:r>
    </w:p>
    <w:p w:rsidR="00F96E7D" w:rsidP="00F96E7D">
      <w:pPr>
        <w:pStyle w:val="Version"/>
        <w:sectPr w:rsidSect="009D7E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EFA" w:rsidP="009D7EFA">
      <w:pPr>
        <w:pStyle w:val="SuperHeading"/>
      </w:pPr>
      <w:r w:rsidRPr="009D7EFA">
        <w:t>Assessment Requirements for UEERS0030 Maintain power-operated point actuating devices</w:t>
      </w:r>
    </w:p>
    <w:p w:rsidR="00000000" w:rsidRPr="009D7EFA" w:rsidP="009D7EFA">
      <w:pPr>
        <w:pStyle w:val="Heading1"/>
      </w:pPr>
      <w:bookmarkStart w:id="1" w:name="O_1267507"/>
      <w:bookmarkEnd w:id="1"/>
      <w:r w:rsidRPr="009D7EFA">
        <w:t>Modification History</w:t>
      </w:r>
    </w:p>
    <w:tbl>
      <w:tblPr>
        <w:tblW w:w="9497" w:type="dxa"/>
        <w:tblLayout w:type="fixed"/>
        <w:tblCellMar>
          <w:left w:w="62" w:type="dxa"/>
          <w:right w:w="62" w:type="dxa"/>
        </w:tblCellMar>
        <w:tblLook w:val="0000"/>
      </w:tblPr>
      <w:tblGrid>
        <w:gridCol w:w="9497"/>
      </w:tblGrid>
      <w:tr w:rsidTr="009D7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EFA" w:rsidP="009D7EFA">
            <w:pPr>
              <w:pStyle w:val="BodyText"/>
            </w:pPr>
            <w:r w:rsidRPr="009D7EFA">
              <w:t>Release 1. This is the first release of this unit of competency in the UEE Electrotechnology Training Package.</w:t>
            </w:r>
          </w:p>
          <w:p w:rsidR="00000000" w:rsidRPr="009D7EFA" w:rsidP="009D7EFA">
            <w:pPr>
              <w:pStyle w:val="BodyText"/>
            </w:pPr>
            <w:r w:rsidRPr="009D7EFA">
              <w:t>T</w:t>
            </w:r>
            <w:r w:rsidRPr="009D7EFA">
              <w:t>his unit replaces and is equivalent to UEERS0009 Install and maintain power operated point actuating devices.</w:t>
            </w:r>
          </w:p>
          <w:p w:rsidR="00000000" w:rsidRPr="009D7EFA" w:rsidP="009D7EFA">
            <w:pPr>
              <w:pStyle w:val="BodyText"/>
            </w:pPr>
            <w:r w:rsidRPr="009D7EFA">
              <w:t>Modifications this release include:</w:t>
            </w:r>
          </w:p>
          <w:p w:rsidR="00000000" w:rsidRPr="009D7EFA" w:rsidP="009D7EFA">
            <w:pPr>
              <w:pStyle w:val="ListBullet"/>
            </w:pPr>
            <w:r w:rsidRPr="009D7EFA">
              <w:t>Title changed.</w:t>
            </w:r>
          </w:p>
          <w:p w:rsidR="00000000" w:rsidRPr="009D7EFA" w:rsidP="009D7EFA">
            <w:pPr>
              <w:pStyle w:val="ListBullet"/>
            </w:pPr>
            <w:r w:rsidRPr="009D7EFA">
              <w:t>Application updated to reflect title change.</w:t>
            </w:r>
          </w:p>
          <w:p w:rsidR="00000000" w:rsidRPr="009D7EFA" w:rsidP="009D7EFA">
            <w:pPr>
              <w:pStyle w:val="ListBullet"/>
            </w:pPr>
            <w:r w:rsidRPr="009D7EFA">
              <w:t>Element titles and performance criteria amended t</w:t>
            </w:r>
            <w:r w:rsidRPr="009D7EFA">
              <w:t>o reflect title change.</w:t>
            </w:r>
          </w:p>
          <w:p w:rsidR="00000000" w:rsidRPr="009D7EFA" w:rsidP="009D7EFA">
            <w:pPr>
              <w:pStyle w:val="ListBullet"/>
            </w:pPr>
            <w:r w:rsidRPr="009D7EFA">
              <w:t>Performance criteria 1.7, 2.2, 3.2 and 3.3 added.</w:t>
            </w:r>
          </w:p>
          <w:p w:rsidR="00000000" w:rsidRPr="009D7EFA" w:rsidP="009D7EFA">
            <w:pPr>
              <w:pStyle w:val="ListBullet"/>
            </w:pPr>
            <w:r w:rsidRPr="009D7EFA">
              <w:t>Performance and Knowledge Evidence updated for clarity.</w:t>
            </w:r>
          </w:p>
        </w:tc>
      </w:tr>
    </w:tbl>
    <w:p w:rsidR="00000000" w:rsidRPr="009D7EFA" w:rsidP="009D7EFA">
      <w:pPr>
        <w:pStyle w:val="NoPaddingFontSize1"/>
      </w:pPr>
    </w:p>
    <w:p w:rsidR="00000000" w:rsidRPr="009D7EFA" w:rsidP="009D7EFA">
      <w:pPr>
        <w:pStyle w:val="AllowPageBreak"/>
      </w:pPr>
    </w:p>
    <w:p w:rsidR="00000000" w:rsidRPr="009D7EFA" w:rsidP="009D7EFA">
      <w:pPr>
        <w:pStyle w:val="Heading1"/>
      </w:pPr>
      <w:bookmarkStart w:id="2" w:name="O_1267508"/>
      <w:bookmarkEnd w:id="2"/>
      <w:r w:rsidRPr="009D7EFA">
        <w:t>Performance Evidence</w:t>
      </w:r>
    </w:p>
    <w:tbl>
      <w:tblPr>
        <w:tblW w:w="9497" w:type="dxa"/>
        <w:tblLayout w:type="fixed"/>
        <w:tblCellMar>
          <w:left w:w="62" w:type="dxa"/>
          <w:right w:w="62" w:type="dxa"/>
        </w:tblCellMar>
        <w:tblLook w:val="0000"/>
      </w:tblPr>
      <w:tblGrid>
        <w:gridCol w:w="9497"/>
      </w:tblGrid>
      <w:tr w:rsidTr="009D7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EFA">
            <w:pPr>
              <w:pStyle w:val="BodyText"/>
              <w:rPr>
                <w:lang w:val="en-NZ"/>
              </w:rPr>
            </w:pPr>
            <w:r w:rsidRPr="009D7EFA">
              <w:t>Evidence required to demonstrate competence in this unit must be relevant to and sat</w:t>
            </w:r>
            <w:r w:rsidRPr="009D7EFA">
              <w:t>isfy all of the requirements of the elements and performance criteria on at least two separate occasions and include:</w:t>
            </w:r>
          </w:p>
        </w:tc>
      </w:tr>
      <w:tr w:rsidTr="009D7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EFA" w:rsidP="009D7EFA">
            <w:pPr>
              <w:pStyle w:val="ListBullet"/>
            </w:pPr>
            <w:r w:rsidRPr="009D7EFA">
              <w:t>interpreting plans and specifications correctly</w:t>
            </w:r>
          </w:p>
          <w:p w:rsidR="00000000" w:rsidRPr="009D7EFA" w:rsidP="009D7EFA">
            <w:pPr>
              <w:pStyle w:val="ListBullet"/>
            </w:pPr>
            <w:r w:rsidRPr="009D7EFA">
              <w:t>maintaining point actuating devices to operational requirements</w:t>
            </w:r>
          </w:p>
          <w:p w:rsidR="00000000" w:rsidRPr="009D7EFA" w:rsidP="009D7EFA">
            <w:pPr>
              <w:pStyle w:val="ListBullet"/>
            </w:pPr>
            <w:r w:rsidRPr="009D7EFA">
              <w:t>using appr</w:t>
            </w:r>
            <w:r w:rsidRPr="009D7EFA">
              <w:t>opriate fault-finding techniques</w:t>
            </w:r>
          </w:p>
          <w:p w:rsidR="00000000" w:rsidRPr="009D7EFA" w:rsidP="009D7EFA">
            <w:pPr>
              <w:pStyle w:val="ListBullet"/>
            </w:pPr>
            <w:r w:rsidRPr="009D7EFA">
              <w:t>documenting perway defects accurately</w:t>
            </w:r>
          </w:p>
          <w:p w:rsidR="00000000" w:rsidRPr="009D7EFA" w:rsidP="009D7EFA">
            <w:pPr>
              <w:pStyle w:val="ListBullet"/>
            </w:pPr>
            <w:r w:rsidRPr="009D7EFA">
              <w:t>using tools correctly</w:t>
            </w:r>
          </w:p>
          <w:p w:rsidR="00000000" w:rsidRPr="009D7EFA" w:rsidP="009D7EFA">
            <w:pPr>
              <w:pStyle w:val="ListBullet"/>
            </w:pPr>
            <w:r w:rsidRPr="009D7EFA">
              <w:t>following relevant codes of practice, work health and safety (WHS)/occupational health and safety</w:t>
            </w:r>
            <w:r w:rsidRPr="009D7EFA">
              <w:rPr>
                <w:rStyle w:val="SpecialBold"/>
              </w:rPr>
              <w:t xml:space="preserve"> (</w:t>
            </w:r>
            <w:r w:rsidRPr="009D7EFA">
              <w:t>OHS) and environmental protection procedures and requirements, i</w:t>
            </w:r>
            <w:r w:rsidRPr="009D7EFA">
              <w:t xml:space="preserve">ncluding: </w:t>
            </w:r>
          </w:p>
          <w:p w:rsidR="00000000" w:rsidRPr="009D7EFA" w:rsidP="009D7EFA">
            <w:pPr>
              <w:pStyle w:val="ListBullet3"/>
            </w:pPr>
            <w:r w:rsidRPr="009D7EFA">
              <w:t>implementing workplace procedures and practices</w:t>
            </w:r>
          </w:p>
          <w:p w:rsidR="00000000" w:rsidRPr="009D7EFA" w:rsidP="009D7EFA">
            <w:pPr>
              <w:pStyle w:val="ListBullet3"/>
            </w:pPr>
            <w:r w:rsidRPr="009D7EFA">
              <w:t>using risk control measures</w:t>
            </w:r>
          </w:p>
          <w:p w:rsidR="00000000" w:rsidRPr="009D7EFA" w:rsidP="009D7EFA">
            <w:pPr>
              <w:pStyle w:val="ListBullet"/>
            </w:pPr>
            <w:r w:rsidRPr="009D7EFA">
              <w:t>checking normal and reverse detection of the point blades to requirements of the relevant standard</w:t>
            </w:r>
          </w:p>
          <w:p w:rsidR="00000000" w:rsidRPr="009D7EFA" w:rsidP="009D7EFA">
            <w:pPr>
              <w:pStyle w:val="ListBullet"/>
            </w:pPr>
            <w:r w:rsidRPr="009D7EFA">
              <w:t>checking the operation of the facing point lock against the requirements of the relevant standard</w:t>
            </w:r>
          </w:p>
          <w:p w:rsidR="00000000" w:rsidRPr="009D7EFA" w:rsidP="009D7EFA">
            <w:pPr>
              <w:pStyle w:val="ListBullet"/>
            </w:pPr>
            <w:r w:rsidRPr="009D7EFA">
              <w:t>completing relevant technical reports, records and documentation</w:t>
            </w:r>
          </w:p>
          <w:p w:rsidR="00000000" w:rsidRPr="009D7EFA" w:rsidP="009D7EFA">
            <w:pPr>
              <w:pStyle w:val="ListBullet"/>
            </w:pPr>
            <w:r w:rsidRPr="009D7EFA">
              <w:t>dealing with unplanned events</w:t>
            </w:r>
          </w:p>
          <w:p w:rsidR="00000000" w:rsidRPr="009D7EFA" w:rsidP="009D7EFA">
            <w:pPr>
              <w:pStyle w:val="ListBullet"/>
            </w:pPr>
            <w:r w:rsidRPr="009D7EFA">
              <w:t>applying rail safe working practices and relevant industry stan</w:t>
            </w:r>
            <w:r w:rsidRPr="009D7EFA">
              <w:t>dards, codes and rail safety regulations</w:t>
            </w:r>
          </w:p>
          <w:p w:rsidR="00000000" w:rsidRPr="009D7EFA" w:rsidP="009D7EFA">
            <w:pPr>
              <w:pStyle w:val="ListBullet"/>
            </w:pPr>
            <w:r w:rsidRPr="009D7EFA">
              <w:t>applying sustainable energy principles and practices</w:t>
            </w:r>
          </w:p>
          <w:p w:rsidR="00000000" w:rsidRPr="009D7EFA" w:rsidP="009D7EFA">
            <w:pPr>
              <w:pStyle w:val="ListBullet"/>
            </w:pPr>
            <w:r w:rsidRPr="009D7EFA">
              <w:t>completing the maintenance of power-operated point actuating devices.</w:t>
            </w:r>
          </w:p>
        </w:tc>
      </w:tr>
    </w:tbl>
    <w:p w:rsidR="00F96E7D" w:rsidP="009D7EFA">
      <w:pPr>
        <w:pStyle w:val="NoPaddingFontSize1"/>
      </w:pPr>
    </w:p>
    <w:p w:rsidR="00F96E7D" w:rsidP="009D7EFA">
      <w:pPr>
        <w:pStyle w:val="NoPaddingFontSize1"/>
      </w:pPr>
    </w:p>
    <w:p w:rsidR="00000000" w:rsidRPr="009D7EFA" w:rsidP="009D7EFA">
      <w:pPr>
        <w:pStyle w:val="Heading1"/>
      </w:pPr>
      <w:bookmarkStart w:id="3" w:name="O_1267509"/>
      <w:bookmarkEnd w:id="3"/>
      <w:r w:rsidRPr="009D7EFA">
        <w:t>Knowledge Evidence</w:t>
      </w:r>
    </w:p>
    <w:tbl>
      <w:tblPr>
        <w:tblW w:w="9497" w:type="dxa"/>
        <w:tblLayout w:type="fixed"/>
        <w:tblCellMar>
          <w:left w:w="62" w:type="dxa"/>
          <w:right w:w="62" w:type="dxa"/>
        </w:tblCellMar>
        <w:tblLook w:val="0000"/>
      </w:tblPr>
      <w:tblGrid>
        <w:gridCol w:w="9497"/>
      </w:tblGrid>
      <w:tr w:rsidTr="009D7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D7EFA">
            <w:pPr>
              <w:pStyle w:val="BodyText"/>
              <w:rPr>
                <w:lang w:val="en-NZ"/>
              </w:rPr>
            </w:pPr>
            <w:r w:rsidRPr="009D7EFA">
              <w:t>Evidence required to dem</w:t>
            </w:r>
            <w:r w:rsidRPr="009D7EFA">
              <w:t>onstrate competence in this unit must be relevant to and satisfy all of the requirements of the elements and performance criteria and include knowledge of:</w:t>
            </w:r>
          </w:p>
        </w:tc>
      </w:tr>
      <w:tr w:rsidTr="009D7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EFA" w:rsidP="009D7EFA">
            <w:pPr>
              <w:pStyle w:val="ListBullet"/>
            </w:pPr>
            <w:r w:rsidRPr="009D7EFA">
              <w:t xml:space="preserve">power-operated point actuating device maintenance, safe working practices and relevant standards, </w:t>
            </w:r>
            <w:r w:rsidRPr="009D7EFA">
              <w:t>codes and regulations, including:</w:t>
            </w:r>
          </w:p>
          <w:p w:rsidR="00000000" w:rsidRPr="009D7EFA" w:rsidP="009D7EFA">
            <w:pPr>
              <w:pStyle w:val="ListBullet2"/>
            </w:pPr>
            <w:r w:rsidRPr="009D7EFA">
              <w:t>rail signalling principles - electrical</w:t>
            </w:r>
          </w:p>
          <w:p w:rsidR="00000000" w:rsidRPr="009D7EFA" w:rsidP="009D7EFA">
            <w:pPr>
              <w:pStyle w:val="ListBullet2"/>
            </w:pPr>
            <w:r w:rsidRPr="009D7EFA">
              <w:t>overview of electrical rail signalling including:</w:t>
            </w:r>
          </w:p>
          <w:p w:rsidR="00000000" w:rsidRPr="009D7EFA" w:rsidP="009D7EFA">
            <w:pPr>
              <w:pStyle w:val="ListBullet3"/>
            </w:pPr>
            <w:r w:rsidRPr="009D7EFA">
              <w:t>types of rail signalling/safe working systems, including remote control, automatic, controlled and interlocked signalling</w:t>
            </w:r>
          </w:p>
          <w:p w:rsidR="00000000" w:rsidRPr="009D7EFA" w:rsidP="009D7EFA">
            <w:pPr>
              <w:pStyle w:val="ListBullet3"/>
            </w:pPr>
            <w:r w:rsidRPr="009D7EFA">
              <w:t>advantages of electrical over mechanical signalling</w:t>
            </w:r>
          </w:p>
          <w:p w:rsidR="00000000" w:rsidRPr="009D7EFA" w:rsidP="009D7EFA">
            <w:pPr>
              <w:pStyle w:val="ListBullet3"/>
            </w:pPr>
            <w:r w:rsidRPr="009D7EFA">
              <w:t>differences between computer-based interlocking (CBI) and electrical signalling systems</w:t>
            </w:r>
          </w:p>
          <w:p w:rsidR="00000000" w:rsidRPr="009D7EFA" w:rsidP="009D7EFA">
            <w:pPr>
              <w:pStyle w:val="ListBullet3"/>
            </w:pPr>
            <w:r w:rsidRPr="009D7EFA">
              <w:t>effects of overhead traction systems on electrical signalling systems (where applicable)</w:t>
            </w:r>
          </w:p>
          <w:p w:rsidR="00000000" w:rsidRPr="009D7EFA" w:rsidP="009D7EFA">
            <w:pPr>
              <w:pStyle w:val="ListBullet3"/>
            </w:pPr>
            <w:r w:rsidRPr="009D7EFA">
              <w:t>purpose of elements of an e</w:t>
            </w:r>
            <w:r w:rsidRPr="009D7EFA">
              <w:t>lectrical rail signalling system, including signals and aspect systems, train protection systems, point actuating systems, mechanical locking, relay interlocking, CBI, train detection systems, control input devices, indicators, diagrams and monitors, and s</w:t>
            </w:r>
            <w:r w:rsidRPr="009D7EFA">
              <w:t>afe working systems</w:t>
            </w:r>
          </w:p>
          <w:p w:rsidR="00000000" w:rsidRPr="009D7EFA" w:rsidP="009D7EFA">
            <w:pPr>
              <w:pStyle w:val="ListBullet2"/>
            </w:pPr>
            <w:r w:rsidRPr="009D7EFA">
              <w:t>rail signalling - point actuating devices</w:t>
            </w:r>
          </w:p>
          <w:p w:rsidR="00000000" w:rsidRPr="009D7EFA" w:rsidP="009D7EFA">
            <w:pPr>
              <w:pStyle w:val="ListBullet2"/>
            </w:pPr>
            <w:r w:rsidRPr="009D7EFA">
              <w:t>equipment and their components including:</w:t>
            </w:r>
          </w:p>
          <w:p w:rsidR="00000000" w:rsidRPr="009D7EFA" w:rsidP="009D7EFA">
            <w:pPr>
              <w:pStyle w:val="ListBullet3"/>
            </w:pPr>
            <w:r w:rsidRPr="009D7EFA">
              <w:t>point actuating mechanisms, including mechanical, pneumatic, hydraulic and electric powered units</w:t>
            </w:r>
          </w:p>
          <w:p w:rsidR="00000000" w:rsidRPr="009D7EFA" w:rsidP="009D7EFA">
            <w:pPr>
              <w:pStyle w:val="ListBullet3"/>
            </w:pPr>
            <w:r w:rsidRPr="009D7EFA">
              <w:t>blade and operation detection devices</w:t>
            </w:r>
          </w:p>
          <w:p w:rsidR="00000000" w:rsidRPr="009D7EFA" w:rsidP="009D7EFA">
            <w:pPr>
              <w:pStyle w:val="ListBullet3"/>
            </w:pPr>
            <w:r w:rsidRPr="009D7EFA">
              <w:t>on-rail lockin</w:t>
            </w:r>
            <w:r w:rsidRPr="009D7EFA">
              <w:t>g devices</w:t>
            </w:r>
          </w:p>
          <w:p w:rsidR="00000000" w:rsidRPr="009D7EFA" w:rsidP="009D7EFA">
            <w:pPr>
              <w:pStyle w:val="ListBullet3"/>
            </w:pPr>
            <w:r w:rsidRPr="009D7EFA">
              <w:t>off-rail locking devices</w:t>
            </w:r>
          </w:p>
          <w:p w:rsidR="00000000" w:rsidRPr="009D7EFA" w:rsidP="009D7EFA">
            <w:pPr>
              <w:pStyle w:val="ListBullet3"/>
            </w:pPr>
            <w:r w:rsidRPr="009D7EFA">
              <w:t>swing nose devices</w:t>
            </w:r>
          </w:p>
          <w:p w:rsidR="00000000" w:rsidRPr="009D7EFA" w:rsidP="009D7EFA">
            <w:pPr>
              <w:pStyle w:val="ListBullet3"/>
            </w:pPr>
            <w:r w:rsidRPr="009D7EFA">
              <w:t>fixtures and ancillary mechanical equipment</w:t>
            </w:r>
          </w:p>
          <w:p w:rsidR="00000000" w:rsidRPr="009D7EFA" w:rsidP="009D7EFA">
            <w:pPr>
              <w:pStyle w:val="ListBullet3"/>
            </w:pPr>
            <w:r w:rsidRPr="009D7EFA">
              <w:t>equipment, including point machines, detectors, claw/clamp locks, swing nose mechanisms and in-bearer mechanisms</w:t>
            </w:r>
          </w:p>
          <w:p w:rsidR="00000000" w:rsidRPr="009D7EFA" w:rsidP="009D7EFA">
            <w:pPr>
              <w:pStyle w:val="ListBullet2"/>
            </w:pPr>
            <w:r w:rsidRPr="009D7EFA">
              <w:t>operating principles including:</w:t>
            </w:r>
          </w:p>
          <w:p w:rsidR="00000000" w:rsidRPr="009D7EFA" w:rsidP="009D7EFA">
            <w:pPr>
              <w:pStyle w:val="ListBullet3"/>
            </w:pPr>
            <w:r w:rsidRPr="009D7EFA">
              <w:t>point operation, normal and reverse</w:t>
            </w:r>
          </w:p>
          <w:p w:rsidR="00000000" w:rsidRPr="009D7EFA" w:rsidP="009D7EFA">
            <w:pPr>
              <w:pStyle w:val="ListBullet3"/>
            </w:pPr>
            <w:r w:rsidRPr="009D7EFA">
              <w:t>point locking, normal and reverse</w:t>
            </w:r>
          </w:p>
          <w:p w:rsidR="00000000" w:rsidRPr="009D7EFA" w:rsidP="009D7EFA">
            <w:pPr>
              <w:pStyle w:val="ListBullet3"/>
            </w:pPr>
            <w:r w:rsidRPr="009D7EFA">
              <w:t>point detection, normal and reverse</w:t>
            </w:r>
          </w:p>
          <w:p w:rsidR="00000000" w:rsidRPr="009D7EFA" w:rsidP="009D7EFA">
            <w:pPr>
              <w:pStyle w:val="ListBullet3"/>
            </w:pPr>
            <w:r w:rsidRPr="009D7EFA">
              <w:t>detectors</w:t>
            </w:r>
          </w:p>
          <w:p w:rsidR="00000000" w:rsidRPr="009D7EFA" w:rsidP="009D7EFA">
            <w:pPr>
              <w:pStyle w:val="ListBullet3"/>
            </w:pPr>
            <w:r w:rsidRPr="009D7EFA">
              <w:t>the values for point detection for acceptable and fail values as detailed in the relevant standard</w:t>
            </w:r>
          </w:p>
          <w:p w:rsidR="00000000" w:rsidRPr="009D7EFA" w:rsidP="009D7EFA">
            <w:pPr>
              <w:pStyle w:val="ListBullet3"/>
            </w:pPr>
            <w:r w:rsidRPr="009D7EFA">
              <w:t xml:space="preserve">the values for the facing point lock for </w:t>
            </w:r>
            <w:r w:rsidRPr="009D7EFA">
              <w:t>acceptable and fail values as detailed in the relevant standard</w:t>
            </w:r>
          </w:p>
          <w:p w:rsidR="00000000" w:rsidRPr="009D7EFA" w:rsidP="009D7EFA">
            <w:pPr>
              <w:pStyle w:val="ListBullet3"/>
            </w:pPr>
            <w:r w:rsidRPr="009D7EFA">
              <w:t>off-rail locking operation</w:t>
            </w:r>
          </w:p>
          <w:p w:rsidR="00000000" w:rsidRPr="009D7EFA" w:rsidP="009D7EFA">
            <w:pPr>
              <w:pStyle w:val="ListBullet3"/>
            </w:pPr>
            <w:r w:rsidRPr="009D7EFA">
              <w:t>on-rail locking operation</w:t>
            </w:r>
          </w:p>
          <w:p w:rsidR="00000000" w:rsidRPr="009D7EFA" w:rsidP="009D7EFA">
            <w:pPr>
              <w:pStyle w:val="ListBullet3"/>
            </w:pPr>
            <w:r w:rsidRPr="009D7EFA">
              <w:t>electric operation of contactors, motor control and detection circuits</w:t>
            </w:r>
          </w:p>
          <w:p w:rsidR="00000000" w:rsidRPr="009D7EFA" w:rsidP="009D7EFA">
            <w:pPr>
              <w:pStyle w:val="ListBullet3"/>
            </w:pPr>
            <w:r w:rsidRPr="009D7EFA">
              <w:t>interpreting circuit diagrams to evaluate correct operation and rela</w:t>
            </w:r>
            <w:r w:rsidRPr="009D7EFA">
              <w:t>tionship to other signalling circuits</w:t>
            </w:r>
          </w:p>
          <w:p w:rsidR="00000000" w:rsidRPr="009D7EFA" w:rsidP="009D7EFA">
            <w:pPr>
              <w:pStyle w:val="ListBullet3"/>
            </w:pPr>
            <w:r w:rsidRPr="009D7EFA">
              <w:t>normal mechanical movement</w:t>
            </w:r>
          </w:p>
          <w:p w:rsidR="00000000" w:rsidRPr="009D7EFA" w:rsidP="009D7EFA">
            <w:pPr>
              <w:pStyle w:val="ListBullet3"/>
            </w:pPr>
            <w:r w:rsidRPr="009D7EFA">
              <w:t>failure mode mechanical movement, including wrong side and right-side conditions identifying if movement should be possible</w:t>
            </w:r>
          </w:p>
          <w:p w:rsidR="00000000" w:rsidRPr="009D7EFA" w:rsidP="009D7EFA">
            <w:pPr>
              <w:pStyle w:val="ListBullet3"/>
            </w:pPr>
            <w:r w:rsidRPr="009D7EFA">
              <w:t>correct operation in accordance with control and locking tables</w:t>
            </w:r>
          </w:p>
          <w:p w:rsidR="00000000" w:rsidRPr="009D7EFA" w:rsidP="009D7EFA">
            <w:pPr>
              <w:pStyle w:val="ListBullet2"/>
            </w:pPr>
            <w:r w:rsidRPr="009D7EFA">
              <w:t>servicing procedures including:</w:t>
            </w:r>
          </w:p>
          <w:p w:rsidR="00000000" w:rsidRPr="009D7EFA" w:rsidP="009D7EFA">
            <w:pPr>
              <w:pStyle w:val="ListBullet3"/>
            </w:pPr>
            <w:r w:rsidRPr="009D7EFA">
              <w:t>maintenance documentation</w:t>
            </w:r>
          </w:p>
          <w:p w:rsidR="00000000" w:rsidRPr="009D7EFA" w:rsidP="009D7EFA">
            <w:pPr>
              <w:pStyle w:val="ListBullet3"/>
            </w:pPr>
            <w:r w:rsidRPr="009D7EFA">
              <w:t>coordination/planning sequence</w:t>
            </w:r>
          </w:p>
          <w:p w:rsidR="00000000" w:rsidRPr="009D7EFA" w:rsidP="009D7EFA">
            <w:pPr>
              <w:pStyle w:val="ListBullet3"/>
            </w:pPr>
            <w:r w:rsidRPr="009D7EFA">
              <w:t>operational test procedures</w:t>
            </w:r>
          </w:p>
          <w:p w:rsidR="00000000" w:rsidRPr="009D7EFA" w:rsidP="009D7EFA">
            <w:pPr>
              <w:pStyle w:val="ListBullet3"/>
            </w:pPr>
            <w:r w:rsidRPr="009D7EFA">
              <w:t>scheduled/preventative maintenance</w:t>
            </w:r>
          </w:p>
          <w:p w:rsidR="00000000" w:rsidRPr="009D7EFA" w:rsidP="009D7EFA">
            <w:pPr>
              <w:pStyle w:val="ListBullet3"/>
            </w:pPr>
            <w:r w:rsidRPr="009D7EFA">
              <w:t>unscheduled/corrective maintenance</w:t>
            </w:r>
          </w:p>
          <w:p w:rsidR="00000000" w:rsidRPr="009D7EFA" w:rsidP="009D7EFA">
            <w:pPr>
              <w:pStyle w:val="ListBullet3"/>
            </w:pPr>
            <w:r w:rsidRPr="009D7EFA">
              <w:t>certifying point equipment (commission and decommission)</w:t>
            </w:r>
          </w:p>
          <w:p w:rsidR="00000000" w:rsidRPr="009D7EFA" w:rsidP="009D7EFA">
            <w:pPr>
              <w:pStyle w:val="ListBullet3"/>
            </w:pPr>
            <w:r w:rsidRPr="009D7EFA">
              <w:t xml:space="preserve">certifying </w:t>
            </w:r>
            <w:r w:rsidRPr="009D7EFA">
              <w:t>procedures applicable for compliance with rail operator/enterprise standards</w:t>
            </w:r>
          </w:p>
          <w:p w:rsidR="00000000" w:rsidRPr="009D7EFA" w:rsidP="009D7EFA">
            <w:pPr>
              <w:pStyle w:val="ListBullet"/>
            </w:pPr>
            <w:r w:rsidRPr="009D7EFA">
              <w:t>WHS/OHS requirements including:</w:t>
            </w:r>
          </w:p>
          <w:p w:rsidR="00000000" w:rsidRPr="009D7EFA" w:rsidP="009D7EFA">
            <w:pPr>
              <w:pStyle w:val="ListBullet2"/>
            </w:pPr>
            <w:r w:rsidRPr="009D7EFA">
              <w:t>legislated requirements</w:t>
            </w:r>
          </w:p>
          <w:p w:rsidR="00000000" w:rsidRPr="009D7EFA" w:rsidP="009D7EFA">
            <w:pPr>
              <w:pStyle w:val="ListBullet2"/>
            </w:pPr>
            <w:r w:rsidRPr="009D7EFA">
              <w:t>safe working practices and relevant standards, codes and regulations</w:t>
            </w:r>
          </w:p>
          <w:p w:rsidR="00000000" w:rsidRPr="009D7EFA" w:rsidP="009D7EFA">
            <w:pPr>
              <w:pStyle w:val="ListBullet2"/>
            </w:pPr>
            <w:r w:rsidRPr="009D7EFA">
              <w:t>job safety assessments or risk mitigation processes</w:t>
            </w:r>
          </w:p>
          <w:p w:rsidR="00000000" w:rsidRPr="009D7EFA" w:rsidP="009D7EFA">
            <w:pPr>
              <w:pStyle w:val="ListBullet"/>
            </w:pPr>
            <w:r w:rsidRPr="009D7EFA">
              <w:t>relevant workplace policies and procedures, including rail transport operator safety management system</w:t>
            </w:r>
          </w:p>
          <w:p w:rsidR="00000000" w:rsidRPr="009D7EFA" w:rsidP="009D7EFA">
            <w:pPr>
              <w:pStyle w:val="ListBullet"/>
            </w:pPr>
            <w:r w:rsidRPr="009D7EFA">
              <w:t>relevant manufacturer specifications and manuals</w:t>
            </w:r>
          </w:p>
        </w:tc>
      </w:tr>
    </w:tbl>
    <w:p w:rsidR="00000000" w:rsidRPr="009D7EFA" w:rsidP="009D7EFA">
      <w:pPr>
        <w:pStyle w:val="NoPaddingFontSize1"/>
      </w:pPr>
    </w:p>
    <w:p w:rsidR="00000000" w:rsidRPr="009D7EFA" w:rsidP="009D7EFA">
      <w:pPr>
        <w:pStyle w:val="AllowPageBreak"/>
      </w:pPr>
    </w:p>
    <w:p w:rsidR="00000000" w:rsidRPr="009D7EFA" w:rsidP="009D7EFA">
      <w:pPr>
        <w:pStyle w:val="Heading1"/>
      </w:pPr>
      <w:bookmarkStart w:id="4" w:name="O_1267510"/>
      <w:bookmarkEnd w:id="4"/>
      <w:r w:rsidRPr="009D7EFA">
        <w:t>Assessment Conditions</w:t>
      </w:r>
    </w:p>
    <w:tbl>
      <w:tblPr>
        <w:tblW w:w="9497" w:type="dxa"/>
        <w:tblLayout w:type="fixed"/>
        <w:tblCellMar>
          <w:left w:w="62" w:type="dxa"/>
          <w:right w:w="62" w:type="dxa"/>
        </w:tblCellMar>
        <w:tblLook w:val="0000"/>
      </w:tblPr>
      <w:tblGrid>
        <w:gridCol w:w="9497"/>
      </w:tblGrid>
      <w:tr w:rsidTr="009D7EF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D7EFA" w:rsidP="009D7EFA">
            <w:pPr>
              <w:pStyle w:val="BodyText"/>
            </w:pPr>
            <w:r w:rsidRPr="009D7EFA">
              <w:t>Assessors must hold credentials specified within the Standa</w:t>
            </w:r>
            <w:r w:rsidRPr="009D7EFA">
              <w:t>rds for Registered Training Organisations current at the time of assessment.</w:t>
            </w:r>
          </w:p>
          <w:p w:rsidR="00000000" w:rsidRPr="009D7EFA" w:rsidP="009D7EFA">
            <w:pPr>
              <w:pStyle w:val="BodyText"/>
            </w:pPr>
            <w:r w:rsidRPr="009D7EFA">
              <w:t>Assessment must satisfy the Principles of Assessment and Rules of Evidence and all regulatory requirements included within the Standards for Registered Training Organisations curr</w:t>
            </w:r>
            <w:r w:rsidRPr="009D7EFA">
              <w:t>ent at the time of assessment.</w:t>
            </w:r>
          </w:p>
          <w:p w:rsidR="00000000" w:rsidRPr="009D7EFA" w:rsidP="009D7EFA">
            <w:pPr>
              <w:pStyle w:val="BodyText"/>
            </w:pPr>
            <w:r w:rsidRPr="009D7EFA">
              <w:t>Assessment must occur in suitable workplace operational situations where it is appropriate to do so; where this is not appropriate, assessment must occur in suitable simulated workplace operational situations that replicate w</w:t>
            </w:r>
            <w:r w:rsidRPr="009D7EFA">
              <w:t>orkplace conditions.</w:t>
            </w:r>
          </w:p>
          <w:p w:rsidR="00000000" w:rsidRPr="009D7EFA" w:rsidP="009D7EFA">
            <w:pPr>
              <w:pStyle w:val="BodyText"/>
            </w:pPr>
            <w:r w:rsidRPr="009D7EFA">
              <w:t>Assessment processes and techniques must be appropriate to the language, literacy and numeracy requirements of the work being performed and the needs of the candidate.</w:t>
            </w:r>
          </w:p>
          <w:p w:rsidR="00000000" w:rsidRPr="009D7EFA" w:rsidP="009D7EFA">
            <w:pPr>
              <w:pStyle w:val="BodyText"/>
            </w:pPr>
            <w:r w:rsidRPr="009D7EFA">
              <w:t>Resources for assessment must include access to:</w:t>
            </w:r>
          </w:p>
          <w:p w:rsidR="00000000" w:rsidRPr="009D7EFA" w:rsidP="009D7EFA">
            <w:pPr>
              <w:pStyle w:val="ListBullet"/>
            </w:pPr>
            <w:r w:rsidRPr="009D7EFA">
              <w:t>a range of releva</w:t>
            </w:r>
            <w:r w:rsidRPr="009D7EFA">
              <w:t>nt exercises, case studies and/or other simulations</w:t>
            </w:r>
          </w:p>
          <w:p w:rsidR="00000000" w:rsidRPr="009D7EFA" w:rsidP="009D7EFA">
            <w:pPr>
              <w:pStyle w:val="ListBullet"/>
            </w:pPr>
            <w:r w:rsidRPr="009D7EFA">
              <w:t>relevant and appropriate materials, tools, facilities, equipment and personal protective equipment (PPE) currently used in industry</w:t>
            </w:r>
          </w:p>
          <w:p w:rsidR="00000000" w:rsidRPr="009D7EFA" w:rsidP="009D7EFA">
            <w:pPr>
              <w:pStyle w:val="ListBullet"/>
            </w:pPr>
            <w:r w:rsidRPr="009D7EFA">
              <w:t>resources that reflect current industry practices in relation to maintai</w:t>
            </w:r>
            <w:r w:rsidRPr="009D7EFA">
              <w:t>ning onsite power-operated point actuating devices</w:t>
            </w:r>
          </w:p>
          <w:p w:rsidR="00000000" w:rsidRPr="009D7EFA" w:rsidP="009D7EFA">
            <w:pPr>
              <w:pStyle w:val="ListBullet"/>
            </w:pPr>
            <w:r w:rsidRPr="009D7EFA">
              <w:t>applicable documentation, including workplace procedures, equipment specifications, regulations, codes of practice and operation manuals.</w:t>
            </w:r>
          </w:p>
        </w:tc>
      </w:tr>
    </w:tbl>
    <w:p w:rsidR="00000000" w:rsidRPr="009D7EFA" w:rsidP="009D7EFA">
      <w:pPr>
        <w:pStyle w:val="NoPaddingFontSize1"/>
      </w:pPr>
    </w:p>
    <w:p w:rsidR="00000000" w:rsidRPr="009D7EFA" w:rsidP="009D7EFA">
      <w:pPr>
        <w:pStyle w:val="AllowPageBreak"/>
      </w:pPr>
    </w:p>
    <w:p w:rsidR="00000000" w:rsidRPr="009D7EFA" w:rsidP="009D7EFA">
      <w:pPr>
        <w:pStyle w:val="Heading1"/>
      </w:pPr>
      <w:bookmarkStart w:id="5" w:name="O_1267513"/>
      <w:bookmarkEnd w:id="5"/>
      <w:r w:rsidRPr="009D7EFA">
        <w:t>Links</w:t>
      </w:r>
    </w:p>
    <w:p w:rsidR="00000000" w:rsidRPr="009D7EFA" w:rsidP="00F96E7D">
      <w:pPr>
        <w:pStyle w:val="BodyText"/>
      </w:pPr>
      <w:r w:rsidRPr="009D7EFA">
        <w:t>Companion Volume Implementation Guides a</w:t>
      </w:r>
      <w:r w:rsidRPr="009D7EFA">
        <w:t xml:space="preserve">re found in VETNet - </w:t>
      </w:r>
      <w:r>
        <w:fldChar w:fldCharType="begin"/>
      </w:r>
      <w:r>
        <w:instrText xml:space="preserve"> HYPERLINK "https://vetnet.gov.au/Pages/TrainingDocs.aspx?q=b8a8f136-5421-4ce1-92e0-2b50341431b6" </w:instrText>
      </w:r>
      <w:r>
        <w:fldChar w:fldCharType="separate"/>
      </w:r>
      <w:r w:rsidRPr="00D6605B">
        <w:rPr>
          <w:rStyle w:val="Hyperlink"/>
        </w:rPr>
        <w:t>https://vetnet.gov.au/Pages/TrainingDocs.aspx?q=b8a8f136-5421-4ce1-92e0-2b50341431b6</w:t>
      </w:r>
      <w:r>
        <w:fldChar w:fldCharType="end"/>
      </w:r>
    </w:p>
    <w:p w:rsidR="00000000" w:rsidRPr="009D7EFA" w:rsidP="009D7EFA"/>
    <w:sectPr w:rsidSect="009D7E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FA" w:rsidRPr="00F96E7D" w:rsidP="00F96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7D" w:rsidP="009D7E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6E7D" w:rsidP="009D7E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F96E7D" w:rsidP="009D7E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EFA" w:rsidRPr="00F96E7D" w:rsidP="00F96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E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7D" w:rsidRPr="002D2AF8" w:rsidP="009D7EFA">
    <w:pPr>
      <w:pStyle w:val="Header"/>
      <w:framePr w:wrap="around"/>
    </w:pPr>
    <w:r>
      <w:fldChar w:fldCharType="begin"/>
    </w:r>
    <w:r>
      <w:instrText xml:space="preserve"> TITLE   \* MERGEFORMAT </w:instrText>
    </w:r>
    <w:r>
      <w:fldChar w:fldCharType="separate"/>
    </w:r>
    <w:r>
      <w:t>Assessment Requirements for UEERS0030 Maintain power-operated point actuating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F96E7D" w:rsidP="009D7E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349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BE9E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28B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E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EFA"/>
    <w:pPr>
      <w:spacing w:before="360" w:after="60"/>
      <w:outlineLvl w:val="0"/>
    </w:pPr>
    <w:rPr>
      <w:sz w:val="32"/>
    </w:rPr>
  </w:style>
  <w:style w:type="paragraph" w:styleId="Heading2">
    <w:name w:val="heading 2"/>
    <w:basedOn w:val="HeadingBase"/>
    <w:next w:val="BodyText"/>
    <w:link w:val="Heading2Char"/>
    <w:qFormat/>
    <w:rsid w:val="009D7EFA"/>
    <w:pPr>
      <w:keepLines/>
      <w:spacing w:before="240" w:after="120"/>
      <w:outlineLvl w:val="1"/>
    </w:pPr>
    <w:rPr>
      <w:sz w:val="28"/>
      <w:szCs w:val="40"/>
    </w:rPr>
  </w:style>
  <w:style w:type="paragraph" w:styleId="Heading3">
    <w:name w:val="heading 3"/>
    <w:basedOn w:val="HeadingBase"/>
    <w:next w:val="BodyText"/>
    <w:link w:val="Heading3Char"/>
    <w:qFormat/>
    <w:rsid w:val="009D7EFA"/>
    <w:pPr>
      <w:spacing w:before="180" w:after="120"/>
      <w:outlineLvl w:val="2"/>
    </w:pPr>
    <w:rPr>
      <w:spacing w:val="-10"/>
      <w:kern w:val="32"/>
    </w:rPr>
  </w:style>
  <w:style w:type="paragraph" w:styleId="Heading4">
    <w:name w:val="heading 4"/>
    <w:basedOn w:val="HeadingBase"/>
    <w:next w:val="BodyText"/>
    <w:link w:val="Heading4Char"/>
    <w:qFormat/>
    <w:rsid w:val="009D7EFA"/>
    <w:pPr>
      <w:spacing w:before="160" w:after="120"/>
      <w:outlineLvl w:val="3"/>
    </w:pPr>
    <w:rPr>
      <w:sz w:val="22"/>
    </w:rPr>
  </w:style>
  <w:style w:type="paragraph" w:styleId="Heading5">
    <w:name w:val="heading 5"/>
    <w:basedOn w:val="HeadingBase"/>
    <w:next w:val="Normal"/>
    <w:link w:val="Heading5Char"/>
    <w:qFormat/>
    <w:rsid w:val="009D7EFA"/>
    <w:pPr>
      <w:spacing w:before="80"/>
      <w:outlineLvl w:val="4"/>
    </w:pPr>
    <w:rPr>
      <w:color w:val="918585"/>
      <w:sz w:val="20"/>
    </w:rPr>
  </w:style>
  <w:style w:type="paragraph" w:styleId="Heading6">
    <w:name w:val="heading 6"/>
    <w:basedOn w:val="HeadingBase"/>
    <w:next w:val="Normal"/>
    <w:link w:val="Heading6Char"/>
    <w:qFormat/>
    <w:rsid w:val="009D7EFA"/>
    <w:pPr>
      <w:spacing w:before="60"/>
      <w:outlineLvl w:val="5"/>
    </w:pPr>
    <w:rPr>
      <w:color w:val="918585"/>
      <w:sz w:val="20"/>
    </w:rPr>
  </w:style>
  <w:style w:type="paragraph" w:styleId="Heading7">
    <w:name w:val="heading 7"/>
    <w:basedOn w:val="Normal"/>
    <w:next w:val="Normal"/>
    <w:link w:val="Heading7Char"/>
    <w:qFormat/>
    <w:rsid w:val="009D7EFA"/>
    <w:pPr>
      <w:ind w:left="720"/>
      <w:outlineLvl w:val="6"/>
    </w:pPr>
    <w:rPr>
      <w:i/>
    </w:rPr>
  </w:style>
  <w:style w:type="paragraph" w:styleId="Heading8">
    <w:name w:val="heading 8"/>
    <w:basedOn w:val="Normal"/>
    <w:next w:val="Normal"/>
    <w:link w:val="Heading8Char"/>
    <w:qFormat/>
    <w:rsid w:val="009D7EFA"/>
    <w:pPr>
      <w:ind w:left="720"/>
      <w:outlineLvl w:val="7"/>
    </w:pPr>
    <w:rPr>
      <w:i/>
    </w:rPr>
  </w:style>
  <w:style w:type="paragraph" w:styleId="Heading9">
    <w:name w:val="heading 9"/>
    <w:basedOn w:val="Normal"/>
    <w:next w:val="Normal"/>
    <w:link w:val="Heading9Char"/>
    <w:qFormat/>
    <w:rsid w:val="009D7EFA"/>
    <w:pPr>
      <w:ind w:left="720"/>
      <w:outlineLvl w:val="8"/>
    </w:pPr>
    <w:rPr>
      <w:i/>
    </w:rPr>
  </w:style>
  <w:style w:type="character" w:default="1" w:styleId="DefaultParagraphFont">
    <w:name w:val="Default Paragraph Font"/>
    <w:uiPriority w:val="1"/>
    <w:unhideWhenUsed/>
    <w:rsid w:val="009D7E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EFA"/>
  </w:style>
  <w:style w:type="character" w:customStyle="1" w:styleId="Heading1Char">
    <w:name w:val="Heading 1 Char"/>
    <w:basedOn w:val="DefaultParagraphFont"/>
    <w:link w:val="Heading1"/>
    <w:rsid w:val="009D7EFA"/>
    <w:rPr>
      <w:rFonts w:ascii="Times New Roman" w:eastAsia="Times New Roman" w:hAnsi="Times New Roman" w:cs="Times New Roman"/>
      <w:b/>
      <w:sz w:val="32"/>
      <w:szCs w:val="20"/>
      <w:lang w:eastAsia="en-US"/>
    </w:rPr>
  </w:style>
  <w:style w:type="paragraph" w:styleId="BodyText">
    <w:name w:val="Body Text"/>
    <w:basedOn w:val="Normal"/>
    <w:link w:val="BodyTextChar"/>
    <w:rsid w:val="009D7E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EFA"/>
    <w:rPr>
      <w:rFonts w:ascii="Times New Roman" w:eastAsia="Times New Roman" w:hAnsi="Times New Roman" w:cs="Times New Roman"/>
      <w:sz w:val="24"/>
      <w:lang w:eastAsia="en-US"/>
    </w:rPr>
  </w:style>
  <w:style w:type="paragraph" w:styleId="ListBullet">
    <w:name w:val="List Bullet"/>
    <w:basedOn w:val="List"/>
    <w:rsid w:val="009D7EFA"/>
    <w:pPr>
      <w:numPr>
        <w:numId w:val="13"/>
      </w:numPr>
      <w:tabs>
        <w:tab w:val="clear" w:pos="340"/>
      </w:tabs>
      <w:spacing w:before="40" w:after="40"/>
    </w:pPr>
  </w:style>
  <w:style w:type="character" w:customStyle="1" w:styleId="SpecialBold">
    <w:name w:val="Special Bold"/>
    <w:basedOn w:val="DefaultParagraphFont"/>
    <w:rsid w:val="009D7EFA"/>
    <w:rPr>
      <w:b/>
      <w:spacing w:val="0"/>
    </w:rPr>
  </w:style>
  <w:style w:type="paragraph" w:styleId="ListBullet2">
    <w:name w:val="List Bullet 2"/>
    <w:basedOn w:val="List2"/>
    <w:rsid w:val="009D7EFA"/>
    <w:pPr>
      <w:numPr>
        <w:numId w:val="14"/>
      </w:numPr>
      <w:tabs>
        <w:tab w:val="clear" w:pos="680"/>
      </w:tabs>
    </w:pPr>
  </w:style>
  <w:style w:type="paragraph" w:customStyle="1" w:styleId="SuperHeading">
    <w:name w:val="SuperHeading"/>
    <w:basedOn w:val="Normal"/>
    <w:rsid w:val="009D7EFA"/>
    <w:pPr>
      <w:spacing w:before="240" w:after="120"/>
      <w:outlineLvl w:val="0"/>
    </w:pPr>
    <w:rPr>
      <w:rFonts w:ascii="Times New Roman" w:hAnsi="Times New Roman"/>
      <w:b/>
      <w:sz w:val="32"/>
    </w:rPr>
  </w:style>
  <w:style w:type="paragraph" w:customStyle="1" w:styleId="AllowPageBreak">
    <w:name w:val="AllowPageBreak"/>
    <w:rsid w:val="009D7EF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D7EF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D7E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E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E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E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E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E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E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EFA"/>
    <w:rPr>
      <w:rFonts w:ascii="Courier New" w:eastAsia="Times New Roman" w:hAnsi="Courier New" w:cs="Times New Roman"/>
      <w:i/>
      <w:szCs w:val="20"/>
      <w:lang w:eastAsia="en-US"/>
    </w:rPr>
  </w:style>
  <w:style w:type="paragraph" w:customStyle="1" w:styleId="HeadingBase">
    <w:name w:val="Heading Base"/>
    <w:rsid w:val="009D7E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EFA"/>
    <w:pPr>
      <w:tabs>
        <w:tab w:val="right" w:leader="dot" w:pos="9072"/>
      </w:tabs>
      <w:ind w:left="567"/>
    </w:pPr>
    <w:rPr>
      <w:szCs w:val="22"/>
    </w:rPr>
  </w:style>
  <w:style w:type="paragraph" w:customStyle="1" w:styleId="TOCBase">
    <w:name w:val="TOC Base"/>
    <w:rsid w:val="009D7E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EFA"/>
    <w:pPr>
      <w:tabs>
        <w:tab w:val="right" w:leader="dot" w:pos="9072"/>
      </w:tabs>
      <w:spacing w:before="40" w:after="40"/>
      <w:ind w:left="284"/>
    </w:pPr>
    <w:rPr>
      <w:rFonts w:ascii="Times New Roman" w:hAnsi="Times New Roman"/>
    </w:rPr>
  </w:style>
  <w:style w:type="paragraph" w:styleId="TOC1">
    <w:name w:val="toc 1"/>
    <w:basedOn w:val="TOCBase"/>
    <w:next w:val="Normal"/>
    <w:rsid w:val="009D7E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E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EFA"/>
    <w:rPr>
      <w:rFonts w:ascii="Times New Roman" w:eastAsia="Times New Roman" w:hAnsi="Times New Roman" w:cs="Times New Roman"/>
      <w:sz w:val="16"/>
      <w:lang w:eastAsia="en-US"/>
    </w:rPr>
  </w:style>
  <w:style w:type="paragraph" w:styleId="Title">
    <w:name w:val="Title"/>
    <w:basedOn w:val="HeadingBase"/>
    <w:link w:val="TitleChar"/>
    <w:qFormat/>
    <w:rsid w:val="009D7EFA"/>
    <w:pPr>
      <w:spacing w:before="5040"/>
      <w:jc w:val="center"/>
    </w:pPr>
    <w:rPr>
      <w:sz w:val="48"/>
      <w:szCs w:val="72"/>
      <w:lang w:val="en-US"/>
    </w:rPr>
  </w:style>
  <w:style w:type="character" w:customStyle="1" w:styleId="TitleChar">
    <w:name w:val="Title Char"/>
    <w:basedOn w:val="DefaultParagraphFont"/>
    <w:link w:val="Title"/>
    <w:rsid w:val="009D7E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EFA"/>
    <w:pPr>
      <w:tabs>
        <w:tab w:val="left" w:pos="3600"/>
        <w:tab w:val="left" w:pos="3958"/>
      </w:tabs>
    </w:pPr>
  </w:style>
  <w:style w:type="paragraph" w:styleId="List">
    <w:name w:val="List"/>
    <w:basedOn w:val="BodyText"/>
    <w:next w:val="BodyText"/>
    <w:rsid w:val="009D7EFA"/>
    <w:pPr>
      <w:tabs>
        <w:tab w:val="left" w:pos="340"/>
      </w:tabs>
      <w:spacing w:before="60" w:after="60"/>
      <w:ind w:left="340" w:hanging="340"/>
    </w:pPr>
  </w:style>
  <w:style w:type="paragraph" w:customStyle="1" w:styleId="Note">
    <w:name w:val="Note"/>
    <w:basedOn w:val="BodyText"/>
    <w:rsid w:val="009D7E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EFA"/>
    <w:pPr>
      <w:framePr w:wrap="auto" w:hAnchor="text" w:y="6049"/>
    </w:pPr>
    <w:rPr>
      <w:color w:val="000000"/>
      <w:sz w:val="40"/>
    </w:rPr>
  </w:style>
  <w:style w:type="paragraph" w:customStyle="1" w:styleId="TOCTitle">
    <w:name w:val="TOCTitle"/>
    <w:basedOn w:val="Heading1"/>
    <w:rsid w:val="009D7EFA"/>
    <w:pPr>
      <w:spacing w:after="240"/>
      <w:jc w:val="center"/>
      <w:outlineLvl w:val="9"/>
    </w:pPr>
    <w:rPr>
      <w:caps/>
    </w:rPr>
  </w:style>
  <w:style w:type="paragraph" w:customStyle="1" w:styleId="Version">
    <w:name w:val="Version"/>
    <w:rsid w:val="009D7E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7EFA"/>
    <w:pPr>
      <w:keepNext w:val="0"/>
      <w:tabs>
        <w:tab w:val="right" w:pos="4176"/>
      </w:tabs>
      <w:ind w:left="198" w:hanging="198"/>
    </w:pPr>
    <w:rPr>
      <w:rFonts w:ascii="Garamond" w:hAnsi="Garamond"/>
    </w:rPr>
  </w:style>
  <w:style w:type="paragraph" w:styleId="IndexHeading">
    <w:name w:val="index heading"/>
    <w:basedOn w:val="Normal"/>
    <w:next w:val="Index1"/>
    <w:semiHidden/>
    <w:rsid w:val="009D7EFA"/>
    <w:pPr>
      <w:spacing w:before="120" w:after="120"/>
    </w:pPr>
    <w:rPr>
      <w:rFonts w:ascii="Arial" w:hAnsi="Arial"/>
      <w:b/>
      <w:color w:val="918585"/>
      <w:sz w:val="24"/>
    </w:rPr>
  </w:style>
  <w:style w:type="paragraph" w:styleId="Header">
    <w:name w:val="header"/>
    <w:basedOn w:val="Normal"/>
    <w:link w:val="HeaderChar"/>
    <w:rsid w:val="009D7E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EFA"/>
    <w:rPr>
      <w:rFonts w:ascii="Times New Roman" w:eastAsia="Times New Roman" w:hAnsi="Times New Roman" w:cs="Times New Roman"/>
      <w:sz w:val="16"/>
      <w:szCs w:val="20"/>
      <w:lang w:val="en-GB" w:eastAsia="en-US"/>
    </w:rPr>
  </w:style>
  <w:style w:type="paragraph" w:customStyle="1" w:styleId="Chapter">
    <w:name w:val="Chapter"/>
    <w:basedOn w:val="Normal"/>
    <w:rsid w:val="009D7EFA"/>
    <w:pPr>
      <w:spacing w:before="240"/>
    </w:pPr>
    <w:rPr>
      <w:rFonts w:ascii="Times New Roman" w:hAnsi="Times New Roman"/>
      <w:smallCaps/>
      <w:spacing w:val="80"/>
      <w:sz w:val="28"/>
    </w:rPr>
  </w:style>
  <w:style w:type="paragraph" w:customStyle="1" w:styleId="InChapter">
    <w:name w:val="InChapter"/>
    <w:basedOn w:val="Heading3"/>
    <w:rsid w:val="009D7EFA"/>
    <w:pPr>
      <w:spacing w:after="240"/>
      <w:outlineLvl w:val="9"/>
    </w:pPr>
    <w:rPr>
      <w:noProof/>
    </w:rPr>
  </w:style>
  <w:style w:type="paragraph" w:styleId="Index2">
    <w:name w:val="index 2"/>
    <w:basedOn w:val="Normal"/>
    <w:next w:val="Normal"/>
    <w:semiHidden/>
    <w:rsid w:val="009D7EFA"/>
    <w:pPr>
      <w:tabs>
        <w:tab w:val="right" w:pos="4176"/>
      </w:tabs>
      <w:ind w:left="568" w:hanging="284"/>
    </w:pPr>
    <w:rPr>
      <w:rFonts w:ascii="Garamond" w:hAnsi="Garamond"/>
    </w:rPr>
  </w:style>
  <w:style w:type="paragraph" w:customStyle="1" w:styleId="Byline">
    <w:name w:val="Byline"/>
    <w:rsid w:val="009D7E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EFA"/>
    <w:pPr>
      <w:tabs>
        <w:tab w:val="clear" w:pos="3600"/>
        <w:tab w:val="clear" w:pos="3958"/>
      </w:tabs>
      <w:jc w:val="right"/>
    </w:pPr>
  </w:style>
  <w:style w:type="character" w:styleId="Emphasis">
    <w:name w:val="Emphasis"/>
    <w:basedOn w:val="DefaultParagraphFont"/>
    <w:qFormat/>
    <w:rsid w:val="009D7EFA"/>
    <w:rPr>
      <w:i/>
    </w:rPr>
  </w:style>
  <w:style w:type="paragraph" w:styleId="Caption">
    <w:name w:val="caption"/>
    <w:basedOn w:val="BodyText"/>
    <w:next w:val="Normal"/>
    <w:qFormat/>
    <w:rsid w:val="009D7EFA"/>
    <w:pPr>
      <w:framePr w:w="2268" w:hSpace="181" w:vSpace="181" w:wrap="around" w:vAnchor="text" w:hAnchor="page" w:x="1135" w:y="285" w:anchorLock="1"/>
    </w:pPr>
    <w:rPr>
      <w:i/>
    </w:rPr>
  </w:style>
  <w:style w:type="paragraph" w:customStyle="1" w:styleId="MiniTOCTitle">
    <w:name w:val="MiniTOCTitle"/>
    <w:basedOn w:val="Heading4"/>
    <w:rsid w:val="009D7EFA"/>
    <w:pPr>
      <w:spacing w:before="240"/>
      <w:outlineLvl w:val="9"/>
    </w:pPr>
    <w:rPr>
      <w:noProof/>
      <w:sz w:val="24"/>
    </w:rPr>
  </w:style>
  <w:style w:type="paragraph" w:customStyle="1" w:styleId="MiniTOCItem">
    <w:name w:val="MiniTOCItem"/>
    <w:basedOn w:val="ListBullet"/>
    <w:rsid w:val="009D7EFA"/>
    <w:pPr>
      <w:numPr>
        <w:numId w:val="0"/>
      </w:numPr>
      <w:tabs>
        <w:tab w:val="right" w:leader="dot" w:pos="6521"/>
      </w:tabs>
      <w:spacing w:before="0" w:after="0"/>
    </w:pPr>
  </w:style>
  <w:style w:type="paragraph" w:customStyle="1" w:styleId="TOFTitle">
    <w:name w:val="TOFTitle"/>
    <w:basedOn w:val="TOCTitle"/>
    <w:rsid w:val="009D7EFA"/>
  </w:style>
  <w:style w:type="paragraph" w:styleId="TableofFigures">
    <w:name w:val="table of figures"/>
    <w:basedOn w:val="Normal"/>
    <w:next w:val="Normal"/>
    <w:semiHidden/>
    <w:rsid w:val="009D7EFA"/>
    <w:pPr>
      <w:tabs>
        <w:tab w:val="right" w:leader="dot" w:pos="9072"/>
      </w:tabs>
      <w:ind w:left="970" w:hanging="403"/>
    </w:pPr>
    <w:rPr>
      <w:rFonts w:ascii="Times New Roman" w:hAnsi="Times New Roman"/>
      <w:b/>
    </w:rPr>
  </w:style>
  <w:style w:type="paragraph" w:styleId="ListNumber">
    <w:name w:val="List Number"/>
    <w:basedOn w:val="List"/>
    <w:rsid w:val="009D7EFA"/>
    <w:pPr>
      <w:numPr>
        <w:numId w:val="16"/>
      </w:numPr>
      <w:tabs>
        <w:tab w:val="clear" w:pos="340"/>
      </w:tabs>
    </w:pPr>
  </w:style>
  <w:style w:type="character" w:customStyle="1" w:styleId="WingdingSymbols">
    <w:name w:val="Wingding Symbols"/>
    <w:rsid w:val="009D7EFA"/>
    <w:rPr>
      <w:rFonts w:ascii="Wingdings" w:hAnsi="Wingdings"/>
    </w:rPr>
  </w:style>
  <w:style w:type="paragraph" w:customStyle="1" w:styleId="TableHeading">
    <w:name w:val="Table Heading"/>
    <w:basedOn w:val="HeadingBase"/>
    <w:rsid w:val="009D7EFA"/>
    <w:pPr>
      <w:keepLines/>
      <w:pBdr>
        <w:bottom w:val="single" w:sz="6" w:space="1" w:color="918585"/>
      </w:pBdr>
      <w:spacing w:before="240"/>
    </w:pPr>
  </w:style>
  <w:style w:type="character" w:customStyle="1" w:styleId="HotSpot">
    <w:name w:val="HotSpot"/>
    <w:rsid w:val="009D7EFA"/>
    <w:rPr>
      <w:color w:val="0033CC"/>
      <w:u w:val="none"/>
    </w:rPr>
  </w:style>
  <w:style w:type="paragraph" w:customStyle="1" w:styleId="BodyTextRight">
    <w:name w:val="Body Text Right"/>
    <w:basedOn w:val="BodyText"/>
    <w:rsid w:val="009D7EFA"/>
    <w:pPr>
      <w:spacing w:before="0" w:after="0"/>
      <w:jc w:val="right"/>
    </w:pPr>
  </w:style>
  <w:style w:type="paragraph" w:styleId="Index3">
    <w:name w:val="index 3"/>
    <w:basedOn w:val="ListNumber2"/>
    <w:next w:val="Normal"/>
    <w:semiHidden/>
    <w:rsid w:val="009D7EFA"/>
    <w:pPr>
      <w:numPr>
        <w:numId w:val="0"/>
      </w:numPr>
      <w:tabs>
        <w:tab w:val="right" w:leader="dot" w:pos="4176"/>
      </w:tabs>
    </w:pPr>
  </w:style>
  <w:style w:type="paragraph" w:styleId="ListNumber2">
    <w:name w:val="List Number 2"/>
    <w:basedOn w:val="List2"/>
    <w:rsid w:val="009D7EFA"/>
    <w:pPr>
      <w:numPr>
        <w:numId w:val="11"/>
      </w:numPr>
      <w:tabs>
        <w:tab w:val="clear" w:pos="1060"/>
      </w:tabs>
    </w:pPr>
  </w:style>
  <w:style w:type="paragraph" w:customStyle="1" w:styleId="MarginNote">
    <w:name w:val="Margin Note"/>
    <w:basedOn w:val="BodyText"/>
    <w:rsid w:val="009D7E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E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E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EFA"/>
    <w:rPr>
      <w:sz w:val="32"/>
    </w:rPr>
  </w:style>
  <w:style w:type="paragraph" w:customStyle="1" w:styleId="HeadingProcedure">
    <w:name w:val="Heading Procedure"/>
    <w:basedOn w:val="HeadingBase"/>
    <w:next w:val="Normal"/>
    <w:rsid w:val="009D7EFA"/>
    <w:pPr>
      <w:tabs>
        <w:tab w:val="left" w:pos="0"/>
      </w:tabs>
      <w:spacing w:before="120" w:after="60"/>
    </w:pPr>
    <w:rPr>
      <w:i/>
      <w:color w:val="918585"/>
      <w:sz w:val="22"/>
    </w:rPr>
  </w:style>
  <w:style w:type="paragraph" w:customStyle="1" w:styleId="TableBodyText">
    <w:name w:val="Table Body Text"/>
    <w:basedOn w:val="BodyText"/>
    <w:rsid w:val="009D7EFA"/>
    <w:pPr>
      <w:spacing w:before="60" w:after="60"/>
    </w:pPr>
  </w:style>
  <w:style w:type="paragraph" w:styleId="ListContinue">
    <w:name w:val="List Continue"/>
    <w:basedOn w:val="List"/>
    <w:rsid w:val="009D7EFA"/>
    <w:pPr>
      <w:ind w:firstLine="0"/>
    </w:pPr>
  </w:style>
  <w:style w:type="paragraph" w:customStyle="1" w:styleId="ListNote">
    <w:name w:val="List Note"/>
    <w:basedOn w:val="List"/>
    <w:rsid w:val="009D7EFA"/>
    <w:pPr>
      <w:pBdr>
        <w:top w:val="single" w:sz="6" w:space="2" w:color="918585"/>
        <w:bottom w:val="single" w:sz="6" w:space="2" w:color="918585"/>
      </w:pBdr>
      <w:tabs>
        <w:tab w:val="left" w:pos="1021"/>
      </w:tabs>
      <w:ind w:firstLine="0"/>
    </w:pPr>
  </w:style>
  <w:style w:type="paragraph" w:customStyle="1" w:styleId="Warning">
    <w:name w:val="Warning"/>
    <w:basedOn w:val="BodyText"/>
    <w:rsid w:val="009D7EFA"/>
    <w:pPr>
      <w:shd w:val="clear" w:color="auto" w:fill="D9D9D9"/>
      <w:tabs>
        <w:tab w:val="left" w:pos="992"/>
      </w:tabs>
      <w:ind w:left="119" w:right="119"/>
    </w:pPr>
    <w:rPr>
      <w:sz w:val="20"/>
    </w:rPr>
  </w:style>
  <w:style w:type="paragraph" w:customStyle="1" w:styleId="MarginIcons">
    <w:name w:val="Margin Icons"/>
    <w:basedOn w:val="BodyText"/>
    <w:rsid w:val="009D7E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EFA"/>
    <w:rPr>
      <w:rFonts w:ascii="Courier New" w:hAnsi="Courier New"/>
    </w:rPr>
  </w:style>
  <w:style w:type="paragraph" w:customStyle="1" w:styleId="NoteBullet">
    <w:name w:val="Note Bullet"/>
    <w:basedOn w:val="Note"/>
    <w:rsid w:val="009D7EFA"/>
    <w:pPr>
      <w:tabs>
        <w:tab w:val="clear" w:pos="680"/>
      </w:tabs>
      <w:spacing w:before="60" w:after="60"/>
    </w:pPr>
  </w:style>
  <w:style w:type="paragraph" w:customStyle="1" w:styleId="SubHeading2">
    <w:name w:val="SubHeading2"/>
    <w:basedOn w:val="HeadingBase"/>
    <w:rsid w:val="009D7EFA"/>
    <w:pPr>
      <w:spacing w:before="240" w:after="60"/>
    </w:pPr>
    <w:rPr>
      <w:sz w:val="20"/>
    </w:rPr>
  </w:style>
  <w:style w:type="paragraph" w:customStyle="1" w:styleId="SubHeading1">
    <w:name w:val="SubHeading1"/>
    <w:basedOn w:val="HeadingBase"/>
    <w:rsid w:val="009D7EFA"/>
    <w:pPr>
      <w:spacing w:before="240" w:after="60"/>
    </w:pPr>
    <w:rPr>
      <w:color w:val="918585"/>
      <w:sz w:val="22"/>
    </w:rPr>
  </w:style>
  <w:style w:type="paragraph" w:customStyle="1" w:styleId="SideHeading">
    <w:name w:val="Side Heading"/>
    <w:basedOn w:val="HeadingBase"/>
    <w:rsid w:val="009D7E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EFA"/>
    <w:pPr>
      <w:numPr>
        <w:numId w:val="12"/>
      </w:numPr>
    </w:pPr>
  </w:style>
  <w:style w:type="paragraph" w:styleId="PlainText">
    <w:name w:val="Plain Text"/>
    <w:basedOn w:val="Normal"/>
    <w:link w:val="PlainTextChar"/>
    <w:rsid w:val="009D7EFA"/>
    <w:rPr>
      <w:sz w:val="20"/>
    </w:rPr>
  </w:style>
  <w:style w:type="character" w:customStyle="1" w:styleId="PlainTextChar">
    <w:name w:val="Plain Text Char"/>
    <w:basedOn w:val="DefaultParagraphFont"/>
    <w:link w:val="PlainText"/>
    <w:rsid w:val="009D7EFA"/>
    <w:rPr>
      <w:rFonts w:ascii="Courier New" w:eastAsia="Times New Roman" w:hAnsi="Courier New" w:cs="Times New Roman"/>
      <w:sz w:val="20"/>
      <w:szCs w:val="20"/>
      <w:lang w:eastAsia="en-US"/>
    </w:rPr>
  </w:style>
  <w:style w:type="character" w:customStyle="1" w:styleId="MenuOption">
    <w:name w:val="Menu Option"/>
    <w:basedOn w:val="DefaultParagraphFont"/>
    <w:rsid w:val="009D7EFA"/>
    <w:rPr>
      <w:b/>
      <w:smallCaps/>
    </w:rPr>
  </w:style>
  <w:style w:type="paragraph" w:customStyle="1" w:styleId="TableListNumber">
    <w:name w:val="Table List Number"/>
    <w:basedOn w:val="ListNumber"/>
    <w:rsid w:val="009D7EFA"/>
    <w:pPr>
      <w:numPr>
        <w:numId w:val="0"/>
      </w:numPr>
    </w:pPr>
  </w:style>
  <w:style w:type="paragraph" w:styleId="TOC4">
    <w:name w:val="toc 4"/>
    <w:basedOn w:val="TOCBase"/>
    <w:next w:val="Normal"/>
    <w:semiHidden/>
    <w:rsid w:val="009D7EFA"/>
    <w:pPr>
      <w:tabs>
        <w:tab w:val="right" w:leader="dot" w:pos="9071"/>
      </w:tabs>
      <w:ind w:left="1701"/>
    </w:pPr>
  </w:style>
  <w:style w:type="paragraph" w:customStyle="1" w:styleId="ListAlpha">
    <w:name w:val="List Alpha"/>
    <w:basedOn w:val="List"/>
    <w:rsid w:val="009D7EFA"/>
    <w:pPr>
      <w:numPr>
        <w:numId w:val="10"/>
      </w:numPr>
    </w:pPr>
  </w:style>
  <w:style w:type="paragraph" w:customStyle="1" w:styleId="ListAlpha2">
    <w:name w:val="List Alpha 2"/>
    <w:basedOn w:val="List2"/>
    <w:rsid w:val="009D7EFA"/>
    <w:pPr>
      <w:numPr>
        <w:numId w:val="9"/>
      </w:numPr>
    </w:pPr>
  </w:style>
  <w:style w:type="paragraph" w:styleId="List2">
    <w:name w:val="List 2"/>
    <w:basedOn w:val="BodyText"/>
    <w:rsid w:val="009D7EFA"/>
    <w:pPr>
      <w:tabs>
        <w:tab w:val="left" w:pos="680"/>
      </w:tabs>
      <w:spacing w:before="60" w:after="60"/>
      <w:ind w:left="680" w:hanging="340"/>
    </w:pPr>
  </w:style>
  <w:style w:type="paragraph" w:styleId="List3">
    <w:name w:val="List 3"/>
    <w:basedOn w:val="BodyText"/>
    <w:rsid w:val="009D7EFA"/>
    <w:pPr>
      <w:tabs>
        <w:tab w:val="left" w:pos="1021"/>
      </w:tabs>
      <w:spacing w:before="60" w:after="60"/>
      <w:ind w:left="1020" w:hanging="340"/>
    </w:pPr>
  </w:style>
  <w:style w:type="paragraph" w:styleId="List4">
    <w:name w:val="List 4"/>
    <w:basedOn w:val="BodyText"/>
    <w:rsid w:val="009D7EFA"/>
    <w:pPr>
      <w:tabs>
        <w:tab w:val="left" w:pos="1361"/>
      </w:tabs>
      <w:spacing w:before="60" w:after="60"/>
      <w:ind w:left="1361" w:hanging="340"/>
    </w:pPr>
  </w:style>
  <w:style w:type="paragraph" w:styleId="List5">
    <w:name w:val="List 5"/>
    <w:basedOn w:val="BodyText"/>
    <w:rsid w:val="009D7EFA"/>
    <w:pPr>
      <w:tabs>
        <w:tab w:val="left" w:pos="1701"/>
      </w:tabs>
      <w:spacing w:before="60" w:after="60"/>
      <w:ind w:left="1701" w:hanging="340"/>
    </w:pPr>
  </w:style>
  <w:style w:type="paragraph" w:styleId="ListBullet4">
    <w:name w:val="List Bullet 4"/>
    <w:basedOn w:val="List4"/>
    <w:rsid w:val="009D7EFA"/>
    <w:pPr>
      <w:numPr>
        <w:numId w:val="4"/>
      </w:numPr>
      <w:tabs>
        <w:tab w:val="clear" w:pos="1361"/>
      </w:tabs>
    </w:pPr>
  </w:style>
  <w:style w:type="paragraph" w:styleId="ListBullet5">
    <w:name w:val="List Bullet 5"/>
    <w:basedOn w:val="List5"/>
    <w:rsid w:val="009D7EFA"/>
    <w:pPr>
      <w:numPr>
        <w:numId w:val="5"/>
      </w:numPr>
    </w:pPr>
  </w:style>
  <w:style w:type="paragraph" w:styleId="ListContinue2">
    <w:name w:val="List Continue 2"/>
    <w:basedOn w:val="List2"/>
    <w:rsid w:val="009D7EFA"/>
    <w:pPr>
      <w:ind w:firstLine="0"/>
    </w:pPr>
  </w:style>
  <w:style w:type="paragraph" w:styleId="ListContinue3">
    <w:name w:val="List Continue 3"/>
    <w:basedOn w:val="List3"/>
    <w:rsid w:val="009D7EFA"/>
    <w:pPr>
      <w:ind w:left="1021" w:firstLine="0"/>
    </w:pPr>
  </w:style>
  <w:style w:type="paragraph" w:styleId="ListContinue4">
    <w:name w:val="List Continue 4"/>
    <w:basedOn w:val="List4"/>
    <w:rsid w:val="009D7EFA"/>
    <w:pPr>
      <w:ind w:firstLine="0"/>
    </w:pPr>
  </w:style>
  <w:style w:type="paragraph" w:styleId="ListContinue5">
    <w:name w:val="List Continue 5"/>
    <w:basedOn w:val="List5"/>
    <w:rsid w:val="009D7EFA"/>
    <w:pPr>
      <w:ind w:firstLine="0"/>
    </w:pPr>
  </w:style>
  <w:style w:type="paragraph" w:styleId="ListNumber3">
    <w:name w:val="List Number 3"/>
    <w:basedOn w:val="List3"/>
    <w:rsid w:val="009D7EFA"/>
    <w:pPr>
      <w:numPr>
        <w:numId w:val="6"/>
      </w:numPr>
    </w:pPr>
  </w:style>
  <w:style w:type="paragraph" w:styleId="ListNumber4">
    <w:name w:val="List Number 4"/>
    <w:basedOn w:val="List4"/>
    <w:rsid w:val="009D7EFA"/>
    <w:pPr>
      <w:numPr>
        <w:numId w:val="7"/>
      </w:numPr>
    </w:pPr>
  </w:style>
  <w:style w:type="paragraph" w:styleId="ListNumber5">
    <w:name w:val="List Number 5"/>
    <w:basedOn w:val="List5"/>
    <w:rsid w:val="009D7EFA"/>
    <w:pPr>
      <w:numPr>
        <w:numId w:val="8"/>
      </w:numPr>
    </w:pPr>
  </w:style>
  <w:style w:type="paragraph" w:styleId="BlockText">
    <w:name w:val="Block Text"/>
    <w:basedOn w:val="Normal"/>
    <w:rsid w:val="009D7EFA"/>
    <w:pPr>
      <w:spacing w:after="120"/>
      <w:ind w:left="1440" w:right="1440"/>
    </w:pPr>
  </w:style>
  <w:style w:type="character" w:customStyle="1" w:styleId="Subscript">
    <w:name w:val="Subscript"/>
    <w:basedOn w:val="DefaultParagraphFont"/>
    <w:rsid w:val="009D7EFA"/>
    <w:rPr>
      <w:sz w:val="16"/>
      <w:vertAlign w:val="subscript"/>
    </w:rPr>
  </w:style>
  <w:style w:type="character" w:customStyle="1" w:styleId="Superscript">
    <w:name w:val="Superscript"/>
    <w:basedOn w:val="DefaultParagraphFont"/>
    <w:rsid w:val="009D7EFA"/>
    <w:rPr>
      <w:sz w:val="16"/>
      <w:vertAlign w:val="superscript"/>
    </w:rPr>
  </w:style>
  <w:style w:type="character" w:customStyle="1" w:styleId="Symbols">
    <w:name w:val="Symbols"/>
    <w:basedOn w:val="DefaultParagraphFont"/>
    <w:rsid w:val="009D7EFA"/>
    <w:rPr>
      <w:rFonts w:ascii="Symbol" w:hAnsi="Symbol"/>
    </w:rPr>
  </w:style>
  <w:style w:type="character" w:customStyle="1" w:styleId="MenuOptions">
    <w:name w:val="Menu Options"/>
    <w:basedOn w:val="DefaultParagraphFont"/>
    <w:rsid w:val="009D7EFA"/>
    <w:rPr>
      <w:rFonts w:ascii="Arial Narrow" w:hAnsi="Arial Narrow"/>
      <w:smallCaps/>
    </w:rPr>
  </w:style>
  <w:style w:type="character" w:customStyle="1" w:styleId="Buttons">
    <w:name w:val="Buttons"/>
    <w:basedOn w:val="DefaultParagraphFont"/>
    <w:rsid w:val="009D7EFA"/>
    <w:rPr>
      <w:b/>
    </w:rPr>
  </w:style>
  <w:style w:type="character" w:customStyle="1" w:styleId="Underlined">
    <w:name w:val="Underlined"/>
    <w:basedOn w:val="DefaultParagraphFont"/>
    <w:rsid w:val="009D7EFA"/>
    <w:rPr>
      <w:u w:val="single"/>
    </w:rPr>
  </w:style>
  <w:style w:type="paragraph" w:customStyle="1" w:styleId="TableBodyTextRight">
    <w:name w:val="Table Body Text Right"/>
    <w:basedOn w:val="TableBodyText"/>
    <w:rsid w:val="009D7EFA"/>
    <w:pPr>
      <w:widowControl w:val="0"/>
      <w:autoSpaceDE w:val="0"/>
      <w:autoSpaceDN w:val="0"/>
      <w:adjustRightInd w:val="0"/>
      <w:jc w:val="right"/>
    </w:pPr>
    <w:rPr>
      <w:rFonts w:cs="Arial"/>
      <w:szCs w:val="18"/>
    </w:rPr>
  </w:style>
  <w:style w:type="paragraph" w:customStyle="1" w:styleId="CopyrightText">
    <w:name w:val="Copyright Text"/>
    <w:basedOn w:val="BodyText"/>
    <w:rsid w:val="009D7EFA"/>
    <w:rPr>
      <w:sz w:val="18"/>
    </w:rPr>
  </w:style>
  <w:style w:type="paragraph" w:customStyle="1" w:styleId="BodySmallRight">
    <w:name w:val="Body Small Right"/>
    <w:basedOn w:val="BodyTextRight"/>
    <w:rsid w:val="009D7EFA"/>
    <w:rPr>
      <w:sz w:val="18"/>
      <w:szCs w:val="18"/>
    </w:rPr>
  </w:style>
  <w:style w:type="paragraph" w:customStyle="1" w:styleId="MarginEdition">
    <w:name w:val="Margin Edition"/>
    <w:basedOn w:val="MarginNote"/>
    <w:rsid w:val="009D7EFA"/>
    <w:pPr>
      <w:spacing w:before="0" w:after="0"/>
    </w:pPr>
    <w:rPr>
      <w:rFonts w:ascii="Times New Roman" w:hAnsi="Times New Roman"/>
      <w:color w:val="999999"/>
    </w:rPr>
  </w:style>
  <w:style w:type="paragraph" w:customStyle="1" w:styleId="Spacer">
    <w:name w:val="Spacer"/>
    <w:basedOn w:val="Normal"/>
    <w:rsid w:val="009D7EFA"/>
    <w:rPr>
      <w:sz w:val="2"/>
      <w:szCs w:val="2"/>
    </w:rPr>
  </w:style>
  <w:style w:type="character" w:customStyle="1" w:styleId="Small">
    <w:name w:val="Small"/>
    <w:basedOn w:val="DefaultParagraphFont"/>
    <w:rsid w:val="009D7EFA"/>
    <w:rPr>
      <w:sz w:val="16"/>
    </w:rPr>
  </w:style>
  <w:style w:type="paragraph" w:customStyle="1" w:styleId="WideTable">
    <w:name w:val="Wide Table"/>
    <w:basedOn w:val="Normal"/>
    <w:rsid w:val="009D7EFA"/>
    <w:pPr>
      <w:ind w:left="-1418"/>
    </w:pPr>
    <w:rPr>
      <w:sz w:val="2"/>
      <w:szCs w:val="2"/>
    </w:rPr>
  </w:style>
  <w:style w:type="character" w:styleId="PageNumber">
    <w:name w:val="page number"/>
    <w:basedOn w:val="DefaultParagraphFont"/>
    <w:rsid w:val="009D7EFA"/>
  </w:style>
  <w:style w:type="paragraph" w:styleId="Quote">
    <w:name w:val="Quote"/>
    <w:basedOn w:val="Heading1"/>
    <w:link w:val="QuoteChar"/>
    <w:qFormat/>
    <w:rsid w:val="009D7EFA"/>
    <w:rPr>
      <w:b w:val="0"/>
      <w:sz w:val="72"/>
      <w:szCs w:val="72"/>
      <w:lang w:val="en-NZ"/>
    </w:rPr>
  </w:style>
  <w:style w:type="character" w:customStyle="1" w:styleId="QuoteChar">
    <w:name w:val="Quote Char"/>
    <w:basedOn w:val="DefaultParagraphFont"/>
    <w:link w:val="Quote"/>
    <w:rsid w:val="009D7E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EFA"/>
    <w:pPr>
      <w:pageBreakBefore/>
    </w:pPr>
  </w:style>
  <w:style w:type="paragraph" w:customStyle="1" w:styleId="Border">
    <w:name w:val="Border"/>
    <w:basedOn w:val="Normal"/>
    <w:qFormat/>
    <w:rsid w:val="009D7E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EFA"/>
    <w:rPr>
      <w:b/>
      <w:bCs/>
      <w:i/>
      <w:iCs/>
      <w:color w:val="auto"/>
    </w:rPr>
  </w:style>
  <w:style w:type="paragraph" w:styleId="IntenseQuote">
    <w:name w:val="Intense Quote"/>
    <w:basedOn w:val="Normal"/>
    <w:next w:val="Normal"/>
    <w:link w:val="IntenseQuoteChar"/>
    <w:uiPriority w:val="30"/>
    <w:qFormat/>
    <w:rsid w:val="009D7E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E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EFA"/>
    <w:rPr>
      <w:smallCaps/>
      <w:color w:val="auto"/>
      <w:u w:val="single"/>
    </w:rPr>
  </w:style>
  <w:style w:type="character" w:styleId="IntenseReference">
    <w:name w:val="Intense Reference"/>
    <w:basedOn w:val="DefaultParagraphFont"/>
    <w:uiPriority w:val="32"/>
    <w:qFormat/>
    <w:rsid w:val="009D7EFA"/>
    <w:rPr>
      <w:b/>
      <w:bCs/>
      <w:smallCaps/>
      <w:color w:val="auto"/>
      <w:spacing w:val="5"/>
      <w:u w:val="single"/>
    </w:rPr>
  </w:style>
  <w:style w:type="paragraph" w:customStyle="1" w:styleId="2ColumnHeading">
    <w:name w:val="2Column Heading"/>
    <w:basedOn w:val="BodyText"/>
    <w:qFormat/>
    <w:rsid w:val="009D7EFA"/>
    <w:pPr>
      <w:spacing w:after="60"/>
      <w:ind w:left="-2268"/>
    </w:pPr>
    <w:rPr>
      <w:b/>
    </w:rPr>
  </w:style>
  <w:style w:type="paragraph" w:customStyle="1" w:styleId="Heading1TOC">
    <w:name w:val="Heading1 TOC"/>
    <w:basedOn w:val="Normal"/>
    <w:qFormat/>
    <w:rsid w:val="009D7EFA"/>
    <w:pPr>
      <w:spacing w:before="240" w:after="120"/>
    </w:pPr>
    <w:rPr>
      <w:rFonts w:ascii="Times New Roman" w:hAnsi="Times New Roman"/>
      <w:b/>
      <w:sz w:val="32"/>
    </w:rPr>
  </w:style>
  <w:style w:type="paragraph" w:customStyle="1" w:styleId="Heading2TOC">
    <w:name w:val="Heading2 TOC"/>
    <w:basedOn w:val="Normal"/>
    <w:qFormat/>
    <w:rsid w:val="009D7EFA"/>
    <w:pPr>
      <w:spacing w:before="240" w:after="60"/>
    </w:pPr>
    <w:rPr>
      <w:rFonts w:ascii="Times New Roman" w:hAnsi="Times New Roman"/>
      <w:b/>
      <w:sz w:val="28"/>
    </w:rPr>
  </w:style>
  <w:style w:type="character" w:customStyle="1" w:styleId="Underline">
    <w:name w:val="Underline"/>
    <w:basedOn w:val="DefaultParagraphFont"/>
    <w:qFormat/>
    <w:rsid w:val="009D7EFA"/>
    <w:rPr>
      <w:u w:val="single"/>
    </w:rPr>
  </w:style>
  <w:style w:type="character" w:customStyle="1" w:styleId="BoldandItalics">
    <w:name w:val="Bold and Italics"/>
    <w:qFormat/>
    <w:rsid w:val="009D7EFA"/>
    <w:rPr>
      <w:b/>
      <w:i/>
      <w:u w:val="none"/>
    </w:rPr>
  </w:style>
  <w:style w:type="paragraph" w:styleId="BalloonText">
    <w:name w:val="Balloon Text"/>
    <w:basedOn w:val="Normal"/>
    <w:link w:val="BalloonTextChar"/>
    <w:rsid w:val="009D7EFA"/>
    <w:rPr>
      <w:rFonts w:ascii="Tahoma" w:hAnsi="Tahoma" w:cs="Tahoma"/>
      <w:sz w:val="16"/>
      <w:szCs w:val="16"/>
    </w:rPr>
  </w:style>
  <w:style w:type="character" w:customStyle="1" w:styleId="BalloonTextChar">
    <w:name w:val="Balloon Text Char"/>
    <w:basedOn w:val="DefaultParagraphFont"/>
    <w:link w:val="BalloonText"/>
    <w:rsid w:val="009D7E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E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E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EFA"/>
    <w:rPr>
      <w:b/>
      <w:color w:val="660033"/>
      <w:spacing w:val="0"/>
    </w:rPr>
  </w:style>
  <w:style w:type="paragraph" w:customStyle="1" w:styleId="Nameditemlist">
    <w:name w:val="Named item list"/>
    <w:basedOn w:val="BodyText"/>
    <w:qFormat/>
    <w:rsid w:val="009D7EFA"/>
    <w:pPr>
      <w:tabs>
        <w:tab w:val="left" w:pos="2835"/>
      </w:tabs>
      <w:ind w:left="2835" w:hanging="2835"/>
    </w:pPr>
  </w:style>
  <w:style w:type="paragraph" w:customStyle="1" w:styleId="BodyTextnopadding">
    <w:name w:val="Body Text no padding"/>
    <w:basedOn w:val="BodyText"/>
    <w:qFormat/>
    <w:rsid w:val="009D7EFA"/>
    <w:pPr>
      <w:spacing w:before="0" w:after="0"/>
    </w:pPr>
  </w:style>
  <w:style w:type="paragraph" w:customStyle="1" w:styleId="BodyTextBold">
    <w:name w:val="Body Text Bold"/>
    <w:basedOn w:val="BodyText"/>
    <w:qFormat/>
    <w:rsid w:val="009D7EFA"/>
    <w:rPr>
      <w:b/>
    </w:rPr>
  </w:style>
  <w:style w:type="character" w:styleId="Hyperlink">
    <w:name w:val="Hyperlink"/>
    <w:basedOn w:val="DefaultParagraphFont"/>
    <w:uiPriority w:val="99"/>
    <w:unhideWhenUsed/>
    <w:rsid w:val="00F96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5707</Characters>
  <Application>Microsoft Office Word</Application>
  <DocSecurity>0</DocSecurity>
  <Lines>135</Lines>
  <Paragraphs>101</Paragraphs>
  <ScaleCrop>false</ScaleCrop>
  <Company>Author-it Software Corporation Ltd.</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UEERS0030 Maintain power-operated point actuating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2024-11-29T00:48:00Z</dcterms:created>
  <dcterms:modified xsi:type="dcterms:W3CDTF">2024-11-29T00:48:00Z</dcterms:modified>
</cp:coreProperties>
</file>