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7B56" w:rsidP="00B27B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UEERS0027 Maintain computer-based interlocking rail systems</w:t>
      </w:r>
      <w:r>
        <w:fldChar w:fldCharType="end"/>
      </w:r>
    </w:p>
    <w:p w:rsidR="00B27B56" w:rsidP="00B27B56">
      <w:pPr>
        <w:pStyle w:val="Version"/>
        <w:sectPr w:rsidSect="006A1B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1B2B" w:rsidP="006A1B2B">
      <w:pPr>
        <w:pStyle w:val="SuperHeading"/>
      </w:pPr>
      <w:r w:rsidRPr="006A1B2B">
        <w:t>UEERS0027 Maintain computer-based interlocking rail systems</w:t>
      </w:r>
    </w:p>
    <w:p w:rsidR="00000000" w:rsidRPr="006A1B2B" w:rsidP="006A1B2B">
      <w:pPr>
        <w:pStyle w:val="Heading1"/>
      </w:pPr>
      <w:bookmarkStart w:id="1" w:name="O_1267440"/>
      <w:bookmarkEnd w:id="1"/>
      <w:r w:rsidRPr="006A1B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 w:rsidP="006A1B2B">
            <w:pPr>
              <w:pStyle w:val="BodyText"/>
            </w:pPr>
            <w:r w:rsidRPr="006A1B2B">
              <w:t>Release 1. This is the first release of this unit of competency in the UEE Electrotechnology Training Package.</w:t>
            </w:r>
          </w:p>
          <w:p w:rsidR="00000000" w:rsidRPr="006A1B2B" w:rsidP="006A1B2B">
            <w:pPr>
              <w:pStyle w:val="BodyText"/>
            </w:pPr>
            <w:r w:rsidRPr="006A1B2B">
              <w:t>This unit replaces and is equivalent to UEERS0006 Install and maintain computer based interlocking rail sy</w:t>
            </w:r>
            <w:r w:rsidRPr="006A1B2B">
              <w:t>stems.</w:t>
            </w:r>
          </w:p>
          <w:p w:rsidR="00000000" w:rsidRPr="006A1B2B" w:rsidP="006A1B2B">
            <w:pPr>
              <w:pStyle w:val="BodyText"/>
            </w:pPr>
            <w:r w:rsidRPr="006A1B2B">
              <w:t>Modifications this release include:</w:t>
            </w:r>
          </w:p>
          <w:p w:rsidR="00000000" w:rsidRPr="006A1B2B" w:rsidP="006A1B2B">
            <w:pPr>
              <w:pStyle w:val="ListBullet"/>
            </w:pPr>
            <w:r w:rsidRPr="006A1B2B">
              <w:t>Title changed.</w:t>
            </w:r>
          </w:p>
          <w:p w:rsidR="00000000" w:rsidRPr="006A1B2B" w:rsidP="006A1B2B">
            <w:pPr>
              <w:pStyle w:val="ListBullet"/>
            </w:pPr>
            <w:r w:rsidRPr="006A1B2B">
              <w:t>Application updated to reflect title change.</w:t>
            </w:r>
          </w:p>
          <w:p w:rsidR="00000000" w:rsidRPr="006A1B2B" w:rsidP="006A1B2B">
            <w:pPr>
              <w:pStyle w:val="ListBullet"/>
            </w:pPr>
            <w:r w:rsidRPr="006A1B2B">
              <w:t>Element titles and performance criteria amended to reflect title change.</w:t>
            </w:r>
          </w:p>
          <w:p w:rsidR="00000000" w:rsidRPr="006A1B2B" w:rsidP="006A1B2B">
            <w:pPr>
              <w:pStyle w:val="ListBullet"/>
            </w:pPr>
            <w:r w:rsidRPr="006A1B2B">
              <w:t>Performance criteria 1.6, 2.2, 3.2 and 3.3 added.</w:t>
            </w:r>
          </w:p>
          <w:p w:rsidR="00000000" w:rsidRPr="006A1B2B" w:rsidP="006A1B2B">
            <w:pPr>
              <w:pStyle w:val="ListBullet"/>
            </w:pPr>
            <w:r w:rsidRPr="006A1B2B">
              <w:t>Performance and Knowledge Evi</w:t>
            </w:r>
            <w:r w:rsidRPr="006A1B2B">
              <w:t>dence updated for clarity.</w:t>
            </w:r>
          </w:p>
          <w:p w:rsidR="00000000" w:rsidRPr="006A1B2B" w:rsidP="006A1B2B">
            <w:pPr>
              <w:pStyle w:val="ListBullet"/>
            </w:pPr>
            <w:r w:rsidRPr="006A1B2B">
              <w:t>Knowledge Evidence items added.</w:t>
            </w:r>
          </w:p>
        </w:tc>
      </w:tr>
    </w:tbl>
    <w:p w:rsidR="00000000" w:rsidRPr="006A1B2B" w:rsidP="006A1B2B">
      <w:pPr>
        <w:pStyle w:val="NoPaddingFontSize1"/>
      </w:pPr>
    </w:p>
    <w:p w:rsidR="00000000" w:rsidRPr="006A1B2B" w:rsidP="006A1B2B">
      <w:pPr>
        <w:pStyle w:val="AllowPageBreak"/>
      </w:pPr>
    </w:p>
    <w:p w:rsidR="00000000" w:rsidRPr="006A1B2B" w:rsidP="006A1B2B">
      <w:pPr>
        <w:pStyle w:val="Heading1"/>
      </w:pPr>
      <w:bookmarkStart w:id="2" w:name="O_1267441"/>
      <w:bookmarkEnd w:id="2"/>
      <w:r w:rsidRPr="006A1B2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 w:rsidP="006A1B2B">
            <w:pPr>
              <w:pStyle w:val="BodyText"/>
            </w:pPr>
            <w:r w:rsidRPr="006A1B2B">
              <w:t>This unit involves the skills and knowledge required to maintain computer-based interlocking equipment for rail network signalling system.</w:t>
            </w:r>
          </w:p>
          <w:p w:rsidR="00000000" w:rsidRPr="006A1B2B" w:rsidP="006A1B2B">
            <w:pPr>
              <w:pStyle w:val="BodyText"/>
            </w:pPr>
            <w:r w:rsidRPr="006A1B2B">
              <w:t>It includes preparing, maintaining and recertifying computer-based interlocking (CBI) equipment. It also includes completing maintenance of CBI systems and replacing faulty equipment requirements.</w:t>
            </w:r>
          </w:p>
          <w:p w:rsidR="00000000" w:rsidRPr="006A1B2B" w:rsidP="006A1B2B">
            <w:pPr>
              <w:pStyle w:val="BodyText"/>
            </w:pPr>
            <w:r w:rsidRPr="006A1B2B">
              <w:t>Persons achieving competence in this unit will need to fulf</w:t>
            </w:r>
            <w:r w:rsidRPr="006A1B2B">
              <w:t>il the applicable state/territory legislated rail safety requirements and comply with relevant codes of practice, rules and/or guidelines.</w:t>
            </w:r>
          </w:p>
          <w:p w:rsidR="00000000" w:rsidRPr="006A1B2B" w:rsidP="006A1B2B">
            <w:pPr>
              <w:pStyle w:val="BodyText"/>
            </w:pPr>
            <w:r w:rsidRPr="006A1B2B">
              <w:t>No other licensing, legislative or certification requirements apply to this unit at the time of publication.</w:t>
            </w:r>
          </w:p>
        </w:tc>
      </w:tr>
    </w:tbl>
    <w:p w:rsidR="00000000" w:rsidRPr="006A1B2B" w:rsidP="006A1B2B">
      <w:pPr>
        <w:pStyle w:val="NoPaddingFontSize1"/>
      </w:pPr>
    </w:p>
    <w:p w:rsidR="00000000" w:rsidRPr="006A1B2B" w:rsidP="006A1B2B">
      <w:pPr>
        <w:pStyle w:val="AllowPageBreak"/>
      </w:pPr>
    </w:p>
    <w:p w:rsidR="00000000" w:rsidRPr="006A1B2B" w:rsidP="006A1B2B">
      <w:pPr>
        <w:pStyle w:val="Heading1"/>
      </w:pPr>
      <w:bookmarkStart w:id="3" w:name="O_1267442"/>
      <w:bookmarkEnd w:id="3"/>
      <w:r w:rsidRPr="006A1B2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 w:rsidP="006A1B2B">
            <w:pPr>
              <w:pStyle w:val="BodyText"/>
            </w:pPr>
            <w:r w:rsidRPr="006A1B2B">
              <w:t>UEERS0025 Maintain active level crossing equipment</w:t>
            </w:r>
          </w:p>
          <w:p w:rsidR="00000000" w:rsidRPr="006A1B2B" w:rsidP="006A1B2B">
            <w:pPr>
              <w:pStyle w:val="BodyText"/>
            </w:pPr>
            <w:r w:rsidRPr="006A1B2B">
              <w:t>UEERS0030 Maintain power-operated point actuating devices</w:t>
            </w:r>
          </w:p>
          <w:p w:rsidR="00000000" w:rsidRPr="006A1B2B" w:rsidP="006A1B2B">
            <w:pPr>
              <w:pStyle w:val="BodyText"/>
            </w:pPr>
            <w:r w:rsidRPr="006A1B2B">
              <w:t>UEERS0032 Maintain trackside signal and train protection equipment</w:t>
            </w:r>
          </w:p>
        </w:tc>
      </w:tr>
    </w:tbl>
    <w:p w:rsidR="00000000" w:rsidRPr="006A1B2B" w:rsidP="006A1B2B">
      <w:pPr>
        <w:pStyle w:val="NoPaddingFontSize1"/>
      </w:pPr>
    </w:p>
    <w:p w:rsidR="00000000" w:rsidRPr="006A1B2B" w:rsidP="006A1B2B">
      <w:pPr>
        <w:pStyle w:val="AllowPageBreak"/>
      </w:pPr>
    </w:p>
    <w:p w:rsidR="00000000" w:rsidRPr="006A1B2B" w:rsidP="006A1B2B">
      <w:pPr>
        <w:pStyle w:val="Heading1"/>
      </w:pPr>
      <w:bookmarkStart w:id="4" w:name="O_1267443"/>
      <w:bookmarkEnd w:id="4"/>
      <w:r w:rsidRPr="006A1B2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 w:rsidP="006A1B2B">
            <w:pPr>
              <w:pStyle w:val="BodyText"/>
            </w:pPr>
            <w:r w:rsidRPr="006A1B2B">
              <w:t>Rail Signa</w:t>
            </w:r>
            <w:r w:rsidRPr="006A1B2B">
              <w:t>lling</w:t>
            </w:r>
          </w:p>
        </w:tc>
      </w:tr>
    </w:tbl>
    <w:p w:rsidR="00000000" w:rsidRPr="006A1B2B" w:rsidP="006A1B2B">
      <w:pPr>
        <w:pStyle w:val="NoPaddingFontSize1"/>
      </w:pPr>
    </w:p>
    <w:p w:rsidR="00000000" w:rsidRPr="006A1B2B" w:rsidP="006A1B2B">
      <w:pPr>
        <w:pStyle w:val="AllowPageBreak"/>
      </w:pPr>
    </w:p>
    <w:p w:rsidR="00000000" w:rsidRPr="006A1B2B" w:rsidP="006A1B2B">
      <w:pPr>
        <w:pStyle w:val="Heading1"/>
      </w:pPr>
      <w:bookmarkStart w:id="5" w:name="O_1267444"/>
      <w:bookmarkEnd w:id="5"/>
      <w:r w:rsidRPr="006A1B2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 w:rsidP="006A1B2B">
            <w:pPr>
              <w:pStyle w:val="BodyText"/>
            </w:pPr>
            <w:r w:rsidRPr="006A1B2B">
              <w:t>Electrotechnology</w:t>
            </w:r>
          </w:p>
        </w:tc>
      </w:tr>
    </w:tbl>
    <w:p w:rsidR="00000000" w:rsidRPr="006A1B2B" w:rsidP="006A1B2B">
      <w:pPr>
        <w:pStyle w:val="NoPaddingFontSize1"/>
      </w:pPr>
    </w:p>
    <w:p w:rsidR="00000000" w:rsidRPr="006A1B2B" w:rsidP="006A1B2B">
      <w:pPr>
        <w:pStyle w:val="AllowPageBreak"/>
      </w:pPr>
    </w:p>
    <w:p w:rsidR="00000000" w:rsidRPr="006A1B2B" w:rsidP="006A1B2B">
      <w:pPr>
        <w:pStyle w:val="Heading1"/>
      </w:pPr>
      <w:bookmarkStart w:id="6" w:name="O_1267445"/>
      <w:bookmarkEnd w:id="6"/>
      <w:r w:rsidRPr="006A1B2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55"/>
        <w:gridCol w:w="723"/>
        <w:gridCol w:w="5614"/>
      </w:tblGrid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 w:rsidP="006A1B2B">
            <w:pPr>
              <w:pStyle w:val="BodyText"/>
            </w:pPr>
            <w:r w:rsidRPr="006A1B2B">
              <w:rPr>
                <w:rStyle w:val="SpecialBold"/>
              </w:rPr>
              <w:t>ELEMENTS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PERFORMANCE CRITERIA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Elements describe the essential outcomes.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Performance criteria describe the performance needed to demonstrate achievement of the element.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 w:rsidP="006A1B2B">
            <w:pPr>
              <w:pStyle w:val="BodyText"/>
            </w:pPr>
            <w:r w:rsidRPr="006A1B2B">
              <w:rPr>
                <w:rStyle w:val="SpecialBold"/>
              </w:rPr>
              <w:t xml:space="preserve">1 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 w:rsidP="006A1B2B">
            <w:pPr>
              <w:pStyle w:val="BodyText"/>
            </w:pPr>
            <w:r w:rsidRPr="006A1B2B">
              <w:rPr>
                <w:rStyle w:val="SpecialBold"/>
              </w:rPr>
              <w:t>Prepare to maintain CBI rail equipment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1.1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Work health and safety (WHS)/occupational health and safety (OHS) requirements and workplace procedures for a gi</w:t>
            </w:r>
            <w:r w:rsidRPr="006A1B2B">
              <w:t>ven work area are identified, obtained and clarified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1.2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Hazards are identified, WHS/OHS risks assessed, and control measures and workplace procedures are implemented in preparation for work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1.3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Scope of maintenance work is determined from job specifications, drawings and regulatory requirements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1.4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The version of the signalling data and executive software of the CBI is identified by reference to the engineering records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1.5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 xml:space="preserve">Materials needed </w:t>
            </w:r>
            <w:r w:rsidRPr="006A1B2B">
              <w:t>for the maintenance work are obtained in accordance with workplace procedures and checked against job specifications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1.6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Tools, equipment and testing devi</w:t>
            </w:r>
            <w:r w:rsidRPr="006A1B2B">
              <w:t>ces needed for maintenance work are obtained in accordance with workplace procedures and checked for correct operation and safety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1.7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Authorisation to take temporarily out of service or disable systems is obtained in accordance with workplace procedures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 w:rsidP="006A1B2B">
            <w:pPr>
              <w:pStyle w:val="BodyText"/>
            </w:pPr>
            <w:r w:rsidRPr="006A1B2B">
              <w:rPr>
                <w:rStyle w:val="SpecialBold"/>
              </w:rPr>
              <w:t>2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 w:rsidP="006A1B2B">
            <w:pPr>
              <w:pStyle w:val="BodyText"/>
            </w:pPr>
            <w:r w:rsidRPr="006A1B2B">
              <w:rPr>
                <w:rStyle w:val="SpecialBold"/>
              </w:rPr>
              <w:t>Maintain CBI rail system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2.1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WHS/OHS risk control measures and workplace procedures for carrying out the work are followed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2.2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On-track safe working requirements are identified and applied in accordance with workplace procedures and safety managemen</w:t>
            </w:r>
            <w:r w:rsidRPr="006A1B2B">
              <w:t xml:space="preserve">t system  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2.3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Reports or fault logs are identified and accessed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2.4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Fault correction activities are prioritised by reviewing the fault reports and previous corrective actions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2.5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Records of previously corrective actioned faults are managed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2.6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Source of the fault is identified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2.7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Corrective action required is determined and implemented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2.8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Checking that the CBI has the correct version of the signalling data and software is completed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2.9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System is checked for the correct version of signalling data and software if applicable part of the CBI equipment is replaced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2.10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Appropriate mechanisms for the safe and efficient rectification of the fault are determined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2.11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Methods for dealing wi</w:t>
            </w:r>
            <w:r w:rsidRPr="006A1B2B">
              <w:t>th unplanned situations are determined on the basis of safety and specified work outcomes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2.12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 xml:space="preserve">Rail system monitoring is conducted efficiently, without waste of materials or damage to apparatus, the surrounding environment or services using </w:t>
            </w:r>
            <w:r w:rsidRPr="006A1B2B">
              <w:t>sustainable energy practices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2.13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Replacement equipment is obtained from spare stock a required to comply with identified fault repair requirements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2.14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 xml:space="preserve">Faulty component/equipment is identified and removed as required in accordance with organisation </w:t>
            </w:r>
            <w:r w:rsidRPr="006A1B2B">
              <w:t>practices and procedures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2.15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Replacement component/equipment is installed and connected to power in accordance with manufacturer specifications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2.16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Correct test procedures are identified and implemented to confirm all operations are within specific</w:t>
            </w:r>
            <w:r w:rsidRPr="006A1B2B">
              <w:t>ations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2.17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Equipment operations are monitored to ensure system integrity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2.18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Signal and voltage levels are monitored, checked and adjusted, as required, in accordance with operational requirements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2.19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Completed records and equipment/operational management information are accurately recorded and maintained to support ongoing monitoring of systems and equipment performance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 w:rsidP="006A1B2B">
            <w:pPr>
              <w:pStyle w:val="BodyText"/>
            </w:pPr>
            <w:r w:rsidRPr="006A1B2B">
              <w:rPr>
                <w:rStyle w:val="SpecialBold"/>
              </w:rPr>
              <w:t>3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 w:rsidP="006A1B2B">
            <w:pPr>
              <w:pStyle w:val="BodyText"/>
            </w:pPr>
            <w:r w:rsidRPr="006A1B2B">
              <w:rPr>
                <w:rStyle w:val="SpecialBold"/>
              </w:rPr>
              <w:t>Complete CBI rail system maintenance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3.1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WHS/OHS risk control work completion me</w:t>
            </w:r>
            <w:r w:rsidRPr="006A1B2B">
              <w:t>asures and workplace procedures are followed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3.2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Confirmation that system is functional and that no alarms are present or indicated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3.3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On-track safe working requirements are removed in accordance with workplace procedures and safety management system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3.4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Non-conforming equipment is identified and tagged for repair type and extent of fault is identified and recorded, as required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3.5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Faulty equipment requiring repair is segregated as required and appropriate records are completed in preparation for despatching to repairer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3.6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Spare equipment stocks are reviewed to ensure adequate availability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3.7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t>Priority for repair and/or replacement of equipment is determined in consultation with authorised person by evaluation of stock levels and fault logs</w:t>
            </w:r>
          </w:p>
        </w:tc>
      </w:tr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2B">
            <w:pPr>
              <w:pStyle w:val="BodyText"/>
              <w:rPr>
                <w:lang w:val="en-NZ"/>
              </w:rPr>
            </w:pPr>
            <w:r w:rsidRPr="006A1B2B">
              <w:rPr>
                <w:rStyle w:val="SpecialBold"/>
              </w:rPr>
              <w:t>3.8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 w:rsidP="006A1B2B">
            <w:pPr>
              <w:pStyle w:val="BodyText"/>
            </w:pPr>
            <w:r w:rsidRPr="006A1B2B">
              <w:t>Work completion is documented and appropriate person/s notified of repair and replacement prioritie</w:t>
            </w:r>
            <w:r w:rsidRPr="006A1B2B">
              <w:t>s in accordance with workplace procedures and relevant reports produced</w:t>
            </w:r>
          </w:p>
        </w:tc>
      </w:tr>
    </w:tbl>
    <w:p w:rsidR="00000000" w:rsidRPr="006A1B2B" w:rsidP="006A1B2B">
      <w:pPr>
        <w:pStyle w:val="NoPaddingFontSize1"/>
      </w:pPr>
    </w:p>
    <w:p w:rsidR="00000000" w:rsidRPr="006A1B2B" w:rsidP="006A1B2B">
      <w:pPr>
        <w:pStyle w:val="AllowPageBreak"/>
      </w:pPr>
    </w:p>
    <w:p w:rsidR="00000000" w:rsidRPr="006A1B2B" w:rsidP="006A1B2B">
      <w:pPr>
        <w:pStyle w:val="Heading1"/>
      </w:pPr>
      <w:bookmarkStart w:id="7" w:name="O_1267446"/>
      <w:bookmarkEnd w:id="7"/>
      <w:r w:rsidRPr="006A1B2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 w:rsidP="006A1B2B">
            <w:pPr>
              <w:pStyle w:val="BodyText"/>
            </w:pPr>
            <w:r w:rsidRPr="006A1B2B">
              <w:t>Foundation skills essential to performance are explicit in the performance criteria of this unit of competency.</w:t>
            </w:r>
          </w:p>
        </w:tc>
      </w:tr>
    </w:tbl>
    <w:p w:rsidR="00000000" w:rsidRPr="006A1B2B" w:rsidP="006A1B2B">
      <w:pPr>
        <w:pStyle w:val="NoPaddingFontSize1"/>
      </w:pPr>
    </w:p>
    <w:p w:rsidR="00000000" w:rsidRPr="006A1B2B" w:rsidP="006A1B2B">
      <w:pPr>
        <w:pStyle w:val="AllowPageBreak"/>
      </w:pPr>
    </w:p>
    <w:p w:rsidR="00000000" w:rsidRPr="006A1B2B" w:rsidP="006A1B2B">
      <w:pPr>
        <w:pStyle w:val="Heading1"/>
      </w:pPr>
      <w:bookmarkStart w:id="8" w:name="O_1267447"/>
      <w:bookmarkEnd w:id="8"/>
      <w:r w:rsidRPr="006A1B2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 w:rsidP="006A1B2B">
            <w:pPr>
              <w:pStyle w:val="BodyText"/>
            </w:pPr>
            <w:r w:rsidRPr="006A1B2B">
              <w:t>Range is restricted to essential operating conditions and any other variables essential to the work environment.</w:t>
            </w:r>
          </w:p>
          <w:p w:rsidR="00000000" w:rsidRPr="006A1B2B" w:rsidP="006A1B2B">
            <w:pPr>
              <w:pStyle w:val="BodyText"/>
            </w:pPr>
            <w:r w:rsidRPr="006A1B2B">
              <w:t>Non-essential conditions may be found in the UEE Electrotechnology Training Package Companion Volume Implementation Guide.</w:t>
            </w:r>
          </w:p>
        </w:tc>
      </w:tr>
    </w:tbl>
    <w:p w:rsidR="00000000" w:rsidRPr="006A1B2B" w:rsidP="006A1B2B">
      <w:pPr>
        <w:pStyle w:val="NoPaddingFontSize1"/>
      </w:pPr>
    </w:p>
    <w:p w:rsidR="00000000" w:rsidRPr="006A1B2B" w:rsidP="006A1B2B">
      <w:pPr>
        <w:pStyle w:val="AllowPageBreak"/>
      </w:pPr>
    </w:p>
    <w:p w:rsidR="00000000" w:rsidRPr="006A1B2B" w:rsidP="006A1B2B">
      <w:pPr>
        <w:pStyle w:val="Heading1"/>
      </w:pPr>
      <w:bookmarkStart w:id="9" w:name="O_1267448"/>
      <w:bookmarkEnd w:id="9"/>
      <w:r w:rsidRPr="006A1B2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2B" w:rsidP="006A1B2B">
            <w:pPr>
              <w:pStyle w:val="BodyText"/>
            </w:pPr>
            <w:r w:rsidRPr="006A1B2B">
              <w:t>This unit replaces and is equivalent to UEERS0006 Install and maintain computer based interlocking rail systems.</w:t>
            </w:r>
          </w:p>
        </w:tc>
      </w:tr>
    </w:tbl>
    <w:p w:rsidR="00000000" w:rsidRPr="006A1B2B" w:rsidP="006A1B2B">
      <w:pPr>
        <w:pStyle w:val="NoPaddingFontSize1"/>
      </w:pPr>
    </w:p>
    <w:p w:rsidR="00000000" w:rsidRPr="006A1B2B" w:rsidP="006A1B2B">
      <w:pPr>
        <w:pStyle w:val="AllowPageBreak"/>
      </w:pPr>
    </w:p>
    <w:p w:rsidR="00000000" w:rsidRPr="006A1B2B" w:rsidP="006A1B2B">
      <w:pPr>
        <w:pStyle w:val="Heading1"/>
      </w:pPr>
      <w:bookmarkStart w:id="10" w:name="O_1267455"/>
      <w:bookmarkEnd w:id="10"/>
      <w:r w:rsidRPr="006A1B2B">
        <w:t>Links</w:t>
      </w:r>
    </w:p>
    <w:p w:rsidR="00000000" w:rsidRPr="006A1B2B" w:rsidP="00B27B56">
      <w:pPr>
        <w:pStyle w:val="BodyText"/>
      </w:pPr>
      <w:r w:rsidRPr="006A1B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80F9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A1B2B" w:rsidP="006A1B2B"/>
    <w:sectPr w:rsidSect="006A1B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B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B2B" w:rsidRPr="00B27B56" w:rsidP="00B27B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B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B56" w:rsidP="006A1B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7B56" w:rsidP="006A1B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27B56" w:rsidP="006A1B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B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B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1B2B" w:rsidRPr="00B27B56" w:rsidP="00B27B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B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B56" w:rsidRPr="002D2AF8" w:rsidP="006A1B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UEERS0027 Maintain computer-based interlocking rail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B27B56" w:rsidP="006A1B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EAE2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A45D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B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1B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1B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1B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1B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1B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1B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1B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1B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1B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1B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1B2B"/>
  </w:style>
  <w:style w:type="character" w:customStyle="1" w:styleId="Heading1Char">
    <w:name w:val="Heading 1 Char"/>
    <w:basedOn w:val="DefaultParagraphFont"/>
    <w:link w:val="Heading1"/>
    <w:rsid w:val="006A1B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1B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1B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1B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1B2B"/>
    <w:rPr>
      <w:b/>
      <w:spacing w:val="0"/>
    </w:rPr>
  </w:style>
  <w:style w:type="paragraph" w:customStyle="1" w:styleId="SuperHeading">
    <w:name w:val="SuperHeading"/>
    <w:basedOn w:val="Normal"/>
    <w:rsid w:val="006A1B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1B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1B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1B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1B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1B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1B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1B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1B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1B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1B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1B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1B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1B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1B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1B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1B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1B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1B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1B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1B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1B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1B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1B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1B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1B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1B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1B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1B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1B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1B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1B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1B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1B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1B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1B2B"/>
    <w:rPr>
      <w:i/>
    </w:rPr>
  </w:style>
  <w:style w:type="paragraph" w:styleId="Caption">
    <w:name w:val="caption"/>
    <w:basedOn w:val="BodyText"/>
    <w:next w:val="Normal"/>
    <w:qFormat/>
    <w:rsid w:val="006A1B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1B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1B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1B2B"/>
  </w:style>
  <w:style w:type="paragraph" w:styleId="TableofFigures">
    <w:name w:val="table of figures"/>
    <w:basedOn w:val="Normal"/>
    <w:next w:val="Normal"/>
    <w:semiHidden/>
    <w:rsid w:val="006A1B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1B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1B2B"/>
    <w:rPr>
      <w:rFonts w:ascii="Wingdings" w:hAnsi="Wingdings"/>
    </w:rPr>
  </w:style>
  <w:style w:type="paragraph" w:customStyle="1" w:styleId="TableHeading">
    <w:name w:val="Table Heading"/>
    <w:basedOn w:val="HeadingBase"/>
    <w:rsid w:val="006A1B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1B2B"/>
    <w:rPr>
      <w:color w:val="0033CC"/>
      <w:u w:val="none"/>
    </w:rPr>
  </w:style>
  <w:style w:type="paragraph" w:customStyle="1" w:styleId="BodyTextRight">
    <w:name w:val="Body Text Right"/>
    <w:basedOn w:val="BodyText"/>
    <w:rsid w:val="006A1B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1B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1B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1B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1B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1B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1B2B"/>
    <w:rPr>
      <w:sz w:val="32"/>
    </w:rPr>
  </w:style>
  <w:style w:type="paragraph" w:customStyle="1" w:styleId="HeadingProcedure">
    <w:name w:val="Heading Procedure"/>
    <w:basedOn w:val="HeadingBase"/>
    <w:next w:val="Normal"/>
    <w:rsid w:val="006A1B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1B2B"/>
    <w:pPr>
      <w:spacing w:before="60" w:after="60"/>
    </w:pPr>
  </w:style>
  <w:style w:type="paragraph" w:styleId="ListContinue">
    <w:name w:val="List Continue"/>
    <w:basedOn w:val="List"/>
    <w:rsid w:val="006A1B2B"/>
    <w:pPr>
      <w:ind w:firstLine="0"/>
    </w:pPr>
  </w:style>
  <w:style w:type="paragraph" w:customStyle="1" w:styleId="ListNote">
    <w:name w:val="List Note"/>
    <w:basedOn w:val="List"/>
    <w:rsid w:val="006A1B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1B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1B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1B2B"/>
    <w:rPr>
      <w:rFonts w:ascii="Courier New" w:hAnsi="Courier New"/>
    </w:rPr>
  </w:style>
  <w:style w:type="paragraph" w:customStyle="1" w:styleId="NoteBullet">
    <w:name w:val="Note Bullet"/>
    <w:basedOn w:val="Note"/>
    <w:rsid w:val="006A1B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1B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1B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1B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1B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1B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1B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1B2B"/>
    <w:rPr>
      <w:b/>
      <w:smallCaps/>
    </w:rPr>
  </w:style>
  <w:style w:type="paragraph" w:customStyle="1" w:styleId="TableListNumber">
    <w:name w:val="Table List Number"/>
    <w:basedOn w:val="ListNumber"/>
    <w:rsid w:val="006A1B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1B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1B2B"/>
    <w:pPr>
      <w:numPr>
        <w:numId w:val="8"/>
      </w:numPr>
    </w:pPr>
  </w:style>
  <w:style w:type="paragraph" w:customStyle="1" w:styleId="ListAlpha2">
    <w:name w:val="List Alpha 2"/>
    <w:basedOn w:val="List2"/>
    <w:rsid w:val="006A1B2B"/>
    <w:pPr>
      <w:numPr>
        <w:numId w:val="7"/>
      </w:numPr>
    </w:pPr>
  </w:style>
  <w:style w:type="paragraph" w:styleId="List2">
    <w:name w:val="List 2"/>
    <w:basedOn w:val="BodyText"/>
    <w:rsid w:val="006A1B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1B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1B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1B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1B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1B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1B2B"/>
    <w:pPr>
      <w:numPr>
        <w:numId w:val="3"/>
      </w:numPr>
    </w:pPr>
  </w:style>
  <w:style w:type="paragraph" w:styleId="ListContinue2">
    <w:name w:val="List Continue 2"/>
    <w:basedOn w:val="List2"/>
    <w:rsid w:val="006A1B2B"/>
    <w:pPr>
      <w:ind w:firstLine="0"/>
    </w:pPr>
  </w:style>
  <w:style w:type="paragraph" w:styleId="ListContinue3">
    <w:name w:val="List Continue 3"/>
    <w:basedOn w:val="List3"/>
    <w:rsid w:val="006A1B2B"/>
    <w:pPr>
      <w:ind w:left="1021" w:firstLine="0"/>
    </w:pPr>
  </w:style>
  <w:style w:type="paragraph" w:styleId="ListContinue4">
    <w:name w:val="List Continue 4"/>
    <w:basedOn w:val="List4"/>
    <w:rsid w:val="006A1B2B"/>
    <w:pPr>
      <w:ind w:firstLine="0"/>
    </w:pPr>
  </w:style>
  <w:style w:type="paragraph" w:styleId="ListContinue5">
    <w:name w:val="List Continue 5"/>
    <w:basedOn w:val="List5"/>
    <w:rsid w:val="006A1B2B"/>
    <w:pPr>
      <w:ind w:firstLine="0"/>
    </w:pPr>
  </w:style>
  <w:style w:type="paragraph" w:styleId="ListNumber3">
    <w:name w:val="List Number 3"/>
    <w:basedOn w:val="List3"/>
    <w:rsid w:val="006A1B2B"/>
    <w:pPr>
      <w:numPr>
        <w:numId w:val="4"/>
      </w:numPr>
    </w:pPr>
  </w:style>
  <w:style w:type="paragraph" w:styleId="ListNumber4">
    <w:name w:val="List Number 4"/>
    <w:basedOn w:val="List4"/>
    <w:rsid w:val="006A1B2B"/>
    <w:pPr>
      <w:numPr>
        <w:numId w:val="5"/>
      </w:numPr>
    </w:pPr>
  </w:style>
  <w:style w:type="paragraph" w:styleId="ListNumber5">
    <w:name w:val="List Number 5"/>
    <w:basedOn w:val="List5"/>
    <w:rsid w:val="006A1B2B"/>
    <w:pPr>
      <w:numPr>
        <w:numId w:val="6"/>
      </w:numPr>
    </w:pPr>
  </w:style>
  <w:style w:type="paragraph" w:styleId="BlockText">
    <w:name w:val="Block Text"/>
    <w:basedOn w:val="Normal"/>
    <w:rsid w:val="006A1B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1B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1B2B"/>
    <w:rPr>
      <w:sz w:val="16"/>
      <w:vertAlign w:val="superscript"/>
    </w:rPr>
  </w:style>
  <w:style w:type="character" w:customStyle="1" w:styleId="Symbols">
    <w:name w:val="Symbols"/>
    <w:basedOn w:val="DefaultParagraphFont"/>
    <w:rsid w:val="006A1B2B"/>
    <w:rPr>
      <w:rFonts w:ascii="Symbol" w:hAnsi="Symbol"/>
    </w:rPr>
  </w:style>
  <w:style w:type="character" w:customStyle="1" w:styleId="MenuOptions">
    <w:name w:val="Menu Options"/>
    <w:basedOn w:val="DefaultParagraphFont"/>
    <w:rsid w:val="006A1B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1B2B"/>
    <w:rPr>
      <w:b/>
    </w:rPr>
  </w:style>
  <w:style w:type="character" w:customStyle="1" w:styleId="Underlined">
    <w:name w:val="Underlined"/>
    <w:basedOn w:val="DefaultParagraphFont"/>
    <w:rsid w:val="006A1B2B"/>
    <w:rPr>
      <w:u w:val="single"/>
    </w:rPr>
  </w:style>
  <w:style w:type="paragraph" w:customStyle="1" w:styleId="TableBodyTextRight">
    <w:name w:val="Table Body Text Right"/>
    <w:basedOn w:val="TableBodyText"/>
    <w:rsid w:val="006A1B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1B2B"/>
    <w:rPr>
      <w:sz w:val="18"/>
    </w:rPr>
  </w:style>
  <w:style w:type="paragraph" w:customStyle="1" w:styleId="BodySmallRight">
    <w:name w:val="Body Small Right"/>
    <w:basedOn w:val="BodyTextRight"/>
    <w:rsid w:val="006A1B2B"/>
    <w:rPr>
      <w:sz w:val="18"/>
      <w:szCs w:val="18"/>
    </w:rPr>
  </w:style>
  <w:style w:type="paragraph" w:customStyle="1" w:styleId="MarginEdition">
    <w:name w:val="Margin Edition"/>
    <w:basedOn w:val="MarginNote"/>
    <w:rsid w:val="006A1B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1B2B"/>
    <w:rPr>
      <w:sz w:val="2"/>
      <w:szCs w:val="2"/>
    </w:rPr>
  </w:style>
  <w:style w:type="character" w:customStyle="1" w:styleId="Small">
    <w:name w:val="Small"/>
    <w:basedOn w:val="DefaultParagraphFont"/>
    <w:rsid w:val="006A1B2B"/>
    <w:rPr>
      <w:sz w:val="16"/>
    </w:rPr>
  </w:style>
  <w:style w:type="paragraph" w:customStyle="1" w:styleId="WideTable">
    <w:name w:val="Wide Table"/>
    <w:basedOn w:val="Normal"/>
    <w:rsid w:val="006A1B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1B2B"/>
  </w:style>
  <w:style w:type="paragraph" w:styleId="Quote">
    <w:name w:val="Quote"/>
    <w:basedOn w:val="Heading1"/>
    <w:link w:val="QuoteChar"/>
    <w:qFormat/>
    <w:rsid w:val="006A1B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1B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1B2B"/>
    <w:pPr>
      <w:pageBreakBefore/>
    </w:pPr>
  </w:style>
  <w:style w:type="paragraph" w:customStyle="1" w:styleId="Border">
    <w:name w:val="Border"/>
    <w:basedOn w:val="Normal"/>
    <w:qFormat/>
    <w:rsid w:val="006A1B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1B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B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B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1B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1B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1B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1B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1B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1B2B"/>
    <w:rPr>
      <w:u w:val="single"/>
    </w:rPr>
  </w:style>
  <w:style w:type="character" w:customStyle="1" w:styleId="BoldandItalics">
    <w:name w:val="Bold and Italics"/>
    <w:qFormat/>
    <w:rsid w:val="006A1B2B"/>
    <w:rPr>
      <w:b/>
      <w:i/>
      <w:u w:val="none"/>
    </w:rPr>
  </w:style>
  <w:style w:type="paragraph" w:styleId="BalloonText">
    <w:name w:val="Balloon Text"/>
    <w:basedOn w:val="Normal"/>
    <w:link w:val="BalloonTextChar"/>
    <w:rsid w:val="006A1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1B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1B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1B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1B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1B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1B2B"/>
    <w:pPr>
      <w:spacing w:before="0" w:after="0"/>
    </w:pPr>
  </w:style>
  <w:style w:type="paragraph" w:customStyle="1" w:styleId="BodyTextBold">
    <w:name w:val="Body Text Bold"/>
    <w:basedOn w:val="BodyText"/>
    <w:qFormat/>
    <w:rsid w:val="006A1B2B"/>
    <w:rPr>
      <w:b/>
    </w:rPr>
  </w:style>
  <w:style w:type="character" w:styleId="Hyperlink">
    <w:name w:val="Hyperlink"/>
    <w:basedOn w:val="DefaultParagraphFont"/>
    <w:uiPriority w:val="99"/>
    <w:unhideWhenUsed/>
    <w:rsid w:val="00B27B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930</Words>
  <Characters>5922</Characters>
  <Application>Microsoft Office Word</Application>
  <DocSecurity>0</DocSecurity>
  <Lines>296</Lines>
  <Paragraphs>137</Paragraphs>
  <ScaleCrop>false</ScaleCrop>
  <Company>Author-it Software Corporation Ltd.</Company>
  <LinksUpToDate>false</LinksUpToDate>
  <CharactersWithSpaces>6715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UEERS0027 Maintain computer-based interlocking rail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2024-11-29T01:08:00Z</dcterms:created>
  <dcterms:modified xsi:type="dcterms:W3CDTF">2024-11-29T01:08:00Z</dcterms:modified>
</cp:coreProperties>
</file>