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304" w:rsidP="00015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UEERS0021 Assemble and wire electrical rail signalling equipment</w:t>
      </w:r>
      <w:r>
        <w:fldChar w:fldCharType="end"/>
      </w:r>
    </w:p>
    <w:p w:rsidR="00015304" w:rsidP="00015304">
      <w:pPr>
        <w:pStyle w:val="Version"/>
        <w:sectPr w:rsidSect="00DD2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EFB" w:rsidP="00DD2EFB">
      <w:pPr>
        <w:pStyle w:val="SuperHeading"/>
      </w:pPr>
      <w:r w:rsidRPr="00DD2EFB">
        <w:t>UEERS0021 Assemble and wire electrical rail signalling equipment</w:t>
      </w:r>
    </w:p>
    <w:p w:rsidR="00000000" w:rsidRPr="00DD2EFB" w:rsidP="00DD2EFB">
      <w:pPr>
        <w:pStyle w:val="Heading1"/>
      </w:pPr>
      <w:bookmarkStart w:id="1" w:name="O_1267308"/>
      <w:bookmarkEnd w:id="1"/>
      <w:r w:rsidRPr="00DD2E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t>Release 1. This is the first release of this unit of competency in the UEE Electrotechnology Training Package.</w:t>
            </w:r>
          </w:p>
          <w:p w:rsidR="00000000" w:rsidRPr="00DD2EFB" w:rsidP="00DD2EFB">
            <w:pPr>
              <w:pStyle w:val="BodyText"/>
            </w:pPr>
            <w:r w:rsidRPr="00DD2EFB">
              <w:t>This unit replaces and is not equivalent to UEERS0001 Assemble and wire internal electrical rail signalling equipment.</w:t>
            </w:r>
          </w:p>
          <w:p w:rsidR="00000000" w:rsidRPr="00DD2EFB" w:rsidP="00DD2EFB">
            <w:pPr>
              <w:pStyle w:val="BodyText"/>
            </w:pPr>
            <w:r w:rsidRPr="00DD2EFB">
              <w:t>Modifications in the second release of this unit of competency in the UEE Electrotechnology Training Package include:</w:t>
            </w:r>
          </w:p>
          <w:p w:rsidR="00000000" w:rsidRPr="00DD2EFB" w:rsidP="00DD2EFB">
            <w:pPr>
              <w:pStyle w:val="ListBullet"/>
            </w:pPr>
            <w:r w:rsidRPr="00DD2EFB">
              <w:t>Title changed.</w:t>
            </w:r>
          </w:p>
          <w:p w:rsidR="00000000" w:rsidRPr="00DD2EFB" w:rsidP="00DD2EFB">
            <w:pPr>
              <w:pStyle w:val="ListBullet"/>
            </w:pPr>
            <w:r w:rsidRPr="00DD2EFB">
              <w:t>App</w:t>
            </w:r>
            <w:r w:rsidRPr="00DD2EFB">
              <w:t>lication updated to reflect title change.</w:t>
            </w:r>
          </w:p>
          <w:p w:rsidR="00000000" w:rsidRPr="00DD2EFB" w:rsidP="00DD2EFB">
            <w:pPr>
              <w:pStyle w:val="ListBullet"/>
            </w:pPr>
            <w:r w:rsidRPr="00DD2EFB">
              <w:t>UEERS0020 added to prerequisites.</w:t>
            </w:r>
          </w:p>
          <w:p w:rsidR="00000000" w:rsidRPr="00DD2EFB" w:rsidP="00DD2EFB">
            <w:pPr>
              <w:pStyle w:val="ListBullet"/>
            </w:pPr>
            <w:r w:rsidRPr="00DD2EFB">
              <w:t>Element titles and performance criteria amended to reflect title change.</w:t>
            </w:r>
          </w:p>
          <w:p w:rsidR="00000000" w:rsidRPr="00DD2EFB" w:rsidP="00DD2EFB">
            <w:pPr>
              <w:pStyle w:val="ListBullet"/>
            </w:pPr>
            <w:r w:rsidRPr="00DD2EFB">
              <w:t>Performance criteria 3.5 added.</w:t>
            </w:r>
          </w:p>
          <w:p w:rsidR="00000000" w:rsidRPr="00DD2EFB" w:rsidP="00DD2EFB">
            <w:pPr>
              <w:pStyle w:val="ListBullet"/>
            </w:pPr>
            <w:r w:rsidRPr="00DD2EFB">
              <w:t>Performance evidence updated for clarity.</w:t>
            </w:r>
          </w:p>
          <w:p w:rsidR="00000000" w:rsidRPr="00DD2EFB" w:rsidP="00DD2EFB">
            <w:pPr>
              <w:pStyle w:val="ListBullet"/>
            </w:pPr>
            <w:r w:rsidRPr="00DD2EFB">
              <w:t>Content related to inverters in K</w:t>
            </w:r>
            <w:r w:rsidRPr="00DD2EFB">
              <w:t>nowledge Evidence moved to a different unit.</w:t>
            </w:r>
          </w:p>
          <w:p w:rsidR="00000000" w:rsidRPr="00DD2EFB" w:rsidP="00DD2EFB">
            <w:pPr>
              <w:pStyle w:val="ListBullet"/>
            </w:pPr>
            <w:r w:rsidRPr="00DD2EFB">
              <w:t>Minor text amendments made to assessment conditions.</w:t>
            </w:r>
          </w:p>
        </w:tc>
      </w:tr>
    </w:tbl>
    <w:p w:rsidR="00000000" w:rsidRPr="00DD2EFB" w:rsidP="00DD2EFB">
      <w:pPr>
        <w:pStyle w:val="NoPaddingFontSize1"/>
      </w:pPr>
    </w:p>
    <w:p w:rsidR="00000000" w:rsidRPr="00DD2EFB" w:rsidP="00DD2EFB">
      <w:pPr>
        <w:pStyle w:val="AllowPageBreak"/>
      </w:pPr>
    </w:p>
    <w:p w:rsidR="00000000" w:rsidRPr="00DD2EFB" w:rsidP="00DD2EFB">
      <w:pPr>
        <w:pStyle w:val="Heading1"/>
      </w:pPr>
      <w:bookmarkStart w:id="2" w:name="O_1267309"/>
      <w:bookmarkEnd w:id="2"/>
      <w:r w:rsidRPr="00DD2E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t>This unit involves the skills and knowledge required to assemble and wire electrical rail signalling equipment.</w:t>
            </w:r>
          </w:p>
          <w:p w:rsidR="00000000" w:rsidRPr="00DD2EFB" w:rsidP="00DD2EFB">
            <w:pPr>
              <w:pStyle w:val="BodyText"/>
            </w:pPr>
            <w:r w:rsidRPr="00DD2EFB">
              <w:t>It includes relevant workplace procedures for: assembling and mounting components, performing wiring, terminating cables, and wiring to comply with signalling designs and standards.</w:t>
            </w:r>
          </w:p>
          <w:p w:rsidR="00000000" w:rsidRPr="00DD2EFB" w:rsidP="00DD2EFB">
            <w:pPr>
              <w:pStyle w:val="BodyText"/>
            </w:pPr>
            <w:r w:rsidRPr="00DD2EFB">
              <w:t>Persons achieving competence in this unit will need to fulfil the applicab</w:t>
            </w:r>
            <w:r w:rsidRPr="00DD2EFB">
              <w:t>le state/territory legislated rail safety requirements and to comply with relevant codes of practice, rules and/or guidelines.</w:t>
            </w:r>
          </w:p>
          <w:p w:rsidR="00000000" w:rsidRPr="00DD2EFB" w:rsidP="00DD2EFB">
            <w:pPr>
              <w:pStyle w:val="BodyText"/>
            </w:pPr>
            <w:r w:rsidRPr="00DD2EFB">
              <w:t>No other licensing, legislative or certification requirements apply to this unit at the time of publication.</w:t>
            </w:r>
          </w:p>
        </w:tc>
      </w:tr>
    </w:tbl>
    <w:p w:rsidR="00000000" w:rsidRPr="00DD2EFB" w:rsidP="00DD2EFB">
      <w:pPr>
        <w:pStyle w:val="NoPaddingFontSize1"/>
      </w:pPr>
    </w:p>
    <w:p w:rsidR="00000000" w:rsidRPr="00DD2EFB" w:rsidP="00DD2EFB">
      <w:pPr>
        <w:pStyle w:val="AllowPageBreak"/>
      </w:pPr>
    </w:p>
    <w:p w:rsidR="00000000" w:rsidRPr="00DD2EFB" w:rsidP="00DD2EFB">
      <w:pPr>
        <w:pStyle w:val="Heading1"/>
      </w:pPr>
      <w:bookmarkStart w:id="3" w:name="O_1267310"/>
      <w:bookmarkEnd w:id="3"/>
      <w:r w:rsidRPr="00DD2E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t>UEEEL0003 Arrange circuits, control and protection for general electrical installations</w:t>
            </w:r>
          </w:p>
          <w:p w:rsidR="00000000" w:rsidRPr="00DD2EFB" w:rsidP="00DD2EFB">
            <w:pPr>
              <w:pStyle w:val="BodyText"/>
            </w:pPr>
            <w:r w:rsidRPr="00DD2EFB">
              <w:t>UEERS0020 Apply rail signalling principles</w:t>
            </w:r>
          </w:p>
        </w:tc>
      </w:tr>
    </w:tbl>
    <w:p w:rsidR="00000000" w:rsidRPr="00DD2EFB" w:rsidP="00DD2EFB">
      <w:pPr>
        <w:pStyle w:val="NoPaddingFontSize1"/>
      </w:pPr>
    </w:p>
    <w:p w:rsidR="00000000" w:rsidRPr="00DD2EFB" w:rsidP="00DD2EFB">
      <w:pPr>
        <w:pStyle w:val="AllowPageBreak"/>
      </w:pPr>
    </w:p>
    <w:p w:rsidR="00000000" w:rsidRPr="00DD2EFB" w:rsidP="00DD2EFB">
      <w:pPr>
        <w:pStyle w:val="Heading1"/>
      </w:pPr>
      <w:bookmarkStart w:id="4" w:name="O_1267311"/>
      <w:bookmarkEnd w:id="4"/>
      <w:r w:rsidRPr="00DD2E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t>Rail Signalling</w:t>
            </w:r>
          </w:p>
        </w:tc>
      </w:tr>
    </w:tbl>
    <w:p w:rsidR="00000000" w:rsidRPr="00DD2EFB" w:rsidP="00DD2EFB">
      <w:pPr>
        <w:pStyle w:val="NoPaddingFontSize1"/>
      </w:pPr>
    </w:p>
    <w:p w:rsidR="00000000" w:rsidRPr="00DD2EFB" w:rsidP="00DD2EFB">
      <w:pPr>
        <w:pStyle w:val="AllowPageBreak"/>
      </w:pPr>
    </w:p>
    <w:p w:rsidR="00000000" w:rsidRPr="00DD2EFB" w:rsidP="00DD2EFB">
      <w:pPr>
        <w:pStyle w:val="Heading1"/>
      </w:pPr>
      <w:bookmarkStart w:id="5" w:name="O_1267312"/>
      <w:bookmarkEnd w:id="5"/>
      <w:r w:rsidRPr="00DD2E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t>Electrotechnology</w:t>
            </w:r>
          </w:p>
        </w:tc>
      </w:tr>
    </w:tbl>
    <w:p w:rsidR="00000000" w:rsidRPr="00DD2EFB" w:rsidP="00DD2EFB">
      <w:pPr>
        <w:pStyle w:val="NoPaddingFontSize1"/>
      </w:pPr>
    </w:p>
    <w:p w:rsidR="00000000" w:rsidRPr="00DD2EFB" w:rsidP="00DD2EFB">
      <w:pPr>
        <w:pStyle w:val="AllowPageBreak"/>
      </w:pPr>
    </w:p>
    <w:p w:rsidR="00000000" w:rsidRPr="00DD2EFB" w:rsidP="00DD2EFB">
      <w:pPr>
        <w:pStyle w:val="Heading1"/>
      </w:pPr>
      <w:bookmarkStart w:id="6" w:name="O_1267313"/>
      <w:bookmarkEnd w:id="6"/>
      <w:r w:rsidRPr="00DD2E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PERFORMANCE CRITERIA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Performance criteria describe the performance needed to demonstrate achievement of the element.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rPr>
                <w:rStyle w:val="SpecialBold"/>
              </w:rPr>
              <w:t>Prepare to assemble and wire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Work health and safety (WHS)/occupational health and safety (OHS) requirements and workplace procedures for work area are identified and applied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Hazards are identified, risks assessed, and control measures and workplace procedures are implemented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Safety hazards that have not previously been identified are noted on the job safety assessments and existing risk control measures implemented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1</w:t>
            </w:r>
            <w:r w:rsidRPr="00DD2EFB">
              <w:rPr>
                <w:rStyle w:val="SpecialBold"/>
              </w:rPr>
              <w:t>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Technical requirements relating to specific signalling equipment are obtained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Assembly and wiring are appropriately sequenced in accordance with job schedule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1.6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Appropriate person/</w:t>
            </w:r>
            <w:r w:rsidRPr="00DD2EFB">
              <w:t>s is consulted to ensure work is coordinated effectively with others involved on the worksite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1.7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Materials needed for assembly wiring and cabling are obtained in accordance with workplace procedures and checked against job requirements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1.8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Tools, eq</w:t>
            </w:r>
            <w:r w:rsidRPr="00DD2EFB">
              <w:t>uipment, and testing devices needed to assemble and wire equipment are obtained in accordance with workplace procedures and checked for correct operation and safety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1.9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Rail signalling equipment is prepared for assembly and wiring in accordance with wor</w:t>
            </w:r>
            <w:r w:rsidRPr="00DD2EFB">
              <w:t xml:space="preserve">kplace procedures, </w:t>
            </w:r>
            <w:r w:rsidRPr="00DD2EFB">
              <w:t>drawings/diagrams and relevant specifications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rPr>
                <w:rStyle w:val="SpecialBold"/>
              </w:rPr>
              <w:t>Assemble and wire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WHS/OHS risk control measures and workplace procedures for carrying out the work are followed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Equipment is assembled, wired, connected and labelled to comply with technical standards and job specification requirements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Risk control measures for dealing with unplanned situations are discussed with appropriate person/s and documented in job safety assessments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Unplanned situations are dealt with safely in a manner that minimises risk to personnel and equipment and wi</w:t>
            </w:r>
            <w:r w:rsidRPr="00DD2EFB">
              <w:t>th the approval of authorised person/s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Equipment is assembled, wired, connected and labelled efficiently without waste of materials or damage to apparatus, the surrounding environment or services using sustainable energy practices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rPr>
                <w:rStyle w:val="SpecialBold"/>
              </w:rPr>
              <w:t>Complete assembly and wiring of</w:t>
            </w:r>
            <w:r w:rsidRPr="00DD2EFB">
              <w:t xml:space="preserve"> </w:t>
            </w:r>
            <w:r w:rsidRPr="00DD2EFB">
              <w:rPr>
                <w:rStyle w:val="SpecialBold"/>
              </w:rPr>
              <w:t>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WHS/OHS work completion risk control measures and workplace procedures are followed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Wire and cable terminations are checked in accordance with workplace installation procedures to ensure tight</w:t>
            </w:r>
            <w:r w:rsidRPr="00DD2EFB">
              <w:t>ness and functionality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Continuity and insulation tests are carried out in accordance with workplace test procedures to ensure and verify system standards are met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t>Wiring and cabling diagrams, quality requirements and safety issues are addresse</w:t>
            </w:r>
            <w:r w:rsidRPr="00DD2EFB">
              <w:t>d and relevant reports/documentation are updated and completed in accordance with workplace procedures</w:t>
            </w:r>
          </w:p>
        </w:tc>
      </w:tr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EFB">
            <w:pPr>
              <w:pStyle w:val="BodyText"/>
              <w:rPr>
                <w:lang w:val="en-NZ"/>
              </w:rPr>
            </w:pPr>
            <w:r w:rsidRPr="00DD2EFB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t>Completed signalling equipment is reported and released for independent testing and certification</w:t>
            </w:r>
          </w:p>
        </w:tc>
      </w:tr>
    </w:tbl>
    <w:p w:rsidR="00000000" w:rsidRPr="00DD2EFB" w:rsidP="00DD2EFB">
      <w:pPr>
        <w:pStyle w:val="NoPaddingFontSize1"/>
      </w:pPr>
    </w:p>
    <w:p w:rsidR="00000000" w:rsidRPr="00DD2EFB" w:rsidP="00DD2EFB">
      <w:pPr>
        <w:pStyle w:val="AllowPageBreak"/>
      </w:pPr>
    </w:p>
    <w:p w:rsidR="00000000" w:rsidRPr="00DD2EFB" w:rsidP="00DD2EFB">
      <w:pPr>
        <w:pStyle w:val="Heading1"/>
      </w:pPr>
      <w:bookmarkStart w:id="7" w:name="O_1267314"/>
      <w:bookmarkEnd w:id="7"/>
      <w:r w:rsidRPr="00DD2E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t>Foundation skills essential to performance are explicit in the performance criteria of this unit of competency.</w:t>
            </w:r>
          </w:p>
        </w:tc>
      </w:tr>
    </w:tbl>
    <w:p w:rsidR="00000000" w:rsidRPr="00DD2EFB" w:rsidP="00DD2EFB">
      <w:pPr>
        <w:pStyle w:val="NoPaddingFontSize1"/>
      </w:pPr>
    </w:p>
    <w:p w:rsidR="00000000" w:rsidRPr="00DD2EFB" w:rsidP="00DD2EFB">
      <w:pPr>
        <w:pStyle w:val="AllowPageBreak"/>
      </w:pPr>
    </w:p>
    <w:p w:rsidR="00000000" w:rsidRPr="00DD2EFB" w:rsidP="00DD2EFB">
      <w:pPr>
        <w:pStyle w:val="Heading1"/>
      </w:pPr>
      <w:bookmarkStart w:id="8" w:name="O_1267315"/>
      <w:bookmarkEnd w:id="8"/>
      <w:r w:rsidRPr="00DD2E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t>Range is restricted to essential operating conditions and any other variables essential to the work env</w:t>
            </w:r>
            <w:r w:rsidRPr="00DD2EFB">
              <w:t>ironment.</w:t>
            </w:r>
          </w:p>
          <w:p w:rsidR="00000000" w:rsidRPr="00DD2EFB" w:rsidP="00DD2EFB">
            <w:pPr>
              <w:pStyle w:val="BodyText"/>
            </w:pPr>
            <w:r w:rsidRPr="00DD2EFB">
              <w:t>Non-essential conditions may be found in the UEE Electrotechnology Training Package Companion Volume Implementation Guide.</w:t>
            </w:r>
          </w:p>
        </w:tc>
      </w:tr>
    </w:tbl>
    <w:p w:rsidR="00000000" w:rsidRPr="00DD2EFB" w:rsidP="00DD2EFB">
      <w:pPr>
        <w:pStyle w:val="NoPaddingFontSize1"/>
      </w:pPr>
    </w:p>
    <w:p w:rsidR="00000000" w:rsidRPr="00DD2EFB" w:rsidP="00DD2EFB">
      <w:pPr>
        <w:pStyle w:val="AllowPageBreak"/>
      </w:pPr>
    </w:p>
    <w:p w:rsidR="00000000" w:rsidRPr="00DD2EFB" w:rsidP="00DD2EFB">
      <w:pPr>
        <w:pStyle w:val="Heading1"/>
      </w:pPr>
      <w:bookmarkStart w:id="9" w:name="O_1267316"/>
      <w:bookmarkEnd w:id="9"/>
      <w:r w:rsidRPr="00DD2E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EFB" w:rsidP="00DD2EFB">
            <w:pPr>
              <w:pStyle w:val="BodyText"/>
            </w:pPr>
            <w:r w:rsidRPr="00DD2EFB">
              <w:t>This unit replaces and is not equivalent to UEERS0001 Assemble and wire inter</w:t>
            </w:r>
            <w:r w:rsidRPr="00DD2EFB">
              <w:t>nal electrical rail signalling equipment.</w:t>
            </w:r>
          </w:p>
        </w:tc>
      </w:tr>
    </w:tbl>
    <w:p w:rsidR="00000000" w:rsidRPr="00DD2EFB" w:rsidP="00DD2EFB">
      <w:pPr>
        <w:pStyle w:val="NoPaddingFontSize1"/>
      </w:pPr>
    </w:p>
    <w:p w:rsidR="00000000" w:rsidRPr="00DD2EFB" w:rsidP="00DD2EFB">
      <w:pPr>
        <w:pStyle w:val="AllowPageBreak"/>
      </w:pPr>
    </w:p>
    <w:p w:rsidR="00000000" w:rsidRPr="00DD2EFB" w:rsidP="00DD2EFB">
      <w:pPr>
        <w:pStyle w:val="Heading1"/>
      </w:pPr>
      <w:bookmarkStart w:id="10" w:name="O_1267331"/>
      <w:bookmarkEnd w:id="10"/>
      <w:r w:rsidRPr="00DD2EFB">
        <w:t>Links</w:t>
      </w:r>
    </w:p>
    <w:p w:rsidR="00000000" w:rsidRPr="00DD2EFB" w:rsidP="00015304">
      <w:pPr>
        <w:pStyle w:val="BodyText"/>
      </w:pPr>
      <w:r w:rsidRPr="00DD2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E5B5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D2EFB" w:rsidP="00DD2EFB"/>
    <w:sectPr w:rsidSect="00DD2E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FB" w:rsidRPr="00015304" w:rsidP="00015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04" w:rsidP="00DD2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304" w:rsidP="00DD2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15304" w:rsidP="00DD2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EFB" w:rsidRPr="00015304" w:rsidP="00015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04" w:rsidRPr="002D2AF8" w:rsidP="00DD2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UEERS0021 Assemble and wire electrical rail signalling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15304" w:rsidP="00DD2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52E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00E1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EFB"/>
  </w:style>
  <w:style w:type="character" w:customStyle="1" w:styleId="Heading1Char">
    <w:name w:val="Heading 1 Char"/>
    <w:basedOn w:val="DefaultParagraphFont"/>
    <w:link w:val="Heading1"/>
    <w:rsid w:val="00DD2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E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EFB"/>
    <w:rPr>
      <w:b/>
      <w:spacing w:val="0"/>
    </w:rPr>
  </w:style>
  <w:style w:type="paragraph" w:customStyle="1" w:styleId="SuperHeading">
    <w:name w:val="SuperHeading"/>
    <w:basedOn w:val="Normal"/>
    <w:rsid w:val="00DD2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2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E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EFB"/>
    <w:rPr>
      <w:i/>
    </w:rPr>
  </w:style>
  <w:style w:type="paragraph" w:styleId="Caption">
    <w:name w:val="caption"/>
    <w:basedOn w:val="BodyText"/>
    <w:next w:val="Normal"/>
    <w:qFormat/>
    <w:rsid w:val="00DD2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EFB"/>
  </w:style>
  <w:style w:type="paragraph" w:styleId="TableofFigures">
    <w:name w:val="table of figures"/>
    <w:basedOn w:val="Normal"/>
    <w:next w:val="Normal"/>
    <w:semiHidden/>
    <w:rsid w:val="00DD2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E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2EFB"/>
    <w:rPr>
      <w:rFonts w:ascii="Wingdings" w:hAnsi="Wingdings"/>
    </w:rPr>
  </w:style>
  <w:style w:type="paragraph" w:customStyle="1" w:styleId="TableHeading">
    <w:name w:val="Table Heading"/>
    <w:basedOn w:val="HeadingBase"/>
    <w:rsid w:val="00DD2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EFB"/>
    <w:rPr>
      <w:color w:val="0033CC"/>
      <w:u w:val="none"/>
    </w:rPr>
  </w:style>
  <w:style w:type="paragraph" w:customStyle="1" w:styleId="BodyTextRight">
    <w:name w:val="Body Text Right"/>
    <w:basedOn w:val="BodyText"/>
    <w:rsid w:val="00DD2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E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EFB"/>
    <w:rPr>
      <w:sz w:val="32"/>
    </w:rPr>
  </w:style>
  <w:style w:type="paragraph" w:customStyle="1" w:styleId="HeadingProcedure">
    <w:name w:val="Heading Procedure"/>
    <w:basedOn w:val="HeadingBase"/>
    <w:next w:val="Normal"/>
    <w:rsid w:val="00DD2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EFB"/>
    <w:pPr>
      <w:spacing w:before="60" w:after="60"/>
    </w:pPr>
  </w:style>
  <w:style w:type="paragraph" w:styleId="ListContinue">
    <w:name w:val="List Continue"/>
    <w:basedOn w:val="List"/>
    <w:rsid w:val="00DD2EFB"/>
    <w:pPr>
      <w:ind w:firstLine="0"/>
    </w:pPr>
  </w:style>
  <w:style w:type="paragraph" w:customStyle="1" w:styleId="ListNote">
    <w:name w:val="List Note"/>
    <w:basedOn w:val="List"/>
    <w:rsid w:val="00DD2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EFB"/>
    <w:rPr>
      <w:rFonts w:ascii="Courier New" w:hAnsi="Courier New"/>
    </w:rPr>
  </w:style>
  <w:style w:type="paragraph" w:customStyle="1" w:styleId="NoteBullet">
    <w:name w:val="Note Bullet"/>
    <w:basedOn w:val="Note"/>
    <w:rsid w:val="00DD2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E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2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EFB"/>
    <w:rPr>
      <w:b/>
      <w:smallCaps/>
    </w:rPr>
  </w:style>
  <w:style w:type="paragraph" w:customStyle="1" w:styleId="TableListNumber">
    <w:name w:val="Table List Number"/>
    <w:basedOn w:val="ListNumber"/>
    <w:rsid w:val="00DD2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EFB"/>
    <w:pPr>
      <w:numPr>
        <w:numId w:val="8"/>
      </w:numPr>
    </w:pPr>
  </w:style>
  <w:style w:type="paragraph" w:customStyle="1" w:styleId="ListAlpha2">
    <w:name w:val="List Alpha 2"/>
    <w:basedOn w:val="List2"/>
    <w:rsid w:val="00DD2EFB"/>
    <w:pPr>
      <w:numPr>
        <w:numId w:val="7"/>
      </w:numPr>
    </w:pPr>
  </w:style>
  <w:style w:type="paragraph" w:styleId="List2">
    <w:name w:val="List 2"/>
    <w:basedOn w:val="BodyText"/>
    <w:rsid w:val="00DD2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E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E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2EFB"/>
    <w:pPr>
      <w:numPr>
        <w:numId w:val="3"/>
      </w:numPr>
    </w:pPr>
  </w:style>
  <w:style w:type="paragraph" w:styleId="ListContinue2">
    <w:name w:val="List Continue 2"/>
    <w:basedOn w:val="List2"/>
    <w:rsid w:val="00DD2EFB"/>
    <w:pPr>
      <w:ind w:firstLine="0"/>
    </w:pPr>
  </w:style>
  <w:style w:type="paragraph" w:styleId="ListContinue3">
    <w:name w:val="List Continue 3"/>
    <w:basedOn w:val="List3"/>
    <w:rsid w:val="00DD2EFB"/>
    <w:pPr>
      <w:ind w:left="1021" w:firstLine="0"/>
    </w:pPr>
  </w:style>
  <w:style w:type="paragraph" w:styleId="ListContinue4">
    <w:name w:val="List Continue 4"/>
    <w:basedOn w:val="List4"/>
    <w:rsid w:val="00DD2EFB"/>
    <w:pPr>
      <w:ind w:firstLine="0"/>
    </w:pPr>
  </w:style>
  <w:style w:type="paragraph" w:styleId="ListContinue5">
    <w:name w:val="List Continue 5"/>
    <w:basedOn w:val="List5"/>
    <w:rsid w:val="00DD2EFB"/>
    <w:pPr>
      <w:ind w:firstLine="0"/>
    </w:pPr>
  </w:style>
  <w:style w:type="paragraph" w:styleId="ListNumber3">
    <w:name w:val="List Number 3"/>
    <w:basedOn w:val="List3"/>
    <w:rsid w:val="00DD2EFB"/>
    <w:pPr>
      <w:numPr>
        <w:numId w:val="4"/>
      </w:numPr>
    </w:pPr>
  </w:style>
  <w:style w:type="paragraph" w:styleId="ListNumber4">
    <w:name w:val="List Number 4"/>
    <w:basedOn w:val="List4"/>
    <w:rsid w:val="00DD2EFB"/>
    <w:pPr>
      <w:numPr>
        <w:numId w:val="5"/>
      </w:numPr>
    </w:pPr>
  </w:style>
  <w:style w:type="paragraph" w:styleId="ListNumber5">
    <w:name w:val="List Number 5"/>
    <w:basedOn w:val="List5"/>
    <w:rsid w:val="00DD2EFB"/>
    <w:pPr>
      <w:numPr>
        <w:numId w:val="6"/>
      </w:numPr>
    </w:pPr>
  </w:style>
  <w:style w:type="paragraph" w:styleId="BlockText">
    <w:name w:val="Block Text"/>
    <w:basedOn w:val="Normal"/>
    <w:rsid w:val="00DD2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EFB"/>
    <w:rPr>
      <w:sz w:val="16"/>
      <w:vertAlign w:val="superscript"/>
    </w:rPr>
  </w:style>
  <w:style w:type="character" w:customStyle="1" w:styleId="Symbols">
    <w:name w:val="Symbols"/>
    <w:basedOn w:val="DefaultParagraphFont"/>
    <w:rsid w:val="00DD2EFB"/>
    <w:rPr>
      <w:rFonts w:ascii="Symbol" w:hAnsi="Symbol"/>
    </w:rPr>
  </w:style>
  <w:style w:type="character" w:customStyle="1" w:styleId="MenuOptions">
    <w:name w:val="Menu Options"/>
    <w:basedOn w:val="DefaultParagraphFont"/>
    <w:rsid w:val="00DD2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EFB"/>
    <w:rPr>
      <w:b/>
    </w:rPr>
  </w:style>
  <w:style w:type="character" w:customStyle="1" w:styleId="Underlined">
    <w:name w:val="Underlined"/>
    <w:basedOn w:val="DefaultParagraphFont"/>
    <w:rsid w:val="00DD2EFB"/>
    <w:rPr>
      <w:u w:val="single"/>
    </w:rPr>
  </w:style>
  <w:style w:type="paragraph" w:customStyle="1" w:styleId="TableBodyTextRight">
    <w:name w:val="Table Body Text Right"/>
    <w:basedOn w:val="TableBodyText"/>
    <w:rsid w:val="00DD2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EFB"/>
    <w:rPr>
      <w:sz w:val="18"/>
    </w:rPr>
  </w:style>
  <w:style w:type="paragraph" w:customStyle="1" w:styleId="BodySmallRight">
    <w:name w:val="Body Small Right"/>
    <w:basedOn w:val="BodyTextRight"/>
    <w:rsid w:val="00DD2EFB"/>
    <w:rPr>
      <w:sz w:val="18"/>
      <w:szCs w:val="18"/>
    </w:rPr>
  </w:style>
  <w:style w:type="paragraph" w:customStyle="1" w:styleId="MarginEdition">
    <w:name w:val="Margin Edition"/>
    <w:basedOn w:val="MarginNote"/>
    <w:rsid w:val="00DD2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EFB"/>
    <w:rPr>
      <w:sz w:val="2"/>
      <w:szCs w:val="2"/>
    </w:rPr>
  </w:style>
  <w:style w:type="character" w:customStyle="1" w:styleId="Small">
    <w:name w:val="Small"/>
    <w:basedOn w:val="DefaultParagraphFont"/>
    <w:rsid w:val="00DD2EFB"/>
    <w:rPr>
      <w:sz w:val="16"/>
    </w:rPr>
  </w:style>
  <w:style w:type="paragraph" w:customStyle="1" w:styleId="WideTable">
    <w:name w:val="Wide Table"/>
    <w:basedOn w:val="Normal"/>
    <w:rsid w:val="00DD2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EFB"/>
  </w:style>
  <w:style w:type="paragraph" w:styleId="Quote">
    <w:name w:val="Quote"/>
    <w:basedOn w:val="Heading1"/>
    <w:link w:val="QuoteChar"/>
    <w:qFormat/>
    <w:rsid w:val="00DD2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EFB"/>
    <w:pPr>
      <w:pageBreakBefore/>
    </w:pPr>
  </w:style>
  <w:style w:type="paragraph" w:customStyle="1" w:styleId="Border">
    <w:name w:val="Border"/>
    <w:basedOn w:val="Normal"/>
    <w:qFormat/>
    <w:rsid w:val="00DD2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EFB"/>
    <w:rPr>
      <w:u w:val="single"/>
    </w:rPr>
  </w:style>
  <w:style w:type="character" w:customStyle="1" w:styleId="BoldandItalics">
    <w:name w:val="Bold and Italics"/>
    <w:qFormat/>
    <w:rsid w:val="00DD2EFB"/>
    <w:rPr>
      <w:b/>
      <w:i/>
      <w:u w:val="none"/>
    </w:rPr>
  </w:style>
  <w:style w:type="paragraph" w:styleId="BalloonText">
    <w:name w:val="Balloon Text"/>
    <w:basedOn w:val="Normal"/>
    <w:link w:val="BalloonTextChar"/>
    <w:rsid w:val="00DD2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EFB"/>
    <w:pPr>
      <w:spacing w:before="0" w:after="0"/>
    </w:pPr>
  </w:style>
  <w:style w:type="paragraph" w:customStyle="1" w:styleId="BodyTextBold">
    <w:name w:val="Body Text Bold"/>
    <w:basedOn w:val="BodyText"/>
    <w:qFormat/>
    <w:rsid w:val="00DD2EFB"/>
    <w:rPr>
      <w:b/>
    </w:rPr>
  </w:style>
  <w:style w:type="character" w:styleId="Hyperlink">
    <w:name w:val="Hyperlink"/>
    <w:basedOn w:val="DefaultParagraphFont"/>
    <w:uiPriority w:val="99"/>
    <w:unhideWhenUsed/>
    <w:rsid w:val="00015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4783</Characters>
  <Application>Microsoft Office Word</Application>
  <DocSecurity>0</DocSecurity>
  <Lines>207</Lines>
  <Paragraphs>102</Paragraphs>
  <ScaleCrop>false</ScaleCrop>
  <Company>Author-it Software Corporation Ltd.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UEERS0021 Assemble and wire electrical rail signalling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