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BE8" w:rsidP="00546BE8">
      <w:pPr>
        <w:pStyle w:val="Title"/>
      </w:pPr>
      <w:r>
        <w:fldChar w:fldCharType="begin"/>
      </w:r>
      <w:r>
        <w:instrText xml:space="preserve"> TITLE   \* MERGEFORMAT </w:instrText>
      </w:r>
      <w:r>
        <w:fldChar w:fldCharType="separate"/>
      </w:r>
      <w:r>
        <w:t>UEERS0013 Install and maintain train detection equipment</w:t>
      </w:r>
      <w:r>
        <w:fldChar w:fldCharType="end"/>
      </w:r>
    </w:p>
    <w:p w:rsidR="00546BE8" w:rsidP="00546BE8">
      <w:pPr>
        <w:pStyle w:val="Version"/>
        <w:sectPr w:rsidSect="00AA02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29E" w:rsidP="00AA029E">
      <w:pPr>
        <w:pStyle w:val="SuperHeading"/>
      </w:pPr>
      <w:r w:rsidRPr="00AA029E">
        <w:t>UEERS0013 Install and maintain train detection equipment</w:t>
      </w:r>
    </w:p>
    <w:p w:rsidR="00000000" w:rsidRPr="00AA029E" w:rsidP="00AA029E">
      <w:pPr>
        <w:pStyle w:val="Heading1"/>
      </w:pPr>
      <w:bookmarkStart w:id="1" w:name="O_1101312"/>
      <w:bookmarkEnd w:id="1"/>
      <w:r w:rsidRPr="00AA029E">
        <w:t>Modification History</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Release 1. This is the first release of this unit of competency in the UEE Electrotechnology Training Package.</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2" w:name="O_1101313"/>
      <w:bookmarkEnd w:id="2"/>
      <w:r w:rsidRPr="00AA029E">
        <w:t>Application</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 xml:space="preserve">This unit involves the skills and knowledge required to install/maintain </w:t>
            </w:r>
            <w:r w:rsidRPr="00AA029E">
              <w:t>train detection equipment in a rail network.</w:t>
            </w:r>
          </w:p>
          <w:p w:rsidR="00000000" w:rsidRPr="00AA029E" w:rsidP="00AA029E">
            <w:pPr>
              <w:pStyle w:val="BodyText"/>
            </w:pPr>
            <w:r w:rsidRPr="00AA029E">
              <w:t>It includes preparing and installing/maintaining train detection equipment. It also includes completing the installation/maintenance of train detection equipment and repairing faults, performing operational test</w:t>
            </w:r>
            <w:r w:rsidRPr="00AA029E">
              <w:t>s and reporting requirements.</w:t>
            </w:r>
          </w:p>
          <w:p w:rsidR="00000000" w:rsidRPr="00AA029E" w:rsidP="00AA029E">
            <w:pPr>
              <w:pStyle w:val="BodyText"/>
            </w:pPr>
            <w:r w:rsidRPr="00AA029E">
              <w:t>Persons achieving competence in this unit will need to fulfil the applicable state/territory legislated rail safety requirements and comply with relevant codes of practice, rules and/or guidelines.</w:t>
            </w:r>
          </w:p>
          <w:p w:rsidR="00000000" w:rsidRPr="00AA029E" w:rsidP="00AA029E">
            <w:pPr>
              <w:pStyle w:val="BodyText"/>
            </w:pPr>
            <w:r w:rsidRPr="00AA029E">
              <w:t>No other licensing, legislat</w:t>
            </w:r>
            <w:r w:rsidRPr="00AA029E">
              <w:t>ive or certification requirements apply to this unit at the time of publication.</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3" w:name="O_1101314"/>
      <w:bookmarkEnd w:id="3"/>
      <w:r w:rsidRPr="00AA029E">
        <w:t>Pre-requisite Unit</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UEERS0010 Install and maintain rail signalling power supplies</w:t>
            </w:r>
          </w:p>
          <w:p w:rsidR="00000000" w:rsidRPr="00AA029E" w:rsidP="00AA029E">
            <w:pPr>
              <w:pStyle w:val="BodyText"/>
            </w:pPr>
            <w:r w:rsidRPr="00AA029E">
              <w:t>UEERS0011 Install and maintain rail track circuit leads and bonds</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4" w:name="O_1101315"/>
      <w:bookmarkEnd w:id="4"/>
      <w:r w:rsidRPr="00AA029E">
        <w:t>Competency Field</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Rail Signalling</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5" w:name="O_1101316"/>
      <w:bookmarkEnd w:id="5"/>
      <w:r w:rsidRPr="00AA029E">
        <w:t>Unit Sector</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Electrotechnology</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6" w:name="O_1101317"/>
      <w:bookmarkEnd w:id="6"/>
      <w:r w:rsidRPr="00AA029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A02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PERFORMANCE CRITERIA</w:t>
            </w:r>
          </w:p>
        </w:tc>
      </w:tr>
      <w:tr w:rsidTr="00AA029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Performance criteria describe the performance needed to demonstrate achievement of the element.</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rPr>
                <w:rStyle w:val="SpecialBold"/>
              </w:rPr>
              <w:t>Prepare to install/maintain train detection equipment</w:t>
            </w: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Work health and safety (WHS)/occupational health and safety (OHS) requirements and workplace proc</w:t>
            </w:r>
            <w:r w:rsidRPr="00AA029E">
              <w:t>edures for a given work area are identified, obtained and clarified</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Hazards are identified, WHS/OHS risks assessed, and control measures and workplace procedures implemented in preparation for work</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Scope of the installation/maintenance is determined from maintenance schedules, job specifications, drawings and regulatory requirements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Appropriate rail safe working person/s is consulted to ensure work is coordinated effectively with others involv</w:t>
            </w:r>
            <w:r w:rsidRPr="00AA029E">
              <w:t>ed on the worksite</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Materials needed for the installation/maintenance work are obtained in accordance with workplace procedures and checked against job specifications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Tools, equipment and testing devices needed for installation/maintenance wor</w:t>
            </w:r>
            <w:r w:rsidRPr="00AA029E">
              <w:t>k are obtained in accordance with workplace procedures and checked for correct operation and safety</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rPr>
                <w:rStyle w:val="SpecialBold"/>
              </w:rPr>
              <w:t>Install/maintain train detection equipment</w:t>
            </w: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WHS/OHS risk control measures and workplace procedures for carrying out work are followed</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Installation/maintenance work is carried out in accordance with manufacturer specifications and workplace procedures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 xml:space="preserve">Normal function and operating parameters are confirmed in accordance with appropriate manuals, job specifications and commissioning </w:t>
            </w:r>
            <w:r w:rsidRPr="00AA029E">
              <w:t>data</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Fault-finding and diagnostic techniques are used to verify system/faults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Faulty, damaged or insecure components are replaced/repaired or secured in accordance with manufacturer specifications and workplace procedures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Installation/maintenance, adjusting and testing work is carried out efficiently, without waste of materials or damage to apparatus, the surrounding environment or services using sustainable energy practices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Appropriate readings are measured and reco</w:t>
            </w:r>
            <w:r w:rsidRPr="00AA029E">
              <w:t>rded using relevant test instruments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Equipment is tested and adjusted in accordance with manufacturer specifications, workplace and equipment operating procedures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Equipment operational inspections and tests are completed in accordance with jo</w:t>
            </w:r>
            <w:r w:rsidRPr="00AA029E">
              <w:t>b specifications and workplace procedures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Methods for dealing with unplanned situations are determined on the basis of safety and specified work outcomes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rPr>
                <w:rStyle w:val="SpecialBold"/>
              </w:rPr>
              <w:t xml:space="preserve">Complete train detection equipment installation/maintenance </w:t>
            </w: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WHS/OHS risk control work completion measures and workplace procedures are followed</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Calibration of equipment is verified and equipment is confirmed by functional tests in accordance with workplace and equipment operating procedures</w:t>
            </w:r>
          </w:p>
        </w:tc>
      </w:tr>
      <w:tr w:rsidTr="00AA029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029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Work compl</w:t>
            </w:r>
            <w:r w:rsidRPr="00AA029E">
              <w:t>etion is documented and appropriate rail safe working person/s notified in accordance with workplace procedures and relevant reports produced</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7" w:name="O_1101318"/>
      <w:bookmarkEnd w:id="7"/>
      <w:r w:rsidRPr="00AA029E">
        <w:t>Foundation Skills</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Foundation skills essential to performance are explicit in the performance criteria of this unit of competency.</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8" w:name="O_1101319"/>
      <w:bookmarkEnd w:id="8"/>
      <w:r w:rsidRPr="00AA029E">
        <w:t>Range of Conditions</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Range is restricted to essential operating conditions and any other variables essential to the work env</w:t>
            </w:r>
            <w:r w:rsidRPr="00AA029E">
              <w:t>ironment.</w:t>
            </w:r>
          </w:p>
          <w:p w:rsidR="00000000" w:rsidRPr="00AA029E" w:rsidP="00AA029E">
            <w:pPr>
              <w:pStyle w:val="BodyText"/>
            </w:pPr>
            <w:r w:rsidRPr="00AA029E">
              <w:t>Non-essential conditions may be found in the UEE Electrotechnology Training Package Companion Volume Implementation Guide.</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9" w:name="O_1101320"/>
      <w:bookmarkEnd w:id="9"/>
      <w:r w:rsidRPr="00AA029E">
        <w:t>Unit Mapping Information</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This unit replaces and is equivalent to UEENEEN109A Install and maintain trai</w:t>
            </w:r>
            <w:r w:rsidRPr="00AA029E">
              <w:t>n detection equipment.</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10" w:name="O_1101327"/>
      <w:bookmarkEnd w:id="10"/>
      <w:r w:rsidRPr="00AA029E">
        <w:t>Links</w:t>
      </w:r>
    </w:p>
    <w:p w:rsidR="00000000" w:rsidRPr="00AA029E" w:rsidP="00546BE8">
      <w:pPr>
        <w:pStyle w:val="BodyText"/>
      </w:pPr>
      <w:r w:rsidRPr="00AA029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1D2B">
        <w:rPr>
          <w:rStyle w:val="Hyperlink"/>
        </w:rPr>
        <w:t>https://vetnet.gov.au/Pages/TrainingDocs.aspx?q=b8a8f136-5421-4ce1-92e0-2b50341431b6</w:t>
      </w:r>
      <w:r>
        <w:fldChar w:fldCharType="end"/>
      </w:r>
    </w:p>
    <w:p w:rsidR="00000000" w:rsidRPr="00AA029E" w:rsidP="00546BE8">
      <w:pPr>
        <w:pStyle w:val="BodyText"/>
        <w:sectPr w:rsidSect="00AA029E">
          <w:headerReference w:type="default" r:id="rId10"/>
          <w:footerReference w:type="default" r:id="rId11"/>
          <w:pgSz w:w="11908" w:h="16833"/>
          <w:pgMar w:top="1702" w:right="1418" w:bottom="1702" w:left="1418" w:header="992" w:footer="992" w:gutter="0"/>
          <w:cols w:space="720"/>
          <w:noEndnote/>
          <w:docGrid w:linePitch="299"/>
        </w:sectPr>
      </w:pPr>
    </w:p>
    <w:p w:rsidR="00000000" w:rsidRPr="00AA029E" w:rsidP="00AA029E">
      <w:pPr>
        <w:pStyle w:val="SuperHeading"/>
      </w:pPr>
      <w:r w:rsidRPr="00AA029E">
        <w:t xml:space="preserve">Assessment </w:t>
      </w:r>
      <w:r w:rsidRPr="00AA029E">
        <w:t>Requirements for UEERS0013 Install and maintain train detection equipment</w:t>
      </w:r>
    </w:p>
    <w:p w:rsidR="00000000" w:rsidRPr="00AA029E" w:rsidP="00AA029E">
      <w:pPr>
        <w:pStyle w:val="Heading1"/>
      </w:pPr>
      <w:bookmarkStart w:id="11" w:name="O_1101322"/>
      <w:bookmarkEnd w:id="11"/>
      <w:r w:rsidRPr="00AA029E">
        <w:t>Modification History</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Release 1. This is the first release of this unit of competency in the UEE Electrotechnology Training Package.</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12" w:name="O_1101323"/>
      <w:bookmarkEnd w:id="12"/>
      <w:r w:rsidRPr="00AA029E">
        <w:t>Performance Evidence</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Evidence required to demonstrate competence in this unit must be relevant to and satisfy all of the requirements of the elements and performance criteria on at least two separate occasions and include:</w:t>
            </w:r>
          </w:p>
        </w:tc>
      </w:tr>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ListBullet"/>
            </w:pPr>
            <w:r w:rsidRPr="00AA029E">
              <w:t>interpreting plans and specific</w:t>
            </w:r>
            <w:r w:rsidRPr="00AA029E">
              <w:t>ations correctly</w:t>
            </w:r>
          </w:p>
          <w:p w:rsidR="00000000" w:rsidRPr="00AA029E" w:rsidP="00AA029E">
            <w:pPr>
              <w:pStyle w:val="ListBullet"/>
            </w:pPr>
            <w:r w:rsidRPr="00AA029E">
              <w:t>installing/maintaining, adjusting and testing equipment in accordance with workplace procedures</w:t>
            </w:r>
          </w:p>
          <w:p w:rsidR="00000000" w:rsidRPr="00AA029E" w:rsidP="00AA029E">
            <w:pPr>
              <w:pStyle w:val="ListBullet"/>
            </w:pPr>
            <w:r w:rsidRPr="00AA029E">
              <w:t>using tools and test equipment safely</w:t>
            </w:r>
          </w:p>
          <w:p w:rsidR="00000000" w:rsidRPr="00AA029E" w:rsidP="00AA029E">
            <w:pPr>
              <w:pStyle w:val="ListBullet"/>
            </w:pPr>
            <w:r w:rsidRPr="00AA029E">
              <w:t>checking that technical operational specifications are met and equipment is in compliance with work order</w:t>
            </w:r>
            <w:r w:rsidRPr="00AA029E">
              <w:t>s</w:t>
            </w:r>
          </w:p>
          <w:p w:rsidR="00000000" w:rsidRPr="00AA029E" w:rsidP="00AA029E">
            <w:pPr>
              <w:pStyle w:val="ListBullet"/>
            </w:pPr>
            <w:r w:rsidRPr="00AA029E">
              <w:t>following relevant codes of practice, work health and safety (WHS)/occupational health and safety</w:t>
            </w:r>
            <w:r w:rsidRPr="00AA029E">
              <w:rPr>
                <w:rStyle w:val="SpecialBold"/>
              </w:rPr>
              <w:t xml:space="preserve"> (</w:t>
            </w:r>
            <w:r w:rsidRPr="00AA029E">
              <w:t>OHS) and environmental protection procedures and requirements, including:</w:t>
            </w:r>
          </w:p>
          <w:p w:rsidR="00000000" w:rsidRPr="00AA029E" w:rsidP="00AA029E">
            <w:pPr>
              <w:pStyle w:val="ListBullet2"/>
            </w:pPr>
            <w:r w:rsidRPr="00AA029E">
              <w:t>implementing workplace procedures and practices</w:t>
            </w:r>
          </w:p>
          <w:p w:rsidR="00000000" w:rsidRPr="00AA029E" w:rsidP="00AA029E">
            <w:pPr>
              <w:pStyle w:val="ListBullet2"/>
            </w:pPr>
            <w:r w:rsidRPr="00AA029E">
              <w:t>using risk control measures</w:t>
            </w:r>
          </w:p>
          <w:p w:rsidR="00000000" w:rsidRPr="00AA029E" w:rsidP="00AA029E">
            <w:pPr>
              <w:pStyle w:val="ListBullet"/>
            </w:pPr>
            <w:r w:rsidRPr="00AA029E">
              <w:t>completing relevant technical reports, records and documentation</w:t>
            </w:r>
          </w:p>
          <w:p w:rsidR="00000000" w:rsidRPr="00AA029E" w:rsidP="00AA029E">
            <w:pPr>
              <w:pStyle w:val="ListBullet"/>
            </w:pPr>
            <w:r w:rsidRPr="00AA029E">
              <w:t>dealing with unplanned events</w:t>
            </w:r>
          </w:p>
          <w:p w:rsidR="00000000" w:rsidRPr="00AA029E" w:rsidP="00AA029E">
            <w:pPr>
              <w:pStyle w:val="ListBullet"/>
            </w:pPr>
            <w:r w:rsidRPr="00AA029E">
              <w:t>applying rail safe working practices and relevant industry standards, codes and rail safety regulations</w:t>
            </w:r>
          </w:p>
          <w:p w:rsidR="00000000" w:rsidRPr="00AA029E" w:rsidP="00AA029E">
            <w:pPr>
              <w:pStyle w:val="ListBullet"/>
            </w:pPr>
            <w:r w:rsidRPr="00AA029E">
              <w:t>completing the installation/maintenance of train detectio</w:t>
            </w:r>
            <w:r w:rsidRPr="00AA029E">
              <w:t>n equipment</w:t>
            </w:r>
          </w:p>
          <w:p w:rsidR="00000000" w:rsidRPr="00AA029E" w:rsidP="00AA029E">
            <w:pPr>
              <w:pStyle w:val="ListBullet"/>
            </w:pPr>
            <w:r w:rsidRPr="00AA029E">
              <w:t>preparing to install/maintain train detection equipment.</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13" w:name="O_1101324"/>
      <w:bookmarkEnd w:id="13"/>
      <w:r w:rsidRPr="00AA029E">
        <w:t>Knowledge Evidence</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029E">
            <w:pPr>
              <w:pStyle w:val="BodyText"/>
              <w:rPr>
                <w:lang w:val="en-NZ"/>
              </w:rPr>
            </w:pPr>
            <w:r w:rsidRPr="00AA029E">
              <w:t>Evidenc</w:t>
            </w:r>
            <w:r w:rsidRPr="00AA029E">
              <w:t>e required to demonstrate competence in this unit must be relevant to and satisfy all of the requirements of the elements and performance criteria and include knowledge of:</w:t>
            </w:r>
          </w:p>
        </w:tc>
      </w:tr>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ListBullet"/>
            </w:pPr>
            <w:r w:rsidRPr="00AA029E">
              <w:t>train detection equipment installation and maintenance, safe working practices an</w:t>
            </w:r>
            <w:r w:rsidRPr="00AA029E">
              <w:t>d relevant standards, codes and regulations, including:</w:t>
            </w:r>
          </w:p>
          <w:p w:rsidR="00000000" w:rsidRPr="00AA029E" w:rsidP="00AA029E">
            <w:pPr>
              <w:pStyle w:val="ListBullet2"/>
            </w:pPr>
            <w:r w:rsidRPr="00AA029E">
              <w:t>rail signalling, train detection equipment</w:t>
            </w:r>
          </w:p>
          <w:p w:rsidR="00000000" w:rsidRPr="00AA029E" w:rsidP="00AA029E">
            <w:pPr>
              <w:pStyle w:val="ListBullet2"/>
            </w:pPr>
            <w:r w:rsidRPr="00AA029E">
              <w:t>train detection equipment and their components encompassing:</w:t>
            </w:r>
          </w:p>
          <w:p w:rsidR="00000000" w:rsidRPr="00AA029E" w:rsidP="00AA029E">
            <w:pPr>
              <w:pStyle w:val="ListBullet3"/>
            </w:pPr>
            <w:r w:rsidRPr="00AA029E">
              <w:t xml:space="preserve">track circuits, including jointed, jointless, non-vital, axle counters, treadles and level </w:t>
            </w:r>
            <w:r w:rsidRPr="00AA029E">
              <w:t>crossing predictors</w:t>
            </w:r>
          </w:p>
          <w:p w:rsidR="00000000" w:rsidRPr="00AA029E" w:rsidP="00AA029E">
            <w:pPr>
              <w:pStyle w:val="ListBullet3"/>
            </w:pPr>
            <w:r w:rsidRPr="00AA029E">
              <w:t>alternating current (a.c.) and direct current (d.c.) power supplies</w:t>
            </w:r>
          </w:p>
          <w:p w:rsidR="00000000" w:rsidRPr="00AA029E" w:rsidP="00AA029E">
            <w:pPr>
              <w:pStyle w:val="ListBullet3"/>
            </w:pPr>
            <w:r w:rsidRPr="00AA029E">
              <w:t>transmitters</w:t>
            </w:r>
          </w:p>
          <w:p w:rsidR="00000000" w:rsidRPr="00AA029E" w:rsidP="00AA029E">
            <w:pPr>
              <w:pStyle w:val="ListBullet3"/>
            </w:pPr>
            <w:r w:rsidRPr="00AA029E">
              <w:t>receivers</w:t>
            </w:r>
          </w:p>
          <w:p w:rsidR="00000000" w:rsidRPr="00AA029E" w:rsidP="00AA029E">
            <w:pPr>
              <w:pStyle w:val="ListBullet3"/>
            </w:pPr>
            <w:r w:rsidRPr="00AA029E">
              <w:t>relays</w:t>
            </w:r>
          </w:p>
          <w:p w:rsidR="00000000" w:rsidRPr="00AA029E" w:rsidP="00AA029E">
            <w:pPr>
              <w:pStyle w:val="ListBullet3"/>
            </w:pPr>
            <w:r w:rsidRPr="00AA029E">
              <w:t>track shunts</w:t>
            </w:r>
          </w:p>
          <w:p w:rsidR="00000000" w:rsidRPr="00AA029E" w:rsidP="00AA029E">
            <w:pPr>
              <w:pStyle w:val="ListBullet3"/>
            </w:pPr>
            <w:r w:rsidRPr="00AA029E">
              <w:t>tuned joint couplers</w:t>
            </w:r>
          </w:p>
          <w:p w:rsidR="00000000" w:rsidRPr="00AA029E" w:rsidP="00AA029E">
            <w:pPr>
              <w:pStyle w:val="ListBullet3"/>
            </w:pPr>
            <w:r w:rsidRPr="00AA029E">
              <w:t>central processor</w:t>
            </w:r>
          </w:p>
          <w:p w:rsidR="00000000" w:rsidRPr="00AA029E" w:rsidP="00AA029E">
            <w:pPr>
              <w:pStyle w:val="ListBullet3"/>
            </w:pPr>
            <w:r w:rsidRPr="00AA029E">
              <w:t>diagnostics</w:t>
            </w:r>
          </w:p>
          <w:p w:rsidR="00000000" w:rsidRPr="00AA029E" w:rsidP="00AA029E">
            <w:pPr>
              <w:pStyle w:val="ListBullet3"/>
            </w:pPr>
            <w:r w:rsidRPr="00AA029E">
              <w:t>fixtures to ironwork</w:t>
            </w:r>
          </w:p>
          <w:p w:rsidR="00000000" w:rsidRPr="00AA029E" w:rsidP="00AA029E">
            <w:pPr>
              <w:pStyle w:val="ListBullet2"/>
            </w:pPr>
            <w:r w:rsidRPr="00AA029E">
              <w:t>operating principles and parameters encompassing:</w:t>
            </w:r>
          </w:p>
          <w:p w:rsidR="00000000" w:rsidRPr="00AA029E" w:rsidP="00AA029E">
            <w:pPr>
              <w:pStyle w:val="ListBullet3"/>
            </w:pPr>
            <w:r w:rsidRPr="00AA029E">
              <w:t>i</w:t>
            </w:r>
            <w:r w:rsidRPr="00AA029E">
              <w:t>nterpreting circuits diagrams to evaluate correct operation and relationship to other signalling circuits</w:t>
            </w:r>
          </w:p>
          <w:p w:rsidR="00000000" w:rsidRPr="00AA029E" w:rsidP="00AA029E">
            <w:pPr>
              <w:pStyle w:val="ListBullet3"/>
            </w:pPr>
            <w:r w:rsidRPr="00AA029E">
              <w:t>normal mode operation:</w:t>
            </w:r>
          </w:p>
          <w:p w:rsidR="00000000" w:rsidRPr="00AA029E" w:rsidP="00AA029E">
            <w:pPr>
              <w:pStyle w:val="ListBullet4"/>
            </w:pPr>
            <w:r w:rsidRPr="00AA029E">
              <w:t>instantaneous coil energisation and delay pick-up</w:t>
            </w:r>
          </w:p>
          <w:p w:rsidR="00000000" w:rsidRPr="00AA029E" w:rsidP="00AA029E">
            <w:pPr>
              <w:pStyle w:val="ListBullet4"/>
            </w:pPr>
            <w:r w:rsidRPr="00AA029E">
              <w:t>wrong-side operation</w:t>
            </w:r>
          </w:p>
          <w:p w:rsidR="00000000" w:rsidRPr="00AA029E" w:rsidP="00AA029E">
            <w:pPr>
              <w:pStyle w:val="ListBullet4"/>
            </w:pPr>
            <w:r w:rsidRPr="00AA029E">
              <w:t>failure mode operation, including wrong-side and right-side conditions</w:t>
            </w:r>
          </w:p>
          <w:p w:rsidR="00000000" w:rsidRPr="00AA029E" w:rsidP="00AA029E">
            <w:pPr>
              <w:pStyle w:val="ListBullet3"/>
            </w:pPr>
            <w:r w:rsidRPr="00AA029E">
              <w:t>alarm mode</w:t>
            </w:r>
          </w:p>
          <w:p w:rsidR="00000000" w:rsidRPr="00AA029E" w:rsidP="00AA029E">
            <w:pPr>
              <w:pStyle w:val="ListBullet3"/>
            </w:pPr>
            <w:r w:rsidRPr="00AA029E">
              <w:t>redundancy mode</w:t>
            </w:r>
          </w:p>
          <w:p w:rsidR="00000000" w:rsidRPr="00AA029E" w:rsidP="00AA029E">
            <w:pPr>
              <w:pStyle w:val="ListBullet3"/>
            </w:pPr>
            <w:r w:rsidRPr="00AA029E">
              <w:t>correct operation in accordance with control and locking tables</w:t>
            </w:r>
          </w:p>
          <w:p w:rsidR="00000000" w:rsidRPr="00AA029E" w:rsidP="00AA029E">
            <w:pPr>
              <w:pStyle w:val="ListBullet3"/>
            </w:pPr>
            <w:r w:rsidRPr="00AA029E">
              <w:t>servicing procedures encompassing:</w:t>
            </w:r>
          </w:p>
          <w:p w:rsidR="00000000" w:rsidRPr="00AA029E" w:rsidP="00AA029E">
            <w:pPr>
              <w:pStyle w:val="ListBullet4"/>
            </w:pPr>
            <w:r w:rsidRPr="00AA029E">
              <w:t>maintenance documentation</w:t>
            </w:r>
          </w:p>
          <w:p w:rsidR="00000000" w:rsidRPr="00AA029E" w:rsidP="00AA029E">
            <w:pPr>
              <w:pStyle w:val="ListBullet4"/>
            </w:pPr>
            <w:r w:rsidRPr="00AA029E">
              <w:t>coordination/planning sequence</w:t>
            </w:r>
          </w:p>
          <w:p w:rsidR="00000000" w:rsidRPr="00AA029E" w:rsidP="00AA029E">
            <w:pPr>
              <w:pStyle w:val="ListBullet4"/>
            </w:pPr>
            <w:r w:rsidRPr="00AA029E">
              <w:t>operational test procedures</w:t>
            </w:r>
          </w:p>
          <w:p w:rsidR="00000000" w:rsidRPr="00AA029E" w:rsidP="00AA029E">
            <w:pPr>
              <w:pStyle w:val="ListBullet4"/>
            </w:pPr>
            <w:r w:rsidRPr="00AA029E">
              <w:t>scheduled/preventative maintenance</w:t>
            </w:r>
          </w:p>
          <w:p w:rsidR="00000000" w:rsidRPr="00AA029E" w:rsidP="00AA029E">
            <w:pPr>
              <w:pStyle w:val="ListBullet4"/>
            </w:pPr>
            <w:r w:rsidRPr="00AA029E">
              <w:t>unscheduled/corrective maintenance</w:t>
            </w:r>
          </w:p>
          <w:p w:rsidR="00000000" w:rsidRPr="00AA029E" w:rsidP="00AA029E">
            <w:pPr>
              <w:pStyle w:val="ListBullet4"/>
            </w:pPr>
            <w:r w:rsidRPr="00AA029E">
              <w:t>certification of train detection equipment (commission and decommission)</w:t>
            </w:r>
          </w:p>
          <w:p w:rsidR="00000000" w:rsidRPr="00AA029E" w:rsidP="00AA029E">
            <w:pPr>
              <w:pStyle w:val="ListBullet4"/>
            </w:pPr>
            <w:r w:rsidRPr="00AA029E">
              <w:t>certifying procedures applicable fo</w:t>
            </w:r>
            <w:r w:rsidRPr="00AA029E">
              <w:t>r compliance with rail operator and/or enterprise standards</w:t>
            </w:r>
          </w:p>
          <w:p w:rsidR="00000000" w:rsidRPr="00AA029E" w:rsidP="00AA029E">
            <w:pPr>
              <w:pStyle w:val="ListBullet"/>
            </w:pPr>
            <w:r w:rsidRPr="00AA029E">
              <w:t>safe working practices and relevant standards, codes and regulations</w:t>
            </w:r>
          </w:p>
          <w:p w:rsidR="00000000" w:rsidRPr="00AA029E" w:rsidP="00AA029E">
            <w:pPr>
              <w:pStyle w:val="ListBullet"/>
            </w:pPr>
            <w:r w:rsidRPr="00AA029E">
              <w:t>relevant job safety assessments or risk mitigation processes</w:t>
            </w:r>
          </w:p>
          <w:p w:rsidR="00000000" w:rsidRPr="00AA029E" w:rsidP="00AA029E">
            <w:pPr>
              <w:pStyle w:val="ListBullet"/>
            </w:pPr>
            <w:r w:rsidRPr="00AA029E">
              <w:t>relevant manufacturer specifications</w:t>
            </w:r>
          </w:p>
          <w:p w:rsidR="00000000" w:rsidRPr="00AA029E" w:rsidP="00AA029E">
            <w:pPr>
              <w:pStyle w:val="ListBullet"/>
            </w:pPr>
            <w:r w:rsidRPr="00AA029E">
              <w:t xml:space="preserve">relevant WHS/OHS legislated </w:t>
            </w:r>
            <w:r w:rsidRPr="00AA029E">
              <w:t>requirements</w:t>
            </w:r>
          </w:p>
          <w:p w:rsidR="00000000" w:rsidRPr="00AA029E" w:rsidP="00AA029E">
            <w:pPr>
              <w:pStyle w:val="ListBullet"/>
            </w:pPr>
            <w:r w:rsidRPr="00AA029E">
              <w:t>relevant workplace policies and procedures.</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14" w:name="O_1101325"/>
      <w:bookmarkEnd w:id="14"/>
      <w:r w:rsidRPr="00AA029E">
        <w:t>Assessment Conditions</w:t>
      </w:r>
    </w:p>
    <w:tbl>
      <w:tblPr>
        <w:tblW w:w="9497" w:type="dxa"/>
        <w:tblLayout w:type="fixed"/>
        <w:tblCellMar>
          <w:left w:w="62" w:type="dxa"/>
          <w:right w:w="62" w:type="dxa"/>
        </w:tblCellMar>
        <w:tblLook w:val="0000"/>
      </w:tblPr>
      <w:tblGrid>
        <w:gridCol w:w="9497"/>
      </w:tblGrid>
      <w:tr w:rsidTr="00AA02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29E" w:rsidP="00AA029E">
            <w:pPr>
              <w:pStyle w:val="BodyText"/>
            </w:pPr>
            <w:r w:rsidRPr="00AA029E">
              <w:t>Assessors must hold credentials specified within the Standards for Registered Training Organisations current at the time of assessment.</w:t>
            </w:r>
          </w:p>
          <w:p w:rsidR="00000000" w:rsidRPr="00AA029E" w:rsidP="00AA029E">
            <w:pPr>
              <w:pStyle w:val="BodyText"/>
            </w:pPr>
            <w:r w:rsidRPr="00AA029E">
              <w:t>Assessment must satisfy the Principles of Assessment and Rules of Evidence and all regulatory requirements included within the Standards for Registered Training Organisations current at the time of assessment.</w:t>
            </w:r>
          </w:p>
          <w:p w:rsidR="00000000" w:rsidRPr="00AA029E" w:rsidP="00AA029E">
            <w:pPr>
              <w:pStyle w:val="BodyText"/>
            </w:pPr>
            <w:r w:rsidRPr="00AA029E">
              <w:t>Assessment must occur in suitable workplace op</w:t>
            </w:r>
            <w:r w:rsidRPr="00AA029E">
              <w:t>erational situations where it is appropriate to do so; where this is not appropriate, assessment must occur in suitable simulated workplace operational situations that replicate workplace conditions.</w:t>
            </w:r>
          </w:p>
          <w:p w:rsidR="00000000" w:rsidRPr="00AA029E" w:rsidP="00AA029E">
            <w:pPr>
              <w:pStyle w:val="BodyText"/>
            </w:pPr>
            <w:r w:rsidRPr="00AA029E">
              <w:t xml:space="preserve">Assessment processes and techniques must be appropriate </w:t>
            </w:r>
            <w:r w:rsidRPr="00AA029E">
              <w:t>to the language, literacy and numeracy requirements of the work being performed and the needs of the candidate.</w:t>
            </w:r>
          </w:p>
          <w:p w:rsidR="00000000" w:rsidRPr="00AA029E" w:rsidP="00AA029E">
            <w:pPr>
              <w:pStyle w:val="BodyText"/>
            </w:pPr>
            <w:r w:rsidRPr="00AA029E">
              <w:t>Resources for assessment must include access to:</w:t>
            </w:r>
          </w:p>
          <w:p w:rsidR="00000000" w:rsidRPr="00AA029E" w:rsidP="00AA029E">
            <w:pPr>
              <w:pStyle w:val="ListBullet"/>
            </w:pPr>
            <w:r w:rsidRPr="00AA029E">
              <w:t>a range of relevant exercises, case studies and/or other simulations</w:t>
            </w:r>
          </w:p>
          <w:p w:rsidR="00000000" w:rsidRPr="00AA029E" w:rsidP="00AA029E">
            <w:pPr>
              <w:pStyle w:val="ListBullet"/>
            </w:pPr>
            <w:r w:rsidRPr="00AA029E">
              <w:t xml:space="preserve">relevant and appropriate </w:t>
            </w:r>
            <w:r w:rsidRPr="00AA029E">
              <w:t>materials, tools, facilities, equipment and personal protective equipment (PPE) currently used in industry</w:t>
            </w:r>
          </w:p>
          <w:p w:rsidR="00000000" w:rsidRPr="00AA029E" w:rsidP="00AA029E">
            <w:pPr>
              <w:pStyle w:val="ListBullet"/>
            </w:pPr>
            <w:r w:rsidRPr="00AA029E">
              <w:t>resources that reflect current industry practices in relation to installing/maintaining train detection equipment</w:t>
            </w:r>
          </w:p>
          <w:p w:rsidR="00000000" w:rsidRPr="00AA029E" w:rsidP="00AA029E">
            <w:pPr>
              <w:pStyle w:val="ListBullet"/>
            </w:pPr>
            <w:r w:rsidRPr="00AA029E">
              <w:t>applicable documentation, including</w:t>
            </w:r>
            <w:r w:rsidRPr="00AA029E">
              <w:t xml:space="preserve"> workplace procedures, equipment specifications, regulations, codes of practice and operation manuals.</w:t>
            </w:r>
          </w:p>
        </w:tc>
      </w:tr>
    </w:tbl>
    <w:p w:rsidR="00000000" w:rsidRPr="00AA029E" w:rsidP="00AA029E">
      <w:pPr>
        <w:pStyle w:val="NoPaddingFontSize1"/>
      </w:pPr>
    </w:p>
    <w:p w:rsidR="00000000" w:rsidRPr="00AA029E" w:rsidP="00AA029E">
      <w:pPr>
        <w:pStyle w:val="AllowPageBreak"/>
      </w:pPr>
    </w:p>
    <w:p w:rsidR="00000000" w:rsidRPr="00AA029E" w:rsidP="00AA029E">
      <w:pPr>
        <w:pStyle w:val="Heading1"/>
      </w:pPr>
      <w:bookmarkStart w:id="15" w:name="O_1101328"/>
      <w:bookmarkEnd w:id="15"/>
      <w:r w:rsidRPr="00AA029E">
        <w:t>Links</w:t>
      </w:r>
    </w:p>
    <w:p w:rsidR="00000000" w:rsidRPr="00AA029E" w:rsidP="00546BE8">
      <w:pPr>
        <w:pStyle w:val="BodyText"/>
      </w:pPr>
      <w:r w:rsidRPr="00AA029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1D2B">
        <w:rPr>
          <w:rStyle w:val="Hyperlink"/>
        </w:rPr>
        <w:t>https://vetnet.gov.au/Pages/TrainingDocs.aspx?q=b8a8f136-5421-4ce1-92e0-2b50341431b6</w:t>
      </w:r>
      <w:r>
        <w:fldChar w:fldCharType="end"/>
      </w:r>
    </w:p>
    <w:p w:rsidR="00000000" w:rsidRPr="00AA029E" w:rsidP="00AA029E"/>
    <w:sectPr w:rsidSect="00AA02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9E" w:rsidRPr="00546BE8" w:rsidP="00546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E8" w:rsidP="00AA0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6BE8" w:rsidP="00AA02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46BE8" w:rsidP="00AA02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9E" w:rsidP="00AA029E">
    <w:pPr>
      <w:pStyle w:val="Footer"/>
      <w:framePr w:wrap="around"/>
    </w:pPr>
    <w:r>
      <w:fldChar w:fldCharType="begin"/>
    </w:r>
    <w:r>
      <w:instrText xml:space="preserve"> DOCPROPERTY  Subject  \* MERGEFORMAT </w:instrText>
    </w:r>
    <w:r>
      <w:fldChar w:fldCharType="separate"/>
    </w:r>
    <w:r w:rsidR="00546BE8">
      <w:t>Approved</w:t>
    </w:r>
    <w:r w:rsidR="00546BE8">
      <w:fldChar w:fldCharType="end"/>
    </w:r>
    <w:r>
      <w:tab/>
      <w:t xml:space="preserve">Page </w:t>
    </w:r>
    <w:r>
      <w:fldChar w:fldCharType="begin"/>
    </w:r>
    <w:r>
      <w:instrText xml:space="preserve"> PAGE  \* Arabic  \* MERGEFORMAT </w:instrText>
    </w:r>
    <w:r>
      <w:fldChar w:fldCharType="separate"/>
    </w:r>
    <w:r w:rsidR="00546B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6BE8">
      <w:rPr>
        <w:noProof/>
      </w:rPr>
      <w:t>4</w:t>
    </w:r>
    <w:r>
      <w:rPr>
        <w:noProof/>
      </w:rPr>
      <w:fldChar w:fldCharType="end"/>
    </w:r>
  </w:p>
  <w:p w:rsidR="00AA029E" w:rsidP="00AA029E">
    <w:pPr>
      <w:pStyle w:val="Footer"/>
      <w:framePr w:wrap="around"/>
    </w:pPr>
    <w:r>
      <w:t xml:space="preserve">© Commonwealth of Australia, </w:t>
    </w:r>
    <w:r>
      <w:fldChar w:fldCharType="begin"/>
    </w:r>
    <w:r>
      <w:instrText xml:space="preserve"> DATE  \@ "yyyy"  \* MERGEFORMAT </w:instrText>
    </w:r>
    <w:r>
      <w:fldChar w:fldCharType="separate"/>
    </w:r>
    <w:r w:rsidR="00546BE8">
      <w:rPr>
        <w:noProof/>
      </w:rPr>
      <w:t>2025</w:t>
    </w:r>
    <w:r>
      <w:fldChar w:fldCharType="end"/>
    </w:r>
    <w:r>
      <w:tab/>
    </w:r>
    <w:r>
      <w:fldChar w:fldCharType="begin"/>
    </w:r>
    <w:r>
      <w:instrText xml:space="preserve"> DOCPROPERTY  Author  \* MERGEFORMAT </w:instrText>
    </w:r>
    <w:r>
      <w:fldChar w:fldCharType="separate"/>
    </w:r>
    <w:r w:rsidR="00546BE8">
      <w:t>Powering Skills Organisation</w:t>
    </w:r>
    <w:r w:rsidR="00546BE8">
      <w:fldChar w:fldCharType="end"/>
    </w:r>
  </w:p>
  <w:p w:rsidR="00AA029E" w:rsidP="00AA0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29E" w:rsidRPr="00546BE8" w:rsidP="00546B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BE8" w:rsidRPr="002D2AF8" w:rsidP="00AA029E">
    <w:pPr>
      <w:pStyle w:val="Header"/>
      <w:framePr w:wrap="around"/>
    </w:pPr>
    <w:r>
      <w:fldChar w:fldCharType="begin"/>
    </w:r>
    <w:r>
      <w:instrText xml:space="preserve"> TITLE   \* MERGEFORMAT </w:instrText>
    </w:r>
    <w:r>
      <w:fldChar w:fldCharType="separate"/>
    </w:r>
    <w:r>
      <w:t>UEERS0013 Install and maintain train detection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6BE8" w:rsidP="00AA02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9E" w:rsidRPr="002D2AF8" w:rsidP="00AA029E">
    <w:pPr>
      <w:pStyle w:val="Header"/>
      <w:framePr w:wrap="around"/>
    </w:pPr>
    <w:r>
      <w:fldChar w:fldCharType="begin"/>
    </w:r>
    <w:r>
      <w:instrText xml:space="preserve"> TITLE   \* MERGEFORMAT </w:instrText>
    </w:r>
    <w:r>
      <w:fldChar w:fldCharType="separate"/>
    </w:r>
    <w:r w:rsidR="00546BE8">
      <w:t>UEERS0013 Install and maintain train detection equipment</w:t>
    </w:r>
    <w:r w:rsidR="00546BE8">
      <w:fldChar w:fldCharType="end"/>
    </w:r>
    <w:r>
      <w:tab/>
      <w:t xml:space="preserve">Date this document was generated: </w:t>
    </w:r>
    <w:r>
      <w:fldChar w:fldCharType="begin"/>
    </w:r>
    <w:r>
      <w:instrText xml:space="preserve"> CREATEDATE  \@ "d MMMM yyyy"  \* MERGEFORMAT </w:instrText>
    </w:r>
    <w:r>
      <w:fldChar w:fldCharType="separate"/>
    </w:r>
    <w:r w:rsidR="00546BE8">
      <w:rPr>
        <w:noProof/>
      </w:rPr>
      <w:t>2 March 2025</w:t>
    </w:r>
    <w:r>
      <w:fldChar w:fldCharType="end"/>
    </w:r>
  </w:p>
  <w:p w:rsidR="00AA029E" w:rsidP="00AA0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F24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22D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2E1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29E"/>
    <w:pPr>
      <w:spacing w:before="360" w:after="60"/>
      <w:outlineLvl w:val="0"/>
    </w:pPr>
    <w:rPr>
      <w:sz w:val="32"/>
    </w:rPr>
  </w:style>
  <w:style w:type="paragraph" w:styleId="Heading2">
    <w:name w:val="heading 2"/>
    <w:basedOn w:val="HeadingBase"/>
    <w:next w:val="BodyText"/>
    <w:link w:val="Heading2Char"/>
    <w:qFormat/>
    <w:rsid w:val="00AA029E"/>
    <w:pPr>
      <w:keepLines/>
      <w:spacing w:before="240" w:after="120"/>
      <w:outlineLvl w:val="1"/>
    </w:pPr>
    <w:rPr>
      <w:sz w:val="28"/>
      <w:szCs w:val="40"/>
    </w:rPr>
  </w:style>
  <w:style w:type="paragraph" w:styleId="Heading3">
    <w:name w:val="heading 3"/>
    <w:basedOn w:val="HeadingBase"/>
    <w:next w:val="BodyText"/>
    <w:link w:val="Heading3Char"/>
    <w:qFormat/>
    <w:rsid w:val="00AA029E"/>
    <w:pPr>
      <w:spacing w:before="180" w:after="120"/>
      <w:outlineLvl w:val="2"/>
    </w:pPr>
    <w:rPr>
      <w:spacing w:val="-10"/>
      <w:kern w:val="32"/>
    </w:rPr>
  </w:style>
  <w:style w:type="paragraph" w:styleId="Heading4">
    <w:name w:val="heading 4"/>
    <w:basedOn w:val="HeadingBase"/>
    <w:next w:val="BodyText"/>
    <w:link w:val="Heading4Char"/>
    <w:qFormat/>
    <w:rsid w:val="00AA029E"/>
    <w:pPr>
      <w:spacing w:before="160" w:after="120"/>
      <w:outlineLvl w:val="3"/>
    </w:pPr>
    <w:rPr>
      <w:sz w:val="22"/>
    </w:rPr>
  </w:style>
  <w:style w:type="paragraph" w:styleId="Heading5">
    <w:name w:val="heading 5"/>
    <w:basedOn w:val="HeadingBase"/>
    <w:next w:val="Normal"/>
    <w:link w:val="Heading5Char"/>
    <w:qFormat/>
    <w:rsid w:val="00AA029E"/>
    <w:pPr>
      <w:spacing w:before="80"/>
      <w:outlineLvl w:val="4"/>
    </w:pPr>
    <w:rPr>
      <w:color w:val="918585"/>
      <w:sz w:val="20"/>
    </w:rPr>
  </w:style>
  <w:style w:type="paragraph" w:styleId="Heading6">
    <w:name w:val="heading 6"/>
    <w:basedOn w:val="HeadingBase"/>
    <w:next w:val="Normal"/>
    <w:link w:val="Heading6Char"/>
    <w:qFormat/>
    <w:rsid w:val="00AA029E"/>
    <w:pPr>
      <w:spacing w:before="60"/>
      <w:outlineLvl w:val="5"/>
    </w:pPr>
    <w:rPr>
      <w:color w:val="918585"/>
      <w:sz w:val="20"/>
    </w:rPr>
  </w:style>
  <w:style w:type="paragraph" w:styleId="Heading7">
    <w:name w:val="heading 7"/>
    <w:basedOn w:val="Normal"/>
    <w:next w:val="Normal"/>
    <w:link w:val="Heading7Char"/>
    <w:qFormat/>
    <w:rsid w:val="00AA029E"/>
    <w:pPr>
      <w:ind w:left="720"/>
      <w:outlineLvl w:val="6"/>
    </w:pPr>
    <w:rPr>
      <w:i/>
    </w:rPr>
  </w:style>
  <w:style w:type="paragraph" w:styleId="Heading8">
    <w:name w:val="heading 8"/>
    <w:basedOn w:val="Normal"/>
    <w:next w:val="Normal"/>
    <w:link w:val="Heading8Char"/>
    <w:qFormat/>
    <w:rsid w:val="00AA029E"/>
    <w:pPr>
      <w:ind w:left="720"/>
      <w:outlineLvl w:val="7"/>
    </w:pPr>
    <w:rPr>
      <w:i/>
    </w:rPr>
  </w:style>
  <w:style w:type="paragraph" w:styleId="Heading9">
    <w:name w:val="heading 9"/>
    <w:basedOn w:val="Normal"/>
    <w:next w:val="Normal"/>
    <w:link w:val="Heading9Char"/>
    <w:qFormat/>
    <w:rsid w:val="00AA029E"/>
    <w:pPr>
      <w:ind w:left="720"/>
      <w:outlineLvl w:val="8"/>
    </w:pPr>
    <w:rPr>
      <w:i/>
    </w:rPr>
  </w:style>
  <w:style w:type="character" w:default="1" w:styleId="DefaultParagraphFont">
    <w:name w:val="Default Paragraph Font"/>
    <w:uiPriority w:val="1"/>
    <w:unhideWhenUsed/>
    <w:rsid w:val="00AA0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29E"/>
  </w:style>
  <w:style w:type="character" w:customStyle="1" w:styleId="Heading1Char">
    <w:name w:val="Heading 1 Char"/>
    <w:basedOn w:val="DefaultParagraphFont"/>
    <w:link w:val="Heading1"/>
    <w:rsid w:val="00AA029E"/>
    <w:rPr>
      <w:rFonts w:ascii="Times New Roman" w:eastAsia="Times New Roman" w:hAnsi="Times New Roman" w:cs="Times New Roman"/>
      <w:b/>
      <w:sz w:val="32"/>
      <w:szCs w:val="20"/>
      <w:lang w:eastAsia="en-US"/>
    </w:rPr>
  </w:style>
  <w:style w:type="paragraph" w:styleId="BodyText">
    <w:name w:val="Body Text"/>
    <w:basedOn w:val="Normal"/>
    <w:link w:val="BodyTextChar"/>
    <w:rsid w:val="00AA0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29E"/>
    <w:rPr>
      <w:rFonts w:ascii="Times New Roman" w:eastAsia="Times New Roman" w:hAnsi="Times New Roman" w:cs="Times New Roman"/>
      <w:sz w:val="24"/>
      <w:lang w:eastAsia="en-US"/>
    </w:rPr>
  </w:style>
  <w:style w:type="paragraph" w:styleId="ListBullet">
    <w:name w:val="List Bullet"/>
    <w:basedOn w:val="List"/>
    <w:rsid w:val="00AA029E"/>
    <w:pPr>
      <w:numPr>
        <w:numId w:val="14"/>
      </w:numPr>
      <w:tabs>
        <w:tab w:val="clear" w:pos="340"/>
      </w:tabs>
      <w:spacing w:before="40" w:after="40"/>
    </w:pPr>
  </w:style>
  <w:style w:type="character" w:customStyle="1" w:styleId="SpecialBold">
    <w:name w:val="Special Bold"/>
    <w:basedOn w:val="DefaultParagraphFont"/>
    <w:rsid w:val="00AA029E"/>
    <w:rPr>
      <w:b/>
      <w:spacing w:val="0"/>
    </w:rPr>
  </w:style>
  <w:style w:type="paragraph" w:styleId="ListBullet2">
    <w:name w:val="List Bullet 2"/>
    <w:basedOn w:val="List2"/>
    <w:rsid w:val="00AA029E"/>
    <w:pPr>
      <w:numPr>
        <w:numId w:val="15"/>
      </w:numPr>
      <w:tabs>
        <w:tab w:val="clear" w:pos="680"/>
      </w:tabs>
    </w:pPr>
  </w:style>
  <w:style w:type="paragraph" w:customStyle="1" w:styleId="SuperHeading">
    <w:name w:val="SuperHeading"/>
    <w:basedOn w:val="Normal"/>
    <w:rsid w:val="00AA029E"/>
    <w:pPr>
      <w:spacing w:before="240" w:after="120"/>
      <w:outlineLvl w:val="0"/>
    </w:pPr>
    <w:rPr>
      <w:rFonts w:ascii="Times New Roman" w:hAnsi="Times New Roman"/>
      <w:b/>
      <w:sz w:val="32"/>
    </w:rPr>
  </w:style>
  <w:style w:type="paragraph" w:customStyle="1" w:styleId="AllowPageBreak">
    <w:name w:val="AllowPageBreak"/>
    <w:rsid w:val="00AA02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029E"/>
    <w:pPr>
      <w:numPr>
        <w:numId w:val="3"/>
      </w:numPr>
      <w:tabs>
        <w:tab w:val="clear" w:pos="1021"/>
      </w:tabs>
      <w:ind w:left="1037" w:hanging="357"/>
    </w:pPr>
  </w:style>
  <w:style w:type="paragraph" w:styleId="ListBullet4">
    <w:name w:val="List Bullet 4"/>
    <w:basedOn w:val="List4"/>
    <w:rsid w:val="00AA029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0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29E"/>
    <w:rPr>
      <w:rFonts w:ascii="Courier New" w:eastAsia="Times New Roman" w:hAnsi="Courier New" w:cs="Times New Roman"/>
      <w:i/>
      <w:szCs w:val="20"/>
      <w:lang w:eastAsia="en-US"/>
    </w:rPr>
  </w:style>
  <w:style w:type="paragraph" w:customStyle="1" w:styleId="HeadingBase">
    <w:name w:val="Heading Base"/>
    <w:rsid w:val="00AA0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29E"/>
    <w:pPr>
      <w:tabs>
        <w:tab w:val="right" w:leader="dot" w:pos="9072"/>
      </w:tabs>
      <w:ind w:left="567"/>
    </w:pPr>
    <w:rPr>
      <w:szCs w:val="22"/>
    </w:rPr>
  </w:style>
  <w:style w:type="paragraph" w:customStyle="1" w:styleId="TOCBase">
    <w:name w:val="TOC Base"/>
    <w:rsid w:val="00AA0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29E"/>
    <w:pPr>
      <w:tabs>
        <w:tab w:val="right" w:leader="dot" w:pos="9072"/>
      </w:tabs>
      <w:spacing w:before="40" w:after="40"/>
      <w:ind w:left="284"/>
    </w:pPr>
    <w:rPr>
      <w:rFonts w:ascii="Times New Roman" w:hAnsi="Times New Roman"/>
    </w:rPr>
  </w:style>
  <w:style w:type="paragraph" w:styleId="TOC1">
    <w:name w:val="toc 1"/>
    <w:basedOn w:val="TOCBase"/>
    <w:next w:val="Normal"/>
    <w:rsid w:val="00AA0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29E"/>
    <w:rPr>
      <w:rFonts w:ascii="Times New Roman" w:eastAsia="Times New Roman" w:hAnsi="Times New Roman" w:cs="Times New Roman"/>
      <w:sz w:val="16"/>
      <w:lang w:eastAsia="en-US"/>
    </w:rPr>
  </w:style>
  <w:style w:type="paragraph" w:styleId="Title">
    <w:name w:val="Title"/>
    <w:basedOn w:val="HeadingBase"/>
    <w:link w:val="TitleChar"/>
    <w:qFormat/>
    <w:rsid w:val="00AA029E"/>
    <w:pPr>
      <w:spacing w:before="5040"/>
      <w:jc w:val="center"/>
    </w:pPr>
    <w:rPr>
      <w:sz w:val="48"/>
      <w:szCs w:val="72"/>
      <w:lang w:val="en-US"/>
    </w:rPr>
  </w:style>
  <w:style w:type="character" w:customStyle="1" w:styleId="TitleChar">
    <w:name w:val="Title Char"/>
    <w:basedOn w:val="DefaultParagraphFont"/>
    <w:link w:val="Title"/>
    <w:rsid w:val="00AA0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29E"/>
    <w:pPr>
      <w:tabs>
        <w:tab w:val="left" w:pos="3600"/>
        <w:tab w:val="left" w:pos="3958"/>
      </w:tabs>
    </w:pPr>
  </w:style>
  <w:style w:type="paragraph" w:styleId="List">
    <w:name w:val="List"/>
    <w:basedOn w:val="BodyText"/>
    <w:next w:val="BodyText"/>
    <w:rsid w:val="00AA029E"/>
    <w:pPr>
      <w:tabs>
        <w:tab w:val="left" w:pos="340"/>
      </w:tabs>
      <w:spacing w:before="60" w:after="60"/>
      <w:ind w:left="340" w:hanging="340"/>
    </w:pPr>
  </w:style>
  <w:style w:type="paragraph" w:customStyle="1" w:styleId="Note">
    <w:name w:val="Note"/>
    <w:basedOn w:val="BodyText"/>
    <w:rsid w:val="00AA0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29E"/>
    <w:pPr>
      <w:framePr w:wrap="auto" w:hAnchor="text" w:y="6049"/>
    </w:pPr>
    <w:rPr>
      <w:color w:val="000000"/>
      <w:sz w:val="40"/>
    </w:rPr>
  </w:style>
  <w:style w:type="paragraph" w:customStyle="1" w:styleId="TOCTitle">
    <w:name w:val="TOCTitle"/>
    <w:basedOn w:val="Heading1"/>
    <w:rsid w:val="00AA029E"/>
    <w:pPr>
      <w:spacing w:after="240"/>
      <w:jc w:val="center"/>
      <w:outlineLvl w:val="9"/>
    </w:pPr>
    <w:rPr>
      <w:caps/>
    </w:rPr>
  </w:style>
  <w:style w:type="paragraph" w:customStyle="1" w:styleId="Version">
    <w:name w:val="Version"/>
    <w:rsid w:val="00AA02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29E"/>
    <w:pPr>
      <w:keepNext w:val="0"/>
      <w:tabs>
        <w:tab w:val="right" w:pos="4176"/>
      </w:tabs>
      <w:ind w:left="198" w:hanging="198"/>
    </w:pPr>
    <w:rPr>
      <w:rFonts w:ascii="Garamond" w:hAnsi="Garamond"/>
    </w:rPr>
  </w:style>
  <w:style w:type="paragraph" w:styleId="IndexHeading">
    <w:name w:val="index heading"/>
    <w:basedOn w:val="Normal"/>
    <w:next w:val="Index1"/>
    <w:semiHidden/>
    <w:rsid w:val="00AA029E"/>
    <w:pPr>
      <w:spacing w:before="120" w:after="120"/>
    </w:pPr>
    <w:rPr>
      <w:rFonts w:ascii="Arial" w:hAnsi="Arial"/>
      <w:b/>
      <w:color w:val="918585"/>
      <w:sz w:val="24"/>
    </w:rPr>
  </w:style>
  <w:style w:type="paragraph" w:styleId="Header">
    <w:name w:val="header"/>
    <w:basedOn w:val="Normal"/>
    <w:link w:val="HeaderChar"/>
    <w:rsid w:val="00AA0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29E"/>
    <w:rPr>
      <w:rFonts w:ascii="Times New Roman" w:eastAsia="Times New Roman" w:hAnsi="Times New Roman" w:cs="Times New Roman"/>
      <w:sz w:val="16"/>
      <w:szCs w:val="20"/>
      <w:lang w:val="en-GB" w:eastAsia="en-US"/>
    </w:rPr>
  </w:style>
  <w:style w:type="paragraph" w:customStyle="1" w:styleId="Chapter">
    <w:name w:val="Chapter"/>
    <w:basedOn w:val="Normal"/>
    <w:rsid w:val="00AA029E"/>
    <w:pPr>
      <w:spacing w:before="240"/>
    </w:pPr>
    <w:rPr>
      <w:rFonts w:ascii="Times New Roman" w:hAnsi="Times New Roman"/>
      <w:smallCaps/>
      <w:spacing w:val="80"/>
      <w:sz w:val="28"/>
    </w:rPr>
  </w:style>
  <w:style w:type="paragraph" w:customStyle="1" w:styleId="InChapter">
    <w:name w:val="InChapter"/>
    <w:basedOn w:val="Heading3"/>
    <w:rsid w:val="00AA029E"/>
    <w:pPr>
      <w:spacing w:after="240"/>
      <w:outlineLvl w:val="9"/>
    </w:pPr>
    <w:rPr>
      <w:noProof/>
    </w:rPr>
  </w:style>
  <w:style w:type="paragraph" w:styleId="Index2">
    <w:name w:val="index 2"/>
    <w:basedOn w:val="Normal"/>
    <w:next w:val="Normal"/>
    <w:semiHidden/>
    <w:rsid w:val="00AA029E"/>
    <w:pPr>
      <w:tabs>
        <w:tab w:val="right" w:pos="4176"/>
      </w:tabs>
      <w:ind w:left="568" w:hanging="284"/>
    </w:pPr>
    <w:rPr>
      <w:rFonts w:ascii="Garamond" w:hAnsi="Garamond"/>
    </w:rPr>
  </w:style>
  <w:style w:type="paragraph" w:customStyle="1" w:styleId="Byline">
    <w:name w:val="Byline"/>
    <w:rsid w:val="00AA0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29E"/>
    <w:pPr>
      <w:tabs>
        <w:tab w:val="clear" w:pos="3600"/>
        <w:tab w:val="clear" w:pos="3958"/>
      </w:tabs>
      <w:jc w:val="right"/>
    </w:pPr>
  </w:style>
  <w:style w:type="character" w:styleId="Emphasis">
    <w:name w:val="Emphasis"/>
    <w:basedOn w:val="DefaultParagraphFont"/>
    <w:qFormat/>
    <w:rsid w:val="00AA029E"/>
    <w:rPr>
      <w:i/>
    </w:rPr>
  </w:style>
  <w:style w:type="paragraph" w:styleId="Caption">
    <w:name w:val="caption"/>
    <w:basedOn w:val="BodyText"/>
    <w:next w:val="Normal"/>
    <w:qFormat/>
    <w:rsid w:val="00AA029E"/>
    <w:pPr>
      <w:framePr w:w="2268" w:hSpace="181" w:vSpace="181" w:wrap="around" w:vAnchor="text" w:hAnchor="page" w:x="1135" w:y="285" w:anchorLock="1"/>
    </w:pPr>
    <w:rPr>
      <w:i/>
    </w:rPr>
  </w:style>
  <w:style w:type="paragraph" w:customStyle="1" w:styleId="MiniTOCTitle">
    <w:name w:val="MiniTOCTitle"/>
    <w:basedOn w:val="Heading4"/>
    <w:rsid w:val="00AA029E"/>
    <w:pPr>
      <w:spacing w:before="240"/>
      <w:outlineLvl w:val="9"/>
    </w:pPr>
    <w:rPr>
      <w:noProof/>
      <w:sz w:val="24"/>
    </w:rPr>
  </w:style>
  <w:style w:type="paragraph" w:customStyle="1" w:styleId="MiniTOCItem">
    <w:name w:val="MiniTOCItem"/>
    <w:basedOn w:val="ListBullet"/>
    <w:rsid w:val="00AA029E"/>
    <w:pPr>
      <w:numPr>
        <w:numId w:val="0"/>
      </w:numPr>
      <w:tabs>
        <w:tab w:val="right" w:leader="dot" w:pos="6521"/>
      </w:tabs>
      <w:spacing w:before="0" w:after="0"/>
    </w:pPr>
  </w:style>
  <w:style w:type="paragraph" w:customStyle="1" w:styleId="TOFTitle">
    <w:name w:val="TOFTitle"/>
    <w:basedOn w:val="TOCTitle"/>
    <w:rsid w:val="00AA029E"/>
  </w:style>
  <w:style w:type="paragraph" w:styleId="TableofFigures">
    <w:name w:val="table of figures"/>
    <w:basedOn w:val="Normal"/>
    <w:next w:val="Normal"/>
    <w:semiHidden/>
    <w:rsid w:val="00AA029E"/>
    <w:pPr>
      <w:tabs>
        <w:tab w:val="right" w:leader="dot" w:pos="9072"/>
      </w:tabs>
      <w:ind w:left="970" w:hanging="403"/>
    </w:pPr>
    <w:rPr>
      <w:rFonts w:ascii="Times New Roman" w:hAnsi="Times New Roman"/>
      <w:b/>
    </w:rPr>
  </w:style>
  <w:style w:type="paragraph" w:styleId="ListNumber">
    <w:name w:val="List Number"/>
    <w:basedOn w:val="List"/>
    <w:rsid w:val="00AA029E"/>
    <w:pPr>
      <w:numPr>
        <w:numId w:val="17"/>
      </w:numPr>
      <w:tabs>
        <w:tab w:val="clear" w:pos="340"/>
      </w:tabs>
    </w:pPr>
  </w:style>
  <w:style w:type="character" w:customStyle="1" w:styleId="WingdingSymbols">
    <w:name w:val="Wingding Symbols"/>
    <w:rsid w:val="00AA029E"/>
    <w:rPr>
      <w:rFonts w:ascii="Wingdings" w:hAnsi="Wingdings"/>
    </w:rPr>
  </w:style>
  <w:style w:type="paragraph" w:customStyle="1" w:styleId="TableHeading">
    <w:name w:val="Table Heading"/>
    <w:basedOn w:val="HeadingBase"/>
    <w:rsid w:val="00AA029E"/>
    <w:pPr>
      <w:keepLines/>
      <w:pBdr>
        <w:bottom w:val="single" w:sz="6" w:space="1" w:color="918585"/>
      </w:pBdr>
      <w:spacing w:before="240"/>
    </w:pPr>
  </w:style>
  <w:style w:type="character" w:customStyle="1" w:styleId="HotSpot">
    <w:name w:val="HotSpot"/>
    <w:rsid w:val="00AA029E"/>
    <w:rPr>
      <w:color w:val="0033CC"/>
      <w:u w:val="none"/>
    </w:rPr>
  </w:style>
  <w:style w:type="paragraph" w:customStyle="1" w:styleId="BodyTextRight">
    <w:name w:val="Body Text Right"/>
    <w:basedOn w:val="BodyText"/>
    <w:rsid w:val="00AA029E"/>
    <w:pPr>
      <w:spacing w:before="0" w:after="0"/>
      <w:jc w:val="right"/>
    </w:pPr>
  </w:style>
  <w:style w:type="paragraph" w:styleId="Index3">
    <w:name w:val="index 3"/>
    <w:basedOn w:val="ListNumber2"/>
    <w:next w:val="Normal"/>
    <w:semiHidden/>
    <w:rsid w:val="00AA029E"/>
    <w:pPr>
      <w:numPr>
        <w:numId w:val="0"/>
      </w:numPr>
      <w:tabs>
        <w:tab w:val="right" w:leader="dot" w:pos="4176"/>
      </w:tabs>
    </w:pPr>
  </w:style>
  <w:style w:type="paragraph" w:styleId="ListNumber2">
    <w:name w:val="List Number 2"/>
    <w:basedOn w:val="List2"/>
    <w:rsid w:val="00AA029E"/>
    <w:pPr>
      <w:numPr>
        <w:numId w:val="12"/>
      </w:numPr>
      <w:tabs>
        <w:tab w:val="clear" w:pos="1060"/>
      </w:tabs>
    </w:pPr>
  </w:style>
  <w:style w:type="paragraph" w:customStyle="1" w:styleId="MarginNote">
    <w:name w:val="Margin Note"/>
    <w:basedOn w:val="BodyText"/>
    <w:rsid w:val="00AA0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29E"/>
    <w:rPr>
      <w:sz w:val="32"/>
    </w:rPr>
  </w:style>
  <w:style w:type="paragraph" w:customStyle="1" w:styleId="HeadingProcedure">
    <w:name w:val="Heading Procedure"/>
    <w:basedOn w:val="HeadingBase"/>
    <w:next w:val="Normal"/>
    <w:rsid w:val="00AA029E"/>
    <w:pPr>
      <w:tabs>
        <w:tab w:val="left" w:pos="0"/>
      </w:tabs>
      <w:spacing w:before="120" w:after="60"/>
    </w:pPr>
    <w:rPr>
      <w:i/>
      <w:color w:val="918585"/>
      <w:sz w:val="22"/>
    </w:rPr>
  </w:style>
  <w:style w:type="paragraph" w:customStyle="1" w:styleId="TableBodyText">
    <w:name w:val="Table Body Text"/>
    <w:basedOn w:val="BodyText"/>
    <w:rsid w:val="00AA029E"/>
    <w:pPr>
      <w:spacing w:before="60" w:after="60"/>
    </w:pPr>
  </w:style>
  <w:style w:type="paragraph" w:styleId="ListContinue">
    <w:name w:val="List Continue"/>
    <w:basedOn w:val="List"/>
    <w:rsid w:val="00AA029E"/>
    <w:pPr>
      <w:ind w:firstLine="0"/>
    </w:pPr>
  </w:style>
  <w:style w:type="paragraph" w:customStyle="1" w:styleId="ListNote">
    <w:name w:val="List Note"/>
    <w:basedOn w:val="List"/>
    <w:rsid w:val="00AA029E"/>
    <w:pPr>
      <w:pBdr>
        <w:top w:val="single" w:sz="6" w:space="2" w:color="918585"/>
        <w:bottom w:val="single" w:sz="6" w:space="2" w:color="918585"/>
      </w:pBdr>
      <w:tabs>
        <w:tab w:val="left" w:pos="1021"/>
      </w:tabs>
      <w:ind w:firstLine="0"/>
    </w:pPr>
  </w:style>
  <w:style w:type="paragraph" w:customStyle="1" w:styleId="Warning">
    <w:name w:val="Warning"/>
    <w:basedOn w:val="BodyText"/>
    <w:rsid w:val="00AA029E"/>
    <w:pPr>
      <w:shd w:val="clear" w:color="auto" w:fill="D9D9D9"/>
      <w:tabs>
        <w:tab w:val="left" w:pos="992"/>
      </w:tabs>
      <w:ind w:left="119" w:right="119"/>
    </w:pPr>
    <w:rPr>
      <w:sz w:val="20"/>
    </w:rPr>
  </w:style>
  <w:style w:type="paragraph" w:customStyle="1" w:styleId="MarginIcons">
    <w:name w:val="Margin Icons"/>
    <w:basedOn w:val="BodyText"/>
    <w:rsid w:val="00AA0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29E"/>
    <w:rPr>
      <w:rFonts w:ascii="Courier New" w:hAnsi="Courier New"/>
    </w:rPr>
  </w:style>
  <w:style w:type="paragraph" w:customStyle="1" w:styleId="NoteBullet">
    <w:name w:val="Note Bullet"/>
    <w:basedOn w:val="Note"/>
    <w:rsid w:val="00AA029E"/>
    <w:pPr>
      <w:tabs>
        <w:tab w:val="clear" w:pos="680"/>
      </w:tabs>
      <w:spacing w:before="60" w:after="60"/>
    </w:pPr>
  </w:style>
  <w:style w:type="paragraph" w:customStyle="1" w:styleId="SubHeading2">
    <w:name w:val="SubHeading2"/>
    <w:basedOn w:val="HeadingBase"/>
    <w:rsid w:val="00AA029E"/>
    <w:pPr>
      <w:spacing w:before="240" w:after="60"/>
    </w:pPr>
    <w:rPr>
      <w:sz w:val="20"/>
    </w:rPr>
  </w:style>
  <w:style w:type="paragraph" w:customStyle="1" w:styleId="SubHeading1">
    <w:name w:val="SubHeading1"/>
    <w:basedOn w:val="HeadingBase"/>
    <w:rsid w:val="00AA029E"/>
    <w:pPr>
      <w:spacing w:before="240" w:after="60"/>
    </w:pPr>
    <w:rPr>
      <w:color w:val="918585"/>
      <w:sz w:val="22"/>
    </w:rPr>
  </w:style>
  <w:style w:type="paragraph" w:customStyle="1" w:styleId="SideHeading">
    <w:name w:val="Side Heading"/>
    <w:basedOn w:val="HeadingBase"/>
    <w:rsid w:val="00AA0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29E"/>
    <w:pPr>
      <w:numPr>
        <w:numId w:val="13"/>
      </w:numPr>
    </w:pPr>
  </w:style>
  <w:style w:type="paragraph" w:styleId="PlainText">
    <w:name w:val="Plain Text"/>
    <w:basedOn w:val="Normal"/>
    <w:link w:val="PlainTextChar"/>
    <w:rsid w:val="00AA029E"/>
    <w:rPr>
      <w:sz w:val="20"/>
    </w:rPr>
  </w:style>
  <w:style w:type="character" w:customStyle="1" w:styleId="PlainTextChar">
    <w:name w:val="Plain Text Char"/>
    <w:basedOn w:val="DefaultParagraphFont"/>
    <w:link w:val="PlainText"/>
    <w:rsid w:val="00AA029E"/>
    <w:rPr>
      <w:rFonts w:ascii="Courier New" w:eastAsia="Times New Roman" w:hAnsi="Courier New" w:cs="Times New Roman"/>
      <w:sz w:val="20"/>
      <w:szCs w:val="20"/>
      <w:lang w:eastAsia="en-US"/>
    </w:rPr>
  </w:style>
  <w:style w:type="character" w:customStyle="1" w:styleId="MenuOption">
    <w:name w:val="Menu Option"/>
    <w:basedOn w:val="DefaultParagraphFont"/>
    <w:rsid w:val="00AA029E"/>
    <w:rPr>
      <w:b/>
      <w:smallCaps/>
    </w:rPr>
  </w:style>
  <w:style w:type="paragraph" w:customStyle="1" w:styleId="TableListNumber">
    <w:name w:val="Table List Number"/>
    <w:basedOn w:val="ListNumber"/>
    <w:rsid w:val="00AA029E"/>
    <w:pPr>
      <w:numPr>
        <w:numId w:val="0"/>
      </w:numPr>
    </w:pPr>
  </w:style>
  <w:style w:type="paragraph" w:styleId="TOC4">
    <w:name w:val="toc 4"/>
    <w:basedOn w:val="TOCBase"/>
    <w:next w:val="Normal"/>
    <w:semiHidden/>
    <w:rsid w:val="00AA029E"/>
    <w:pPr>
      <w:tabs>
        <w:tab w:val="right" w:leader="dot" w:pos="9071"/>
      </w:tabs>
      <w:ind w:left="1701"/>
    </w:pPr>
  </w:style>
  <w:style w:type="paragraph" w:customStyle="1" w:styleId="ListAlpha">
    <w:name w:val="List Alpha"/>
    <w:basedOn w:val="List"/>
    <w:rsid w:val="00AA029E"/>
    <w:pPr>
      <w:numPr>
        <w:numId w:val="11"/>
      </w:numPr>
    </w:pPr>
  </w:style>
  <w:style w:type="paragraph" w:customStyle="1" w:styleId="ListAlpha2">
    <w:name w:val="List Alpha 2"/>
    <w:basedOn w:val="List2"/>
    <w:rsid w:val="00AA029E"/>
    <w:pPr>
      <w:numPr>
        <w:numId w:val="10"/>
      </w:numPr>
    </w:pPr>
  </w:style>
  <w:style w:type="paragraph" w:styleId="List2">
    <w:name w:val="List 2"/>
    <w:basedOn w:val="BodyText"/>
    <w:rsid w:val="00AA029E"/>
    <w:pPr>
      <w:tabs>
        <w:tab w:val="left" w:pos="680"/>
      </w:tabs>
      <w:spacing w:before="60" w:after="60"/>
      <w:ind w:left="680" w:hanging="340"/>
    </w:pPr>
  </w:style>
  <w:style w:type="paragraph" w:styleId="List3">
    <w:name w:val="List 3"/>
    <w:basedOn w:val="BodyText"/>
    <w:rsid w:val="00AA029E"/>
    <w:pPr>
      <w:tabs>
        <w:tab w:val="left" w:pos="1021"/>
      </w:tabs>
      <w:spacing w:before="60" w:after="60"/>
      <w:ind w:left="1020" w:hanging="340"/>
    </w:pPr>
  </w:style>
  <w:style w:type="paragraph" w:styleId="List4">
    <w:name w:val="List 4"/>
    <w:basedOn w:val="BodyText"/>
    <w:rsid w:val="00AA029E"/>
    <w:pPr>
      <w:tabs>
        <w:tab w:val="left" w:pos="1361"/>
      </w:tabs>
      <w:spacing w:before="60" w:after="60"/>
      <w:ind w:left="1361" w:hanging="340"/>
    </w:pPr>
  </w:style>
  <w:style w:type="paragraph" w:styleId="List5">
    <w:name w:val="List 5"/>
    <w:basedOn w:val="BodyText"/>
    <w:rsid w:val="00AA029E"/>
    <w:pPr>
      <w:tabs>
        <w:tab w:val="left" w:pos="1701"/>
      </w:tabs>
      <w:spacing w:before="60" w:after="60"/>
      <w:ind w:left="1701" w:hanging="340"/>
    </w:pPr>
  </w:style>
  <w:style w:type="paragraph" w:styleId="ListBullet5">
    <w:name w:val="List Bullet 5"/>
    <w:basedOn w:val="List5"/>
    <w:rsid w:val="00AA029E"/>
    <w:pPr>
      <w:numPr>
        <w:numId w:val="6"/>
      </w:numPr>
    </w:pPr>
  </w:style>
  <w:style w:type="paragraph" w:styleId="ListContinue2">
    <w:name w:val="List Continue 2"/>
    <w:basedOn w:val="List2"/>
    <w:rsid w:val="00AA029E"/>
    <w:pPr>
      <w:ind w:firstLine="0"/>
    </w:pPr>
  </w:style>
  <w:style w:type="paragraph" w:styleId="ListContinue3">
    <w:name w:val="List Continue 3"/>
    <w:basedOn w:val="List3"/>
    <w:rsid w:val="00AA029E"/>
    <w:pPr>
      <w:ind w:left="1021" w:firstLine="0"/>
    </w:pPr>
  </w:style>
  <w:style w:type="paragraph" w:styleId="ListContinue4">
    <w:name w:val="List Continue 4"/>
    <w:basedOn w:val="List4"/>
    <w:rsid w:val="00AA029E"/>
    <w:pPr>
      <w:ind w:firstLine="0"/>
    </w:pPr>
  </w:style>
  <w:style w:type="paragraph" w:styleId="ListContinue5">
    <w:name w:val="List Continue 5"/>
    <w:basedOn w:val="List5"/>
    <w:rsid w:val="00AA029E"/>
    <w:pPr>
      <w:ind w:firstLine="0"/>
    </w:pPr>
  </w:style>
  <w:style w:type="paragraph" w:styleId="ListNumber3">
    <w:name w:val="List Number 3"/>
    <w:basedOn w:val="List3"/>
    <w:rsid w:val="00AA029E"/>
    <w:pPr>
      <w:numPr>
        <w:numId w:val="7"/>
      </w:numPr>
    </w:pPr>
  </w:style>
  <w:style w:type="paragraph" w:styleId="ListNumber4">
    <w:name w:val="List Number 4"/>
    <w:basedOn w:val="List4"/>
    <w:rsid w:val="00AA029E"/>
    <w:pPr>
      <w:numPr>
        <w:numId w:val="8"/>
      </w:numPr>
    </w:pPr>
  </w:style>
  <w:style w:type="paragraph" w:styleId="ListNumber5">
    <w:name w:val="List Number 5"/>
    <w:basedOn w:val="List5"/>
    <w:rsid w:val="00AA029E"/>
    <w:pPr>
      <w:numPr>
        <w:numId w:val="9"/>
      </w:numPr>
    </w:pPr>
  </w:style>
  <w:style w:type="paragraph" w:styleId="BlockText">
    <w:name w:val="Block Text"/>
    <w:basedOn w:val="Normal"/>
    <w:rsid w:val="00AA029E"/>
    <w:pPr>
      <w:spacing w:after="120"/>
      <w:ind w:left="1440" w:right="1440"/>
    </w:pPr>
  </w:style>
  <w:style w:type="character" w:customStyle="1" w:styleId="Subscript">
    <w:name w:val="Subscript"/>
    <w:basedOn w:val="DefaultParagraphFont"/>
    <w:rsid w:val="00AA029E"/>
    <w:rPr>
      <w:sz w:val="16"/>
      <w:vertAlign w:val="subscript"/>
    </w:rPr>
  </w:style>
  <w:style w:type="character" w:customStyle="1" w:styleId="Superscript">
    <w:name w:val="Superscript"/>
    <w:basedOn w:val="DefaultParagraphFont"/>
    <w:rsid w:val="00AA029E"/>
    <w:rPr>
      <w:sz w:val="16"/>
      <w:vertAlign w:val="superscript"/>
    </w:rPr>
  </w:style>
  <w:style w:type="character" w:customStyle="1" w:styleId="Symbols">
    <w:name w:val="Symbols"/>
    <w:basedOn w:val="DefaultParagraphFont"/>
    <w:rsid w:val="00AA029E"/>
    <w:rPr>
      <w:rFonts w:ascii="Symbol" w:hAnsi="Symbol"/>
    </w:rPr>
  </w:style>
  <w:style w:type="character" w:customStyle="1" w:styleId="MenuOptions">
    <w:name w:val="Menu Options"/>
    <w:basedOn w:val="DefaultParagraphFont"/>
    <w:rsid w:val="00AA029E"/>
    <w:rPr>
      <w:rFonts w:ascii="Arial Narrow" w:hAnsi="Arial Narrow"/>
      <w:smallCaps/>
    </w:rPr>
  </w:style>
  <w:style w:type="character" w:customStyle="1" w:styleId="Buttons">
    <w:name w:val="Buttons"/>
    <w:basedOn w:val="DefaultParagraphFont"/>
    <w:rsid w:val="00AA029E"/>
    <w:rPr>
      <w:b/>
    </w:rPr>
  </w:style>
  <w:style w:type="character" w:customStyle="1" w:styleId="Underlined">
    <w:name w:val="Underlined"/>
    <w:basedOn w:val="DefaultParagraphFont"/>
    <w:rsid w:val="00AA029E"/>
    <w:rPr>
      <w:u w:val="single"/>
    </w:rPr>
  </w:style>
  <w:style w:type="paragraph" w:customStyle="1" w:styleId="TableBodyTextRight">
    <w:name w:val="Table Body Text Right"/>
    <w:basedOn w:val="TableBodyText"/>
    <w:rsid w:val="00AA029E"/>
    <w:pPr>
      <w:widowControl w:val="0"/>
      <w:autoSpaceDE w:val="0"/>
      <w:autoSpaceDN w:val="0"/>
      <w:adjustRightInd w:val="0"/>
      <w:jc w:val="right"/>
    </w:pPr>
    <w:rPr>
      <w:rFonts w:cs="Arial"/>
      <w:szCs w:val="18"/>
    </w:rPr>
  </w:style>
  <w:style w:type="paragraph" w:customStyle="1" w:styleId="CopyrightText">
    <w:name w:val="Copyright Text"/>
    <w:basedOn w:val="BodyText"/>
    <w:rsid w:val="00AA029E"/>
    <w:rPr>
      <w:sz w:val="18"/>
    </w:rPr>
  </w:style>
  <w:style w:type="paragraph" w:customStyle="1" w:styleId="BodySmallRight">
    <w:name w:val="Body Small Right"/>
    <w:basedOn w:val="BodyTextRight"/>
    <w:rsid w:val="00AA029E"/>
    <w:rPr>
      <w:sz w:val="18"/>
      <w:szCs w:val="18"/>
    </w:rPr>
  </w:style>
  <w:style w:type="paragraph" w:customStyle="1" w:styleId="MarginEdition">
    <w:name w:val="Margin Edition"/>
    <w:basedOn w:val="MarginNote"/>
    <w:rsid w:val="00AA029E"/>
    <w:pPr>
      <w:spacing w:before="0" w:after="0"/>
    </w:pPr>
    <w:rPr>
      <w:rFonts w:ascii="Times New Roman" w:hAnsi="Times New Roman"/>
      <w:color w:val="999999"/>
    </w:rPr>
  </w:style>
  <w:style w:type="paragraph" w:customStyle="1" w:styleId="Spacer">
    <w:name w:val="Spacer"/>
    <w:basedOn w:val="Normal"/>
    <w:rsid w:val="00AA029E"/>
    <w:rPr>
      <w:sz w:val="2"/>
      <w:szCs w:val="2"/>
    </w:rPr>
  </w:style>
  <w:style w:type="character" w:customStyle="1" w:styleId="Small">
    <w:name w:val="Small"/>
    <w:basedOn w:val="DefaultParagraphFont"/>
    <w:rsid w:val="00AA029E"/>
    <w:rPr>
      <w:sz w:val="16"/>
    </w:rPr>
  </w:style>
  <w:style w:type="paragraph" w:customStyle="1" w:styleId="WideTable">
    <w:name w:val="Wide Table"/>
    <w:basedOn w:val="Normal"/>
    <w:rsid w:val="00AA029E"/>
    <w:pPr>
      <w:ind w:left="-1418"/>
    </w:pPr>
    <w:rPr>
      <w:sz w:val="2"/>
      <w:szCs w:val="2"/>
    </w:rPr>
  </w:style>
  <w:style w:type="character" w:styleId="PageNumber">
    <w:name w:val="page number"/>
    <w:basedOn w:val="DefaultParagraphFont"/>
    <w:rsid w:val="00AA029E"/>
  </w:style>
  <w:style w:type="paragraph" w:styleId="Quote">
    <w:name w:val="Quote"/>
    <w:basedOn w:val="Heading1"/>
    <w:link w:val="QuoteChar"/>
    <w:qFormat/>
    <w:rsid w:val="00AA029E"/>
    <w:rPr>
      <w:b w:val="0"/>
      <w:sz w:val="72"/>
      <w:szCs w:val="72"/>
      <w:lang w:val="en-NZ"/>
    </w:rPr>
  </w:style>
  <w:style w:type="character" w:customStyle="1" w:styleId="QuoteChar">
    <w:name w:val="Quote Char"/>
    <w:basedOn w:val="DefaultParagraphFont"/>
    <w:link w:val="Quote"/>
    <w:rsid w:val="00AA0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29E"/>
    <w:pPr>
      <w:pageBreakBefore/>
    </w:pPr>
  </w:style>
  <w:style w:type="paragraph" w:customStyle="1" w:styleId="Border">
    <w:name w:val="Border"/>
    <w:basedOn w:val="Normal"/>
    <w:qFormat/>
    <w:rsid w:val="00AA0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29E"/>
    <w:rPr>
      <w:b/>
      <w:bCs/>
      <w:i/>
      <w:iCs/>
      <w:color w:val="auto"/>
    </w:rPr>
  </w:style>
  <w:style w:type="paragraph" w:styleId="IntenseQuote">
    <w:name w:val="Intense Quote"/>
    <w:basedOn w:val="Normal"/>
    <w:next w:val="Normal"/>
    <w:link w:val="IntenseQuoteChar"/>
    <w:uiPriority w:val="30"/>
    <w:qFormat/>
    <w:rsid w:val="00AA0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29E"/>
    <w:rPr>
      <w:smallCaps/>
      <w:color w:val="auto"/>
      <w:u w:val="single"/>
    </w:rPr>
  </w:style>
  <w:style w:type="character" w:styleId="IntenseReference">
    <w:name w:val="Intense Reference"/>
    <w:basedOn w:val="DefaultParagraphFont"/>
    <w:uiPriority w:val="32"/>
    <w:qFormat/>
    <w:rsid w:val="00AA029E"/>
    <w:rPr>
      <w:b/>
      <w:bCs/>
      <w:smallCaps/>
      <w:color w:val="auto"/>
      <w:spacing w:val="5"/>
      <w:u w:val="single"/>
    </w:rPr>
  </w:style>
  <w:style w:type="paragraph" w:customStyle="1" w:styleId="2ColumnHeading">
    <w:name w:val="2Column Heading"/>
    <w:basedOn w:val="BodyText"/>
    <w:qFormat/>
    <w:rsid w:val="00AA029E"/>
    <w:pPr>
      <w:spacing w:after="60"/>
      <w:ind w:left="-2268"/>
    </w:pPr>
    <w:rPr>
      <w:b/>
    </w:rPr>
  </w:style>
  <w:style w:type="paragraph" w:customStyle="1" w:styleId="Heading1TOC">
    <w:name w:val="Heading1 TOC"/>
    <w:basedOn w:val="Normal"/>
    <w:qFormat/>
    <w:rsid w:val="00AA029E"/>
    <w:pPr>
      <w:spacing w:before="240" w:after="120"/>
    </w:pPr>
    <w:rPr>
      <w:rFonts w:ascii="Times New Roman" w:hAnsi="Times New Roman"/>
      <w:b/>
      <w:sz w:val="32"/>
    </w:rPr>
  </w:style>
  <w:style w:type="paragraph" w:customStyle="1" w:styleId="Heading2TOC">
    <w:name w:val="Heading2 TOC"/>
    <w:basedOn w:val="Normal"/>
    <w:qFormat/>
    <w:rsid w:val="00AA029E"/>
    <w:pPr>
      <w:spacing w:before="240" w:after="60"/>
    </w:pPr>
    <w:rPr>
      <w:rFonts w:ascii="Times New Roman" w:hAnsi="Times New Roman"/>
      <w:b/>
      <w:sz w:val="28"/>
    </w:rPr>
  </w:style>
  <w:style w:type="character" w:customStyle="1" w:styleId="Underline">
    <w:name w:val="Underline"/>
    <w:basedOn w:val="DefaultParagraphFont"/>
    <w:qFormat/>
    <w:rsid w:val="00AA029E"/>
    <w:rPr>
      <w:u w:val="single"/>
    </w:rPr>
  </w:style>
  <w:style w:type="character" w:customStyle="1" w:styleId="BoldandItalics">
    <w:name w:val="Bold and Italics"/>
    <w:qFormat/>
    <w:rsid w:val="00AA029E"/>
    <w:rPr>
      <w:b/>
      <w:i/>
      <w:u w:val="none"/>
    </w:rPr>
  </w:style>
  <w:style w:type="paragraph" w:styleId="BalloonText">
    <w:name w:val="Balloon Text"/>
    <w:basedOn w:val="Normal"/>
    <w:link w:val="BalloonTextChar"/>
    <w:rsid w:val="00AA029E"/>
    <w:rPr>
      <w:rFonts w:ascii="Tahoma" w:hAnsi="Tahoma" w:cs="Tahoma"/>
      <w:sz w:val="16"/>
      <w:szCs w:val="16"/>
    </w:rPr>
  </w:style>
  <w:style w:type="character" w:customStyle="1" w:styleId="BalloonTextChar">
    <w:name w:val="Balloon Text Char"/>
    <w:basedOn w:val="DefaultParagraphFont"/>
    <w:link w:val="BalloonText"/>
    <w:rsid w:val="00AA0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29E"/>
    <w:rPr>
      <w:b/>
      <w:color w:val="660033"/>
      <w:spacing w:val="0"/>
    </w:rPr>
  </w:style>
  <w:style w:type="paragraph" w:customStyle="1" w:styleId="Nameditemlist">
    <w:name w:val="Named item list"/>
    <w:basedOn w:val="BodyText"/>
    <w:qFormat/>
    <w:rsid w:val="00AA029E"/>
    <w:pPr>
      <w:tabs>
        <w:tab w:val="left" w:pos="2835"/>
      </w:tabs>
      <w:ind w:left="2835" w:hanging="2835"/>
    </w:pPr>
  </w:style>
  <w:style w:type="paragraph" w:customStyle="1" w:styleId="BodyTextnopadding">
    <w:name w:val="Body Text no padding"/>
    <w:basedOn w:val="BodyText"/>
    <w:qFormat/>
    <w:rsid w:val="00AA029E"/>
    <w:pPr>
      <w:spacing w:before="0" w:after="0"/>
    </w:pPr>
  </w:style>
  <w:style w:type="paragraph" w:customStyle="1" w:styleId="BodyTextBold">
    <w:name w:val="Body Text Bold"/>
    <w:basedOn w:val="BodyText"/>
    <w:qFormat/>
    <w:rsid w:val="00AA029E"/>
    <w:rPr>
      <w:b/>
    </w:rPr>
  </w:style>
  <w:style w:type="character" w:styleId="Hyperlink">
    <w:name w:val="Hyperlink"/>
    <w:basedOn w:val="DefaultParagraphFont"/>
    <w:uiPriority w:val="99"/>
    <w:unhideWhenUsed/>
    <w:rsid w:val="00546B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1205</Words>
  <Characters>8389</Characters>
  <Application>Microsoft Office Word</Application>
  <DocSecurity>0</DocSecurity>
  <Lines>299</Lines>
  <Paragraphs>165</Paragraphs>
  <ScaleCrop>false</ScaleCrop>
  <Company>Author-it Software Corporation Ltd.</Company>
  <LinksUpToDate>false</LinksUpToDate>
  <CharactersWithSpaces>9429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UEERS0013 Install and maintain train detection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