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7C4F" w:rsidP="00037C4F">
      <w:pPr>
        <w:pStyle w:val="Title"/>
      </w:pPr>
      <w:r>
        <w:fldChar w:fldCharType="begin"/>
      </w:r>
      <w:r>
        <w:instrText xml:space="preserve"> TITLE   \* MERGEFORMAT </w:instrText>
      </w:r>
      <w:r>
        <w:fldChar w:fldCharType="separate"/>
      </w:r>
      <w:r>
        <w:t>Assessment Requirements for UEERS0010 Install and maintain rail signalling power supplies</w:t>
      </w:r>
      <w:r>
        <w:fldChar w:fldCharType="end"/>
      </w:r>
    </w:p>
    <w:p w:rsidR="00037C4F" w:rsidP="00037C4F">
      <w:pPr>
        <w:pStyle w:val="Version"/>
        <w:sectPr w:rsidSect="001B256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2563" w:rsidP="001B2563">
      <w:pPr>
        <w:pStyle w:val="SuperHeading"/>
      </w:pPr>
      <w:r w:rsidRPr="001B2563">
        <w:t>Assessment Requirements for UEERS0010 Install and maintain rail signalling power supplies</w:t>
      </w:r>
    </w:p>
    <w:p w:rsidR="00000000" w:rsidRPr="001B2563" w:rsidP="001B2563">
      <w:pPr>
        <w:pStyle w:val="Heading1"/>
      </w:pPr>
      <w:bookmarkStart w:id="1" w:name="O_1101265"/>
      <w:bookmarkEnd w:id="1"/>
      <w:r w:rsidRPr="001B2563">
        <w:t>Modification History</w:t>
      </w:r>
    </w:p>
    <w:tbl>
      <w:tblPr>
        <w:tblW w:w="9497" w:type="dxa"/>
        <w:tblLayout w:type="fixed"/>
        <w:tblCellMar>
          <w:left w:w="62" w:type="dxa"/>
          <w:right w:w="62" w:type="dxa"/>
        </w:tblCellMar>
        <w:tblLook w:val="0000"/>
      </w:tblPr>
      <w:tblGrid>
        <w:gridCol w:w="9497"/>
      </w:tblGrid>
      <w:tr w:rsidTr="001B25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2563" w:rsidP="001B2563">
            <w:pPr>
              <w:pStyle w:val="BodyText"/>
            </w:pPr>
            <w:r w:rsidRPr="001B2563">
              <w:t>Release 1. This is the first release of this unit of competency in the UEE Electrotechnology Training Package.</w:t>
            </w:r>
          </w:p>
        </w:tc>
      </w:tr>
    </w:tbl>
    <w:p w:rsidR="00000000" w:rsidRPr="001B2563" w:rsidP="001B2563">
      <w:pPr>
        <w:pStyle w:val="NoPaddingFontSize1"/>
      </w:pPr>
    </w:p>
    <w:p w:rsidR="00000000" w:rsidRPr="001B2563" w:rsidP="001B2563">
      <w:pPr>
        <w:pStyle w:val="AllowPageBreak"/>
      </w:pPr>
    </w:p>
    <w:p w:rsidR="00000000" w:rsidRPr="001B2563" w:rsidP="001B2563">
      <w:pPr>
        <w:pStyle w:val="Heading1"/>
      </w:pPr>
      <w:bookmarkStart w:id="2" w:name="O_1101266"/>
      <w:bookmarkEnd w:id="2"/>
      <w:r w:rsidRPr="001B2563">
        <w:t>Performance Evidence</w:t>
      </w:r>
    </w:p>
    <w:tbl>
      <w:tblPr>
        <w:tblW w:w="9497" w:type="dxa"/>
        <w:tblLayout w:type="fixed"/>
        <w:tblCellMar>
          <w:left w:w="62" w:type="dxa"/>
          <w:right w:w="62" w:type="dxa"/>
        </w:tblCellMar>
        <w:tblLook w:val="0000"/>
      </w:tblPr>
      <w:tblGrid>
        <w:gridCol w:w="9497"/>
      </w:tblGrid>
      <w:tr w:rsidTr="001B25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B2563">
            <w:pPr>
              <w:pStyle w:val="BodyText"/>
              <w:rPr>
                <w:lang w:val="en-NZ"/>
              </w:rPr>
            </w:pPr>
            <w:r w:rsidRPr="001B2563">
              <w:t>Evidence required to demonstrate competence in this unit must be relevant to and satisfy all of the requirements of the elements and performance criteria on at least one occasion and include:</w:t>
            </w:r>
          </w:p>
        </w:tc>
      </w:tr>
      <w:tr w:rsidTr="001B25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2563" w:rsidP="001B2563">
            <w:pPr>
              <w:pStyle w:val="ListBullet"/>
            </w:pPr>
            <w:r w:rsidRPr="001B2563">
              <w:t xml:space="preserve">interpreting specifications and </w:t>
            </w:r>
            <w:r w:rsidRPr="001B2563">
              <w:t>circuit diagrams correctly</w:t>
            </w:r>
          </w:p>
          <w:p w:rsidR="00000000" w:rsidRPr="001B2563" w:rsidP="001B2563">
            <w:pPr>
              <w:pStyle w:val="ListBullet"/>
            </w:pPr>
            <w:r w:rsidRPr="001B2563">
              <w:t>installing/maintaining power supplies correctly</w:t>
            </w:r>
          </w:p>
          <w:p w:rsidR="00000000" w:rsidRPr="001B2563" w:rsidP="001B2563">
            <w:pPr>
              <w:pStyle w:val="ListBullet"/>
            </w:pPr>
            <w:r w:rsidRPr="001B2563">
              <w:t>using appropriate diagnostic and fault-finding techniques</w:t>
            </w:r>
          </w:p>
          <w:p w:rsidR="00000000" w:rsidRPr="001B2563" w:rsidP="001B2563">
            <w:pPr>
              <w:pStyle w:val="ListBullet"/>
            </w:pPr>
            <w:r w:rsidRPr="001B2563">
              <w:t>using tools and test instruments correctly</w:t>
            </w:r>
          </w:p>
          <w:p w:rsidR="00000000" w:rsidRPr="001B2563" w:rsidP="001B2563">
            <w:pPr>
              <w:pStyle w:val="ListBullet"/>
            </w:pPr>
            <w:r w:rsidRPr="001B2563">
              <w:t>following relevant codes of practice, procedures and requirements</w:t>
            </w:r>
          </w:p>
          <w:p w:rsidR="00000000" w:rsidRPr="001B2563" w:rsidP="001B2563">
            <w:pPr>
              <w:pStyle w:val="ListBullet"/>
            </w:pPr>
            <w:r w:rsidRPr="001B2563">
              <w:t>completing rel</w:t>
            </w:r>
            <w:r w:rsidRPr="001B2563">
              <w:t>evant technical reports, records and documentation</w:t>
            </w:r>
          </w:p>
          <w:p w:rsidR="00000000" w:rsidRPr="001B2563" w:rsidP="001B2563">
            <w:pPr>
              <w:pStyle w:val="ListBullet"/>
            </w:pPr>
            <w:r w:rsidRPr="001B2563">
              <w:t>dealing with unplanned events</w:t>
            </w:r>
          </w:p>
          <w:p w:rsidR="00000000" w:rsidRPr="001B2563" w:rsidP="001B2563">
            <w:pPr>
              <w:pStyle w:val="ListBullet"/>
            </w:pPr>
            <w:r w:rsidRPr="001B2563">
              <w:t>applying relevant work health and safety (WHS)/occupational health and safety (OHS) requirements, including:</w:t>
            </w:r>
          </w:p>
          <w:p w:rsidR="00000000" w:rsidRPr="001B2563" w:rsidP="001B2563">
            <w:pPr>
              <w:pStyle w:val="ListBullet2"/>
            </w:pPr>
            <w:r w:rsidRPr="001B2563">
              <w:t>implementing workplace procedures and practices</w:t>
            </w:r>
          </w:p>
          <w:p w:rsidR="00000000" w:rsidRPr="001B2563" w:rsidP="001B2563">
            <w:pPr>
              <w:pStyle w:val="ListBullet2"/>
            </w:pPr>
            <w:r w:rsidRPr="001B2563">
              <w:t>using risk control measures</w:t>
            </w:r>
          </w:p>
          <w:p w:rsidR="00000000" w:rsidRPr="001B2563" w:rsidP="001B2563">
            <w:pPr>
              <w:pStyle w:val="ListBullet"/>
            </w:pPr>
            <w:r w:rsidRPr="001B2563">
              <w:t>applying sustainable energy principles and practices</w:t>
            </w:r>
          </w:p>
          <w:p w:rsidR="00000000" w:rsidRPr="001B2563" w:rsidP="001B2563">
            <w:pPr>
              <w:pStyle w:val="ListBullet"/>
            </w:pPr>
            <w:r w:rsidRPr="001B2563">
              <w:t>completing installation/maintenance of rail signalling power supplies</w:t>
            </w:r>
          </w:p>
          <w:p w:rsidR="00000000" w:rsidRPr="001B2563" w:rsidP="001B2563">
            <w:pPr>
              <w:pStyle w:val="ListBullet"/>
            </w:pPr>
            <w:r w:rsidRPr="001B2563">
              <w:t>planning installation/maintenance of rail signalling power supplies.</w:t>
            </w:r>
          </w:p>
        </w:tc>
      </w:tr>
    </w:tbl>
    <w:p w:rsidR="00000000" w:rsidRPr="001B2563" w:rsidP="001B2563">
      <w:pPr>
        <w:pStyle w:val="NoPaddingFontSize1"/>
      </w:pPr>
    </w:p>
    <w:p w:rsidR="00000000" w:rsidRPr="001B2563" w:rsidP="001B2563">
      <w:pPr>
        <w:pStyle w:val="AllowPageBreak"/>
      </w:pPr>
    </w:p>
    <w:p w:rsidR="00000000" w:rsidRPr="001B2563" w:rsidP="001B2563">
      <w:pPr>
        <w:pStyle w:val="Heading1"/>
      </w:pPr>
      <w:bookmarkStart w:id="3" w:name="O_1101267"/>
      <w:bookmarkEnd w:id="3"/>
      <w:r w:rsidRPr="001B2563">
        <w:t>Knowledge Evidence</w:t>
      </w:r>
    </w:p>
    <w:tbl>
      <w:tblPr>
        <w:tblW w:w="9497" w:type="dxa"/>
        <w:tblLayout w:type="fixed"/>
        <w:tblCellMar>
          <w:left w:w="62" w:type="dxa"/>
          <w:right w:w="62" w:type="dxa"/>
        </w:tblCellMar>
        <w:tblLook w:val="0000"/>
      </w:tblPr>
      <w:tblGrid>
        <w:gridCol w:w="9497"/>
      </w:tblGrid>
      <w:tr w:rsidTr="001B25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B2563">
            <w:pPr>
              <w:pStyle w:val="BodyText"/>
              <w:rPr>
                <w:lang w:val="en-NZ"/>
              </w:rPr>
            </w:pPr>
            <w:r w:rsidRPr="001B2563">
              <w:t>Evidence required to demonstrate competence in this unit must be relevant to and satisfy all of the requirements of the elements and performance criteria and include knowledge of:</w:t>
            </w:r>
          </w:p>
        </w:tc>
      </w:tr>
      <w:tr w:rsidTr="001B25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2563" w:rsidP="001B2563">
            <w:pPr>
              <w:pStyle w:val="ListBullet"/>
            </w:pPr>
            <w:r w:rsidRPr="001B2563">
              <w:t>rail signal power supply installation/maintenance, safe</w:t>
            </w:r>
            <w:r w:rsidRPr="001B2563">
              <w:t xml:space="preserve"> working practices and relevant standards, codes and regulations for basic rail operations, including:</w:t>
            </w:r>
          </w:p>
          <w:p w:rsidR="00000000" w:rsidRPr="001B2563" w:rsidP="001B2563">
            <w:pPr>
              <w:pStyle w:val="ListBullet2"/>
            </w:pPr>
            <w:r w:rsidRPr="001B2563">
              <w:t>rail terminology encompassing:</w:t>
            </w:r>
          </w:p>
          <w:p w:rsidR="00000000" w:rsidRPr="001B2563" w:rsidP="001B2563">
            <w:pPr>
              <w:pStyle w:val="ListBullet3"/>
            </w:pPr>
            <w:r w:rsidRPr="001B2563">
              <w:t>rail signalling nomenclature</w:t>
            </w:r>
          </w:p>
          <w:p w:rsidR="00000000" w:rsidRPr="001B2563" w:rsidP="001B2563">
            <w:pPr>
              <w:pStyle w:val="ListBullet3"/>
            </w:pPr>
            <w:r w:rsidRPr="001B2563">
              <w:t>rail signalling symbols</w:t>
            </w:r>
          </w:p>
          <w:p w:rsidR="00000000" w:rsidRPr="001B2563" w:rsidP="001B2563">
            <w:pPr>
              <w:pStyle w:val="ListBullet3"/>
            </w:pPr>
            <w:r w:rsidRPr="001B2563">
              <w:t xml:space="preserve">state/territory standards </w:t>
            </w:r>
          </w:p>
          <w:p w:rsidR="00000000" w:rsidRPr="001B2563" w:rsidP="001B2563">
            <w:pPr>
              <w:pStyle w:val="ListBullet3"/>
            </w:pPr>
            <w:r w:rsidRPr="001B2563">
              <w:t>standard glossary of terms relevant to each state/territory and where the standard originated from and how new standards are developed to meet a national standard</w:t>
            </w:r>
          </w:p>
          <w:p w:rsidR="00000000" w:rsidRPr="001B2563" w:rsidP="001B2563">
            <w:pPr>
              <w:pStyle w:val="ListBullet2"/>
            </w:pPr>
            <w:r w:rsidRPr="001B2563">
              <w:t>train dynamics encompassing:</w:t>
            </w:r>
          </w:p>
          <w:p w:rsidR="00000000" w:rsidRPr="001B2563" w:rsidP="001B2563">
            <w:pPr>
              <w:pStyle w:val="ListBullet3"/>
            </w:pPr>
            <w:r w:rsidRPr="001B2563">
              <w:t xml:space="preserve">types of rail vehicles, including suburban/country passenger, </w:t>
            </w:r>
            <w:r w:rsidRPr="001B2563">
              <w:t>freight, maintenance vehicles and heritage/tourism</w:t>
            </w:r>
          </w:p>
          <w:p w:rsidR="00000000" w:rsidRPr="001B2563" w:rsidP="001B2563">
            <w:pPr>
              <w:pStyle w:val="ListBullet3"/>
            </w:pPr>
            <w:r w:rsidRPr="001B2563">
              <w:t>braking distance</w:t>
            </w:r>
          </w:p>
          <w:p w:rsidR="00000000" w:rsidRPr="001B2563" w:rsidP="001B2563">
            <w:pPr>
              <w:pStyle w:val="ListBullet3"/>
            </w:pPr>
            <w:r w:rsidRPr="001B2563">
              <w:t>gradients/terrain</w:t>
            </w:r>
          </w:p>
          <w:p w:rsidR="00000000" w:rsidRPr="001B2563" w:rsidP="001B2563">
            <w:pPr>
              <w:pStyle w:val="ListBullet3"/>
            </w:pPr>
            <w:r w:rsidRPr="001B2563">
              <w:t>sighting distance</w:t>
            </w:r>
          </w:p>
          <w:p w:rsidR="00000000" w:rsidRPr="001B2563" w:rsidP="001B2563">
            <w:pPr>
              <w:pStyle w:val="ListBullet3"/>
            </w:pPr>
            <w:r w:rsidRPr="001B2563">
              <w:t>the relationship to the signalling arrangement plan/scheme</w:t>
            </w:r>
          </w:p>
          <w:p w:rsidR="00000000" w:rsidRPr="001B2563" w:rsidP="001B2563">
            <w:pPr>
              <w:pStyle w:val="ListBullet2"/>
            </w:pPr>
            <w:r w:rsidRPr="001B2563">
              <w:t>essentials of safe movement of trains encompassing:</w:t>
            </w:r>
          </w:p>
          <w:p w:rsidR="00000000" w:rsidRPr="001B2563" w:rsidP="001B2563">
            <w:pPr>
              <w:pStyle w:val="ListBullet3"/>
            </w:pPr>
            <w:r w:rsidRPr="001B2563">
              <w:t>the role of the signalling system in en</w:t>
            </w:r>
            <w:r w:rsidRPr="001B2563">
              <w:t>abling safe and efficient movement of trains</w:t>
            </w:r>
          </w:p>
          <w:p w:rsidR="00000000" w:rsidRPr="001B2563" w:rsidP="001B2563">
            <w:pPr>
              <w:pStyle w:val="ListBullet3"/>
            </w:pPr>
            <w:r w:rsidRPr="001B2563">
              <w:t>standard operating conditions as per operating timetable/schedule</w:t>
            </w:r>
          </w:p>
          <w:p w:rsidR="00000000" w:rsidRPr="001B2563" w:rsidP="001B2563">
            <w:pPr>
              <w:pStyle w:val="ListBullet3"/>
            </w:pPr>
            <w:r w:rsidRPr="001B2563">
              <w:t>degraded signalling system performance, including a partial failure of signalling infrastructure or a system override</w:t>
            </w:r>
          </w:p>
          <w:p w:rsidR="00000000" w:rsidRPr="001B2563" w:rsidP="001B2563">
            <w:pPr>
              <w:pStyle w:val="ListBullet2"/>
            </w:pPr>
            <w:r w:rsidRPr="001B2563">
              <w:t>abnormal train operating conditions, including signaller operation error, driver operation error, train delayed and train breakdown</w:t>
            </w:r>
          </w:p>
          <w:p w:rsidR="00000000" w:rsidRPr="001B2563" w:rsidP="001B2563">
            <w:pPr>
              <w:pStyle w:val="ListBullet2"/>
            </w:pPr>
            <w:r w:rsidRPr="001B2563">
              <w:t>emergency train and signal system operation</w:t>
            </w:r>
          </w:p>
          <w:p w:rsidR="00000000" w:rsidRPr="001B2563" w:rsidP="001B2563">
            <w:pPr>
              <w:pStyle w:val="ListBullet2"/>
            </w:pPr>
            <w:r w:rsidRPr="001B2563">
              <w:t>scheduled infrastructure maintenance</w:t>
            </w:r>
          </w:p>
          <w:p w:rsidR="00000000" w:rsidRPr="001B2563" w:rsidP="001B2563">
            <w:pPr>
              <w:pStyle w:val="ListBullet2"/>
            </w:pPr>
            <w:r w:rsidRPr="001B2563">
              <w:t>unscheduled infrastructure maintenance, inc</w:t>
            </w:r>
            <w:r w:rsidRPr="001B2563">
              <w:t>luding civil, signalling, traction and overhead</w:t>
            </w:r>
          </w:p>
          <w:p w:rsidR="00000000" w:rsidRPr="001B2563" w:rsidP="001B2563">
            <w:pPr>
              <w:pStyle w:val="ListBullet2"/>
            </w:pPr>
            <w:r w:rsidRPr="001B2563">
              <w:t>purpose of rail signalling encompassing:</w:t>
            </w:r>
          </w:p>
          <w:p w:rsidR="00000000" w:rsidRPr="001B2563" w:rsidP="001B2563">
            <w:pPr>
              <w:pStyle w:val="ListBullet3"/>
            </w:pPr>
            <w:r w:rsidRPr="001B2563">
              <w:t>safe distances between rail vehicles</w:t>
            </w:r>
          </w:p>
          <w:p w:rsidR="00000000" w:rsidRPr="001B2563" w:rsidP="001B2563">
            <w:pPr>
              <w:pStyle w:val="ListBullet3"/>
            </w:pPr>
            <w:r w:rsidRPr="001B2563">
              <w:t>safe movement of rail vehicles</w:t>
            </w:r>
          </w:p>
          <w:p w:rsidR="00000000" w:rsidRPr="001B2563" w:rsidP="001B2563">
            <w:pPr>
              <w:pStyle w:val="ListBullet3"/>
            </w:pPr>
            <w:r w:rsidRPr="001B2563">
              <w:t>conflicting movement between rail vehicles</w:t>
            </w:r>
          </w:p>
          <w:p w:rsidR="00000000" w:rsidRPr="001B2563" w:rsidP="001B2563">
            <w:pPr>
              <w:pStyle w:val="ListBullet3"/>
            </w:pPr>
            <w:r w:rsidRPr="001B2563">
              <w:t>how the signalling system provides driver information</w:t>
            </w:r>
          </w:p>
          <w:p w:rsidR="00000000" w:rsidRPr="001B2563" w:rsidP="001B2563">
            <w:pPr>
              <w:pStyle w:val="ListBullet3"/>
            </w:pPr>
            <w:r w:rsidRPr="001B2563">
              <w:t>h</w:t>
            </w:r>
            <w:r w:rsidRPr="001B2563">
              <w:t>ow the driver interprets the information to safely control a train</w:t>
            </w:r>
          </w:p>
          <w:p w:rsidR="00000000" w:rsidRPr="001B2563" w:rsidP="001B2563">
            <w:pPr>
              <w:pStyle w:val="ListBullet3"/>
            </w:pPr>
            <w:r w:rsidRPr="001B2563">
              <w:t>restrictions on the signaller and driver following an operation error, including signals passed at stop, driver exceeding speed requirement and signaller setting incorrect route</w:t>
            </w:r>
          </w:p>
          <w:p w:rsidR="00000000" w:rsidRPr="001B2563" w:rsidP="001B2563">
            <w:pPr>
              <w:pStyle w:val="ListBullet2"/>
            </w:pPr>
            <w:r w:rsidRPr="001B2563">
              <w:t>enterprise</w:t>
            </w:r>
            <w:r w:rsidRPr="001B2563">
              <w:t xml:space="preserve"> work activities records</w:t>
            </w:r>
          </w:p>
          <w:p w:rsidR="00000000" w:rsidRPr="001B2563" w:rsidP="001B2563">
            <w:pPr>
              <w:pStyle w:val="ListBullet2"/>
            </w:pPr>
            <w:r w:rsidRPr="001B2563">
              <w:t>purpose and extent of maintaining work activities records in an enterprise</w:t>
            </w:r>
          </w:p>
          <w:p w:rsidR="00000000" w:rsidRPr="001B2563" w:rsidP="001B2563">
            <w:pPr>
              <w:pStyle w:val="ListBullet2"/>
            </w:pPr>
            <w:r w:rsidRPr="001B2563">
              <w:t>types of records for maintaining work activities in an enterprise</w:t>
            </w:r>
          </w:p>
          <w:p w:rsidR="00000000" w:rsidRPr="001B2563" w:rsidP="001B2563">
            <w:pPr>
              <w:pStyle w:val="ListBullet2"/>
            </w:pPr>
            <w:r w:rsidRPr="001B2563">
              <w:t>methods for recording and maintaining work records</w:t>
            </w:r>
          </w:p>
          <w:p w:rsidR="00000000" w:rsidRPr="001B2563" w:rsidP="001B2563">
            <w:pPr>
              <w:pStyle w:val="ListBullet2"/>
            </w:pPr>
            <w:r w:rsidRPr="001B2563">
              <w:t>work records required by regulation requirements</w:t>
            </w:r>
          </w:p>
          <w:p w:rsidR="00000000" w:rsidRPr="001B2563" w:rsidP="001B2563">
            <w:pPr>
              <w:pStyle w:val="ListBullet2"/>
            </w:pPr>
            <w:r w:rsidRPr="001B2563">
              <w:t>environmental and heritage awareness</w:t>
            </w:r>
          </w:p>
          <w:p w:rsidR="00000000" w:rsidRPr="001B2563" w:rsidP="001B2563">
            <w:pPr>
              <w:pStyle w:val="ListBullet2"/>
            </w:pPr>
            <w:r w:rsidRPr="001B2563">
              <w:t>purpose of environmental and heritage regulation</w:t>
            </w:r>
          </w:p>
          <w:p w:rsidR="00000000" w:rsidRPr="001B2563" w:rsidP="001B2563">
            <w:pPr>
              <w:pStyle w:val="ListBullet2"/>
            </w:pPr>
            <w:r w:rsidRPr="001B2563">
              <w:t>typical issues affecting electrotechnology services and systems</w:t>
            </w:r>
          </w:p>
          <w:p w:rsidR="00000000" w:rsidRPr="001B2563" w:rsidP="001B2563">
            <w:pPr>
              <w:pStyle w:val="ListBullet2"/>
            </w:pPr>
            <w:r w:rsidRPr="001B2563">
              <w:t>meeting requirements</w:t>
            </w:r>
          </w:p>
          <w:p w:rsidR="00000000" w:rsidRPr="001B2563" w:rsidP="001B2563">
            <w:pPr>
              <w:pStyle w:val="ListBullet2"/>
            </w:pPr>
            <w:r w:rsidRPr="001B2563">
              <w:t>rail signalling, power supplies</w:t>
            </w:r>
          </w:p>
          <w:p w:rsidR="00000000" w:rsidRPr="001B2563" w:rsidP="001B2563">
            <w:pPr>
              <w:pStyle w:val="ListBullet2"/>
            </w:pPr>
            <w:r w:rsidRPr="001B2563">
              <w:t>equi</w:t>
            </w:r>
            <w:r w:rsidRPr="001B2563">
              <w:t>pment and their components encompassing:</w:t>
            </w:r>
          </w:p>
          <w:p w:rsidR="00000000" w:rsidRPr="001B2563" w:rsidP="001B2563">
            <w:pPr>
              <w:pStyle w:val="ListBullet3"/>
            </w:pPr>
            <w:r w:rsidRPr="001B2563">
              <w:t>transformers</w:t>
            </w:r>
          </w:p>
          <w:p w:rsidR="00000000" w:rsidRPr="001B2563" w:rsidP="001B2563">
            <w:pPr>
              <w:pStyle w:val="ListBullet3"/>
            </w:pPr>
            <w:r w:rsidRPr="001B2563">
              <w:t>batteries</w:t>
            </w:r>
          </w:p>
          <w:p w:rsidR="00000000" w:rsidRPr="001B2563" w:rsidP="001B2563">
            <w:pPr>
              <w:pStyle w:val="ListBullet3"/>
            </w:pPr>
            <w:r w:rsidRPr="001B2563">
              <w:t>converters</w:t>
            </w:r>
          </w:p>
          <w:p w:rsidR="00000000" w:rsidRPr="001B2563" w:rsidP="001B2563">
            <w:pPr>
              <w:pStyle w:val="ListBullet3"/>
            </w:pPr>
            <w:r w:rsidRPr="001B2563">
              <w:t>inverters</w:t>
            </w:r>
          </w:p>
          <w:p w:rsidR="00000000" w:rsidRPr="001B2563" w:rsidP="001B2563">
            <w:pPr>
              <w:pStyle w:val="ListBullet3"/>
            </w:pPr>
            <w:r w:rsidRPr="001B2563">
              <w:t>uninterruptable power supplies (UPS)</w:t>
            </w:r>
          </w:p>
          <w:p w:rsidR="00000000" w:rsidRPr="001B2563" w:rsidP="001B2563">
            <w:pPr>
              <w:pStyle w:val="ListBullet3"/>
            </w:pPr>
            <w:r w:rsidRPr="001B2563">
              <w:t>generator</w:t>
            </w:r>
          </w:p>
          <w:p w:rsidR="00000000" w:rsidRPr="001B2563" w:rsidP="001B2563">
            <w:pPr>
              <w:pStyle w:val="ListBullet3"/>
            </w:pPr>
            <w:r w:rsidRPr="001B2563">
              <w:t>solar panels</w:t>
            </w:r>
          </w:p>
          <w:p w:rsidR="00000000" w:rsidRPr="001B2563" w:rsidP="001B2563">
            <w:pPr>
              <w:pStyle w:val="ListBullet3"/>
            </w:pPr>
            <w:r w:rsidRPr="001B2563">
              <w:t>earthing</w:t>
            </w:r>
          </w:p>
          <w:p w:rsidR="00000000" w:rsidRPr="001B2563" w:rsidP="001B2563">
            <w:pPr>
              <w:pStyle w:val="ListBullet3"/>
            </w:pPr>
            <w:r w:rsidRPr="001B2563">
              <w:t>surge protection</w:t>
            </w:r>
          </w:p>
          <w:p w:rsidR="00000000" w:rsidRPr="001B2563" w:rsidP="001B2563">
            <w:pPr>
              <w:pStyle w:val="ListBullet3"/>
            </w:pPr>
            <w:r w:rsidRPr="001B2563">
              <w:t>switchboards</w:t>
            </w:r>
          </w:p>
          <w:p w:rsidR="00000000" w:rsidRPr="001B2563" w:rsidP="001B2563">
            <w:pPr>
              <w:pStyle w:val="ListBullet3"/>
            </w:pPr>
            <w:r w:rsidRPr="001B2563">
              <w:t>high voltage (HV) and low voltage (LV) power distribution</w:t>
            </w:r>
          </w:p>
          <w:p w:rsidR="00000000" w:rsidRPr="001B2563" w:rsidP="001B2563">
            <w:pPr>
              <w:pStyle w:val="ListBullet3"/>
            </w:pPr>
            <w:r w:rsidRPr="001B2563">
              <w:t>automatic power changeover panels</w:t>
            </w:r>
          </w:p>
          <w:p w:rsidR="00000000" w:rsidRPr="001B2563" w:rsidP="001B2563">
            <w:pPr>
              <w:pStyle w:val="ListBullet3"/>
            </w:pPr>
            <w:r w:rsidRPr="001B2563">
              <w:t>wiring and termination</w:t>
            </w:r>
          </w:p>
          <w:p w:rsidR="00000000" w:rsidRPr="001B2563" w:rsidP="001B2563">
            <w:pPr>
              <w:pStyle w:val="ListBullet2"/>
            </w:pPr>
            <w:r w:rsidRPr="001B2563">
              <w:t>operating principles and parameters encompassing:</w:t>
            </w:r>
          </w:p>
          <w:p w:rsidR="00000000" w:rsidRPr="001B2563" w:rsidP="001B2563">
            <w:pPr>
              <w:pStyle w:val="ListBullet3"/>
            </w:pPr>
            <w:r w:rsidRPr="001B2563">
              <w:t>normal mode operation</w:t>
            </w:r>
          </w:p>
          <w:p w:rsidR="00000000" w:rsidRPr="001B2563" w:rsidP="001B2563">
            <w:pPr>
              <w:pStyle w:val="ListBullet3"/>
            </w:pPr>
            <w:r w:rsidRPr="001B2563">
              <w:t>alarm mode</w:t>
            </w:r>
          </w:p>
          <w:p w:rsidR="00000000" w:rsidRPr="001B2563" w:rsidP="001B2563">
            <w:pPr>
              <w:pStyle w:val="ListBullet3"/>
            </w:pPr>
            <w:r w:rsidRPr="001B2563">
              <w:t>redundancy mode</w:t>
            </w:r>
          </w:p>
          <w:p w:rsidR="00000000" w:rsidRPr="001B2563" w:rsidP="001B2563">
            <w:pPr>
              <w:pStyle w:val="ListBullet3"/>
            </w:pPr>
            <w:r w:rsidRPr="001B2563">
              <w:t>power interruption/standby mode</w:t>
            </w:r>
          </w:p>
          <w:p w:rsidR="00000000" w:rsidRPr="001B2563" w:rsidP="001B2563">
            <w:pPr>
              <w:pStyle w:val="ListBullet3"/>
            </w:pPr>
            <w:r w:rsidRPr="001B2563">
              <w:t>interpreting circuits diagrams to evaluate correct operation and relationship to other signalling circuits</w:t>
            </w:r>
          </w:p>
          <w:p w:rsidR="00000000" w:rsidRPr="001B2563" w:rsidP="001B2563">
            <w:pPr>
              <w:pStyle w:val="ListBullet2"/>
            </w:pPr>
            <w:r w:rsidRPr="001B2563">
              <w:t>servicing procedures encompassing:</w:t>
            </w:r>
          </w:p>
          <w:p w:rsidR="00000000" w:rsidRPr="001B2563" w:rsidP="001B2563">
            <w:pPr>
              <w:pStyle w:val="ListBullet3"/>
            </w:pPr>
            <w:r w:rsidRPr="001B2563">
              <w:t>maintenance documentation</w:t>
            </w:r>
          </w:p>
          <w:p w:rsidR="00000000" w:rsidRPr="001B2563" w:rsidP="001B2563">
            <w:pPr>
              <w:pStyle w:val="ListBullet3"/>
            </w:pPr>
            <w:r w:rsidRPr="001B2563">
              <w:t>coordination/planning sequence</w:t>
            </w:r>
          </w:p>
          <w:p w:rsidR="00000000" w:rsidRPr="001B2563" w:rsidP="001B2563">
            <w:pPr>
              <w:pStyle w:val="ListBullet3"/>
            </w:pPr>
            <w:r w:rsidRPr="001B2563">
              <w:t>operational test procedures</w:t>
            </w:r>
          </w:p>
          <w:p w:rsidR="00000000" w:rsidRPr="001B2563" w:rsidP="001B2563">
            <w:pPr>
              <w:pStyle w:val="ListBullet3"/>
            </w:pPr>
            <w:r w:rsidRPr="001B2563">
              <w:t>scheduled/preventative main</w:t>
            </w:r>
            <w:r w:rsidRPr="001B2563">
              <w:t>tenance</w:t>
            </w:r>
          </w:p>
          <w:p w:rsidR="00000000" w:rsidRPr="001B2563" w:rsidP="001B2563">
            <w:pPr>
              <w:pStyle w:val="ListBullet3"/>
            </w:pPr>
            <w:r w:rsidRPr="001B2563">
              <w:t>unscheduled/corrective maintenance</w:t>
            </w:r>
          </w:p>
          <w:p w:rsidR="00000000" w:rsidRPr="001B2563" w:rsidP="001B2563">
            <w:pPr>
              <w:pStyle w:val="ListBullet3"/>
            </w:pPr>
            <w:r w:rsidRPr="001B2563">
              <w:t>certifying power supply equipment (commission and de-commission), including certifying procedures applicable for compliance with rail operator and/or enterprise standards</w:t>
            </w:r>
          </w:p>
          <w:p w:rsidR="00000000" w:rsidRPr="001B2563" w:rsidP="001B2563">
            <w:pPr>
              <w:pStyle w:val="ListBullet"/>
            </w:pPr>
            <w:r w:rsidRPr="001B2563">
              <w:tab/>
              <w:t>safe working practices and relevant stan</w:t>
            </w:r>
            <w:r w:rsidRPr="001B2563">
              <w:t>dards, codes and regulations</w:t>
            </w:r>
          </w:p>
          <w:p w:rsidR="00000000" w:rsidRPr="001B2563" w:rsidP="001B2563">
            <w:pPr>
              <w:pStyle w:val="ListBullet"/>
            </w:pPr>
            <w:r w:rsidRPr="001B2563">
              <w:t>relevant job safety assessments or risk mitigation processes</w:t>
            </w:r>
          </w:p>
          <w:p w:rsidR="00000000" w:rsidRPr="001B2563" w:rsidP="001B2563">
            <w:pPr>
              <w:pStyle w:val="ListBullet"/>
            </w:pPr>
            <w:r w:rsidRPr="001B2563">
              <w:t>relevant manufacturer specifications</w:t>
            </w:r>
          </w:p>
          <w:p w:rsidR="00000000" w:rsidRPr="001B2563" w:rsidP="001B2563">
            <w:pPr>
              <w:pStyle w:val="ListBullet"/>
            </w:pPr>
            <w:r w:rsidRPr="001B2563">
              <w:t>relevant WHS/OHS legislated requirements</w:t>
            </w:r>
          </w:p>
          <w:p w:rsidR="00000000" w:rsidRPr="001B2563" w:rsidP="001B2563">
            <w:pPr>
              <w:pStyle w:val="ListBullet"/>
            </w:pPr>
            <w:r w:rsidRPr="001B2563">
              <w:t>relevant workplace policies and procedures.</w:t>
            </w:r>
          </w:p>
        </w:tc>
      </w:tr>
    </w:tbl>
    <w:p w:rsidR="00000000" w:rsidRPr="001B2563" w:rsidP="001B2563">
      <w:pPr>
        <w:pStyle w:val="NoPaddingFontSize1"/>
      </w:pPr>
    </w:p>
    <w:p w:rsidR="00000000" w:rsidRPr="001B2563" w:rsidP="001B2563">
      <w:pPr>
        <w:pStyle w:val="AllowPageBreak"/>
      </w:pPr>
    </w:p>
    <w:p w:rsidR="00000000" w:rsidRPr="001B2563" w:rsidP="001B2563">
      <w:pPr>
        <w:pStyle w:val="Heading1"/>
      </w:pPr>
      <w:bookmarkStart w:id="4" w:name="O_1101268"/>
      <w:bookmarkEnd w:id="4"/>
      <w:r w:rsidRPr="001B2563">
        <w:t>Assessment Conditions</w:t>
      </w:r>
    </w:p>
    <w:tbl>
      <w:tblPr>
        <w:tblW w:w="9497" w:type="dxa"/>
        <w:tblLayout w:type="fixed"/>
        <w:tblCellMar>
          <w:left w:w="62" w:type="dxa"/>
          <w:right w:w="62" w:type="dxa"/>
        </w:tblCellMar>
        <w:tblLook w:val="0000"/>
      </w:tblPr>
      <w:tblGrid>
        <w:gridCol w:w="9497"/>
      </w:tblGrid>
      <w:tr w:rsidTr="001B25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B2563" w:rsidP="001B2563">
            <w:pPr>
              <w:pStyle w:val="BodyText"/>
            </w:pPr>
            <w:r w:rsidRPr="001B2563">
              <w:t>Assessors must hold credentials specified within the Standards for Registered Training Organisations current at the time of assessment.</w:t>
            </w:r>
          </w:p>
          <w:p w:rsidR="00000000" w:rsidRPr="001B2563" w:rsidP="001B2563">
            <w:pPr>
              <w:pStyle w:val="BodyText"/>
            </w:pPr>
            <w:r w:rsidRPr="001B2563">
              <w:t>Assessment must satisfy the Principles of Assessment and Rules of Evidence and all regulatory requirements included with</w:t>
            </w:r>
            <w:r w:rsidRPr="001B2563">
              <w:t>in the Standards for Registered Training Organisations current at the time of assessment.</w:t>
            </w:r>
          </w:p>
          <w:p w:rsidR="00000000" w:rsidRPr="001B2563" w:rsidP="001B2563">
            <w:pPr>
              <w:pStyle w:val="BodyText"/>
            </w:pPr>
            <w:r w:rsidRPr="001B2563">
              <w:t xml:space="preserve">Assessment must occur in suitable workplace operational situations where it is appropriate to do so; where this is not appropriate, assessment must occur in suitable </w:t>
            </w:r>
            <w:r w:rsidRPr="001B2563">
              <w:t>simulated workplace operational situations that replicate workplace conditions.</w:t>
            </w:r>
          </w:p>
          <w:p w:rsidR="00000000" w:rsidRPr="001B2563" w:rsidP="001B2563">
            <w:pPr>
              <w:pStyle w:val="BodyText"/>
            </w:pPr>
            <w:r w:rsidRPr="001B2563">
              <w:t>Assessment processes and techniques must be appropriate to the language, literacy and numeracy requirements of the work being performed and the needs of the candidate.</w:t>
            </w:r>
          </w:p>
          <w:p w:rsidR="00000000" w:rsidRPr="001B2563" w:rsidP="001B2563">
            <w:pPr>
              <w:pStyle w:val="BodyText"/>
            </w:pPr>
            <w:r w:rsidRPr="001B2563">
              <w:t>Resource</w:t>
            </w:r>
            <w:r w:rsidRPr="001B2563">
              <w:t>s for assessment must include access to:</w:t>
            </w:r>
          </w:p>
          <w:p w:rsidR="00000000" w:rsidRPr="001B2563" w:rsidP="001B2563">
            <w:pPr>
              <w:pStyle w:val="ListBullet"/>
            </w:pPr>
            <w:r w:rsidRPr="001B2563">
              <w:t>a range of relevant exercises, case studies and/or other simulations</w:t>
            </w:r>
          </w:p>
          <w:p w:rsidR="00000000" w:rsidRPr="001B2563" w:rsidP="001B2563">
            <w:pPr>
              <w:pStyle w:val="ListBullet"/>
            </w:pPr>
            <w:r w:rsidRPr="001B2563">
              <w:t>relevant and appropriate materials, tools, facilities, equipment and personal protective equipment (PPE) currently used in industry</w:t>
            </w:r>
          </w:p>
          <w:p w:rsidR="00000000" w:rsidRPr="001B2563" w:rsidP="001B2563">
            <w:pPr>
              <w:pStyle w:val="ListBullet"/>
            </w:pPr>
            <w:r w:rsidRPr="001B2563">
              <w:t>resources that reflect current industry practices in relation to installing/maintaining rail signalling power supplies</w:t>
            </w:r>
          </w:p>
          <w:p w:rsidR="00000000" w:rsidRPr="001B2563" w:rsidP="001B2563">
            <w:pPr>
              <w:pStyle w:val="ListBullet"/>
            </w:pPr>
            <w:r w:rsidRPr="001B2563">
              <w:t>applicable documentation, including workplace procedures, equipment specifications, regulations, codes of practice and operation manuals.</w:t>
            </w:r>
          </w:p>
        </w:tc>
      </w:tr>
    </w:tbl>
    <w:p w:rsidR="00000000" w:rsidRPr="001B2563" w:rsidP="001B2563">
      <w:pPr>
        <w:pStyle w:val="NoPaddingFontSize1"/>
      </w:pPr>
    </w:p>
    <w:p w:rsidR="00000000" w:rsidRPr="001B2563" w:rsidP="001B2563">
      <w:pPr>
        <w:pStyle w:val="AllowPageBreak"/>
      </w:pPr>
    </w:p>
    <w:p w:rsidR="00000000" w:rsidRPr="001B2563" w:rsidP="001B2563">
      <w:pPr>
        <w:pStyle w:val="Heading1"/>
      </w:pPr>
      <w:bookmarkStart w:id="5" w:name="O_1101271"/>
      <w:bookmarkEnd w:id="5"/>
      <w:r w:rsidRPr="001B2563">
        <w:t>Links</w:t>
      </w:r>
    </w:p>
    <w:p w:rsidR="00000000" w:rsidRPr="001B2563" w:rsidP="00037C4F">
      <w:pPr>
        <w:pStyle w:val="BodyText"/>
      </w:pPr>
      <w:r w:rsidRPr="001B2563">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B5273C">
        <w:rPr>
          <w:rStyle w:val="Hyperlink"/>
        </w:rPr>
        <w:t>https://vetnet.gov.au/Pages/TrainingDocs.aspx?q=b8a8f136-5421-4ce1-92e0-2b50341431b6</w:t>
      </w:r>
      <w:r>
        <w:fldChar w:fldCharType="end"/>
      </w:r>
    </w:p>
    <w:p w:rsidR="00000000" w:rsidRPr="001B2563" w:rsidP="001B2563"/>
    <w:sectPr w:rsidSect="001B256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5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563" w:rsidRPr="00037C4F" w:rsidP="00037C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5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C4F" w:rsidP="001B25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37C4F" w:rsidP="001B256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37C4F" w:rsidP="001B256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5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C4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2563" w:rsidRPr="00037C4F" w:rsidP="00037C4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5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C4F" w:rsidRPr="002D2AF8" w:rsidP="001B2563">
    <w:pPr>
      <w:pStyle w:val="Header"/>
      <w:framePr w:wrap="around"/>
    </w:pPr>
    <w:r>
      <w:fldChar w:fldCharType="begin"/>
    </w:r>
    <w:r>
      <w:instrText xml:space="preserve"> TITLE   \* MERGEFORMAT </w:instrText>
    </w:r>
    <w:r>
      <w:fldChar w:fldCharType="separate"/>
    </w:r>
    <w:r>
      <w:t>Assessment Requirements for UEERS0010 Install and maintain rail signalling power supplies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037C4F" w:rsidP="001B25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7656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D52C0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D127D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25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2563"/>
    <w:pPr>
      <w:spacing w:before="360" w:after="60"/>
      <w:outlineLvl w:val="0"/>
    </w:pPr>
    <w:rPr>
      <w:sz w:val="32"/>
    </w:rPr>
  </w:style>
  <w:style w:type="paragraph" w:styleId="Heading2">
    <w:name w:val="heading 2"/>
    <w:basedOn w:val="HeadingBase"/>
    <w:next w:val="BodyText"/>
    <w:link w:val="Heading2Char"/>
    <w:qFormat/>
    <w:rsid w:val="001B2563"/>
    <w:pPr>
      <w:keepLines/>
      <w:spacing w:before="240" w:after="120"/>
      <w:outlineLvl w:val="1"/>
    </w:pPr>
    <w:rPr>
      <w:sz w:val="28"/>
      <w:szCs w:val="40"/>
    </w:rPr>
  </w:style>
  <w:style w:type="paragraph" w:styleId="Heading3">
    <w:name w:val="heading 3"/>
    <w:basedOn w:val="HeadingBase"/>
    <w:next w:val="BodyText"/>
    <w:link w:val="Heading3Char"/>
    <w:qFormat/>
    <w:rsid w:val="001B2563"/>
    <w:pPr>
      <w:spacing w:before="180" w:after="120"/>
      <w:outlineLvl w:val="2"/>
    </w:pPr>
    <w:rPr>
      <w:spacing w:val="-10"/>
      <w:kern w:val="32"/>
    </w:rPr>
  </w:style>
  <w:style w:type="paragraph" w:styleId="Heading4">
    <w:name w:val="heading 4"/>
    <w:basedOn w:val="HeadingBase"/>
    <w:next w:val="BodyText"/>
    <w:link w:val="Heading4Char"/>
    <w:qFormat/>
    <w:rsid w:val="001B2563"/>
    <w:pPr>
      <w:spacing w:before="160" w:after="120"/>
      <w:outlineLvl w:val="3"/>
    </w:pPr>
    <w:rPr>
      <w:sz w:val="22"/>
    </w:rPr>
  </w:style>
  <w:style w:type="paragraph" w:styleId="Heading5">
    <w:name w:val="heading 5"/>
    <w:basedOn w:val="HeadingBase"/>
    <w:next w:val="Normal"/>
    <w:link w:val="Heading5Char"/>
    <w:qFormat/>
    <w:rsid w:val="001B2563"/>
    <w:pPr>
      <w:spacing w:before="80"/>
      <w:outlineLvl w:val="4"/>
    </w:pPr>
    <w:rPr>
      <w:color w:val="918585"/>
      <w:sz w:val="20"/>
    </w:rPr>
  </w:style>
  <w:style w:type="paragraph" w:styleId="Heading6">
    <w:name w:val="heading 6"/>
    <w:basedOn w:val="HeadingBase"/>
    <w:next w:val="Normal"/>
    <w:link w:val="Heading6Char"/>
    <w:qFormat/>
    <w:rsid w:val="001B2563"/>
    <w:pPr>
      <w:spacing w:before="60"/>
      <w:outlineLvl w:val="5"/>
    </w:pPr>
    <w:rPr>
      <w:color w:val="918585"/>
      <w:sz w:val="20"/>
    </w:rPr>
  </w:style>
  <w:style w:type="paragraph" w:styleId="Heading7">
    <w:name w:val="heading 7"/>
    <w:basedOn w:val="Normal"/>
    <w:next w:val="Normal"/>
    <w:link w:val="Heading7Char"/>
    <w:qFormat/>
    <w:rsid w:val="001B2563"/>
    <w:pPr>
      <w:ind w:left="720"/>
      <w:outlineLvl w:val="6"/>
    </w:pPr>
    <w:rPr>
      <w:i/>
    </w:rPr>
  </w:style>
  <w:style w:type="paragraph" w:styleId="Heading8">
    <w:name w:val="heading 8"/>
    <w:basedOn w:val="Normal"/>
    <w:next w:val="Normal"/>
    <w:link w:val="Heading8Char"/>
    <w:qFormat/>
    <w:rsid w:val="001B2563"/>
    <w:pPr>
      <w:ind w:left="720"/>
      <w:outlineLvl w:val="7"/>
    </w:pPr>
    <w:rPr>
      <w:i/>
    </w:rPr>
  </w:style>
  <w:style w:type="paragraph" w:styleId="Heading9">
    <w:name w:val="heading 9"/>
    <w:basedOn w:val="Normal"/>
    <w:next w:val="Normal"/>
    <w:link w:val="Heading9Char"/>
    <w:qFormat/>
    <w:rsid w:val="001B2563"/>
    <w:pPr>
      <w:ind w:left="720"/>
      <w:outlineLvl w:val="8"/>
    </w:pPr>
    <w:rPr>
      <w:i/>
    </w:rPr>
  </w:style>
  <w:style w:type="character" w:default="1" w:styleId="DefaultParagraphFont">
    <w:name w:val="Default Paragraph Font"/>
    <w:uiPriority w:val="1"/>
    <w:unhideWhenUsed/>
    <w:rsid w:val="001B25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2563"/>
  </w:style>
  <w:style w:type="character" w:customStyle="1" w:styleId="Heading1Char">
    <w:name w:val="Heading 1 Char"/>
    <w:basedOn w:val="DefaultParagraphFont"/>
    <w:link w:val="Heading1"/>
    <w:rsid w:val="001B2563"/>
    <w:rPr>
      <w:rFonts w:ascii="Times New Roman" w:eastAsia="Times New Roman" w:hAnsi="Times New Roman" w:cs="Times New Roman"/>
      <w:b/>
      <w:sz w:val="32"/>
      <w:szCs w:val="20"/>
      <w:lang w:eastAsia="en-US"/>
    </w:rPr>
  </w:style>
  <w:style w:type="paragraph" w:styleId="BodyText">
    <w:name w:val="Body Text"/>
    <w:basedOn w:val="Normal"/>
    <w:link w:val="BodyTextChar"/>
    <w:rsid w:val="001B256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2563"/>
    <w:rPr>
      <w:rFonts w:ascii="Times New Roman" w:eastAsia="Times New Roman" w:hAnsi="Times New Roman" w:cs="Times New Roman"/>
      <w:sz w:val="24"/>
      <w:lang w:eastAsia="en-US"/>
    </w:rPr>
  </w:style>
  <w:style w:type="paragraph" w:styleId="ListBullet">
    <w:name w:val="List Bullet"/>
    <w:basedOn w:val="List"/>
    <w:rsid w:val="001B2563"/>
    <w:pPr>
      <w:numPr>
        <w:numId w:val="13"/>
      </w:numPr>
      <w:tabs>
        <w:tab w:val="clear" w:pos="340"/>
      </w:tabs>
      <w:spacing w:before="40" w:after="40"/>
    </w:pPr>
  </w:style>
  <w:style w:type="paragraph" w:styleId="ListBullet2">
    <w:name w:val="List Bullet 2"/>
    <w:basedOn w:val="List2"/>
    <w:rsid w:val="001B2563"/>
    <w:pPr>
      <w:numPr>
        <w:numId w:val="14"/>
      </w:numPr>
      <w:tabs>
        <w:tab w:val="clear" w:pos="680"/>
      </w:tabs>
    </w:pPr>
  </w:style>
  <w:style w:type="paragraph" w:customStyle="1" w:styleId="SuperHeading">
    <w:name w:val="SuperHeading"/>
    <w:basedOn w:val="Normal"/>
    <w:rsid w:val="001B2563"/>
    <w:pPr>
      <w:spacing w:before="240" w:after="120"/>
      <w:outlineLvl w:val="0"/>
    </w:pPr>
    <w:rPr>
      <w:rFonts w:ascii="Times New Roman" w:hAnsi="Times New Roman"/>
      <w:b/>
      <w:sz w:val="32"/>
    </w:rPr>
  </w:style>
  <w:style w:type="paragraph" w:customStyle="1" w:styleId="AllowPageBreak">
    <w:name w:val="AllowPageBreak"/>
    <w:rsid w:val="001B256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B2563"/>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B25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25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25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25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25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25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25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2563"/>
    <w:rPr>
      <w:rFonts w:ascii="Courier New" w:eastAsia="Times New Roman" w:hAnsi="Courier New" w:cs="Times New Roman"/>
      <w:i/>
      <w:szCs w:val="20"/>
      <w:lang w:eastAsia="en-US"/>
    </w:rPr>
  </w:style>
  <w:style w:type="paragraph" w:customStyle="1" w:styleId="HeadingBase">
    <w:name w:val="Heading Base"/>
    <w:rsid w:val="001B25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2563"/>
    <w:pPr>
      <w:tabs>
        <w:tab w:val="right" w:leader="dot" w:pos="9072"/>
      </w:tabs>
      <w:ind w:left="567"/>
    </w:pPr>
    <w:rPr>
      <w:szCs w:val="22"/>
    </w:rPr>
  </w:style>
  <w:style w:type="paragraph" w:customStyle="1" w:styleId="TOCBase">
    <w:name w:val="TOC Base"/>
    <w:rsid w:val="001B25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2563"/>
    <w:pPr>
      <w:tabs>
        <w:tab w:val="right" w:leader="dot" w:pos="9072"/>
      </w:tabs>
      <w:spacing w:before="40" w:after="40"/>
      <w:ind w:left="284"/>
    </w:pPr>
    <w:rPr>
      <w:rFonts w:ascii="Times New Roman" w:hAnsi="Times New Roman"/>
    </w:rPr>
  </w:style>
  <w:style w:type="paragraph" w:styleId="TOC1">
    <w:name w:val="toc 1"/>
    <w:basedOn w:val="TOCBase"/>
    <w:next w:val="Normal"/>
    <w:rsid w:val="001B256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25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2563"/>
    <w:rPr>
      <w:rFonts w:ascii="Times New Roman" w:eastAsia="Times New Roman" w:hAnsi="Times New Roman" w:cs="Times New Roman"/>
      <w:sz w:val="16"/>
      <w:lang w:eastAsia="en-US"/>
    </w:rPr>
  </w:style>
  <w:style w:type="paragraph" w:styleId="Title">
    <w:name w:val="Title"/>
    <w:basedOn w:val="HeadingBase"/>
    <w:link w:val="TitleChar"/>
    <w:qFormat/>
    <w:rsid w:val="001B2563"/>
    <w:pPr>
      <w:spacing w:before="5040"/>
      <w:jc w:val="center"/>
    </w:pPr>
    <w:rPr>
      <w:sz w:val="48"/>
      <w:szCs w:val="72"/>
      <w:lang w:val="en-US"/>
    </w:rPr>
  </w:style>
  <w:style w:type="character" w:customStyle="1" w:styleId="TitleChar">
    <w:name w:val="Title Char"/>
    <w:basedOn w:val="DefaultParagraphFont"/>
    <w:link w:val="Title"/>
    <w:rsid w:val="001B25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2563"/>
    <w:pPr>
      <w:tabs>
        <w:tab w:val="left" w:pos="3600"/>
        <w:tab w:val="left" w:pos="3958"/>
      </w:tabs>
    </w:pPr>
  </w:style>
  <w:style w:type="paragraph" w:styleId="List">
    <w:name w:val="List"/>
    <w:basedOn w:val="BodyText"/>
    <w:next w:val="BodyText"/>
    <w:rsid w:val="001B2563"/>
    <w:pPr>
      <w:tabs>
        <w:tab w:val="left" w:pos="340"/>
      </w:tabs>
      <w:spacing w:before="60" w:after="60"/>
      <w:ind w:left="340" w:hanging="340"/>
    </w:pPr>
  </w:style>
  <w:style w:type="paragraph" w:customStyle="1" w:styleId="Note">
    <w:name w:val="Note"/>
    <w:basedOn w:val="BodyText"/>
    <w:rsid w:val="001B256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B2563"/>
    <w:rPr>
      <w:b/>
      <w:spacing w:val="0"/>
    </w:rPr>
  </w:style>
  <w:style w:type="paragraph" w:customStyle="1" w:styleId="SuperTitle">
    <w:name w:val="SuperTitle"/>
    <w:basedOn w:val="Title"/>
    <w:rsid w:val="001B2563"/>
    <w:pPr>
      <w:framePr w:wrap="auto" w:hAnchor="text" w:y="6049"/>
    </w:pPr>
    <w:rPr>
      <w:color w:val="000000"/>
      <w:sz w:val="40"/>
    </w:rPr>
  </w:style>
  <w:style w:type="paragraph" w:customStyle="1" w:styleId="TOCTitle">
    <w:name w:val="TOCTitle"/>
    <w:basedOn w:val="Heading1"/>
    <w:rsid w:val="001B2563"/>
    <w:pPr>
      <w:spacing w:after="240"/>
      <w:jc w:val="center"/>
      <w:outlineLvl w:val="9"/>
    </w:pPr>
    <w:rPr>
      <w:caps/>
    </w:rPr>
  </w:style>
  <w:style w:type="paragraph" w:customStyle="1" w:styleId="Version">
    <w:name w:val="Version"/>
    <w:rsid w:val="001B256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B2563"/>
    <w:pPr>
      <w:keepNext w:val="0"/>
      <w:tabs>
        <w:tab w:val="right" w:pos="4176"/>
      </w:tabs>
      <w:ind w:left="198" w:hanging="198"/>
    </w:pPr>
    <w:rPr>
      <w:rFonts w:ascii="Garamond" w:hAnsi="Garamond"/>
    </w:rPr>
  </w:style>
  <w:style w:type="paragraph" w:styleId="IndexHeading">
    <w:name w:val="index heading"/>
    <w:basedOn w:val="Normal"/>
    <w:next w:val="Index1"/>
    <w:semiHidden/>
    <w:rsid w:val="001B2563"/>
    <w:pPr>
      <w:spacing w:before="120" w:after="120"/>
    </w:pPr>
    <w:rPr>
      <w:rFonts w:ascii="Arial" w:hAnsi="Arial"/>
      <w:b/>
      <w:color w:val="918585"/>
      <w:sz w:val="24"/>
    </w:rPr>
  </w:style>
  <w:style w:type="paragraph" w:styleId="Header">
    <w:name w:val="header"/>
    <w:basedOn w:val="Normal"/>
    <w:link w:val="HeaderChar"/>
    <w:rsid w:val="001B25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2563"/>
    <w:rPr>
      <w:rFonts w:ascii="Times New Roman" w:eastAsia="Times New Roman" w:hAnsi="Times New Roman" w:cs="Times New Roman"/>
      <w:sz w:val="16"/>
      <w:szCs w:val="20"/>
      <w:lang w:val="en-GB" w:eastAsia="en-US"/>
    </w:rPr>
  </w:style>
  <w:style w:type="paragraph" w:customStyle="1" w:styleId="Chapter">
    <w:name w:val="Chapter"/>
    <w:basedOn w:val="Normal"/>
    <w:rsid w:val="001B2563"/>
    <w:pPr>
      <w:spacing w:before="240"/>
    </w:pPr>
    <w:rPr>
      <w:rFonts w:ascii="Times New Roman" w:hAnsi="Times New Roman"/>
      <w:smallCaps/>
      <w:spacing w:val="80"/>
      <w:sz w:val="28"/>
    </w:rPr>
  </w:style>
  <w:style w:type="paragraph" w:customStyle="1" w:styleId="InChapter">
    <w:name w:val="InChapter"/>
    <w:basedOn w:val="Heading3"/>
    <w:rsid w:val="001B2563"/>
    <w:pPr>
      <w:spacing w:after="240"/>
      <w:outlineLvl w:val="9"/>
    </w:pPr>
    <w:rPr>
      <w:noProof/>
    </w:rPr>
  </w:style>
  <w:style w:type="paragraph" w:styleId="Index2">
    <w:name w:val="index 2"/>
    <w:basedOn w:val="Normal"/>
    <w:next w:val="Normal"/>
    <w:semiHidden/>
    <w:rsid w:val="001B2563"/>
    <w:pPr>
      <w:tabs>
        <w:tab w:val="right" w:pos="4176"/>
      </w:tabs>
      <w:ind w:left="568" w:hanging="284"/>
    </w:pPr>
    <w:rPr>
      <w:rFonts w:ascii="Garamond" w:hAnsi="Garamond"/>
    </w:rPr>
  </w:style>
  <w:style w:type="paragraph" w:customStyle="1" w:styleId="Byline">
    <w:name w:val="Byline"/>
    <w:rsid w:val="001B25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2563"/>
    <w:pPr>
      <w:tabs>
        <w:tab w:val="clear" w:pos="3600"/>
        <w:tab w:val="clear" w:pos="3958"/>
      </w:tabs>
      <w:jc w:val="right"/>
    </w:pPr>
  </w:style>
  <w:style w:type="character" w:styleId="Emphasis">
    <w:name w:val="Emphasis"/>
    <w:basedOn w:val="DefaultParagraphFont"/>
    <w:qFormat/>
    <w:rsid w:val="001B2563"/>
    <w:rPr>
      <w:i/>
    </w:rPr>
  </w:style>
  <w:style w:type="paragraph" w:styleId="Caption">
    <w:name w:val="caption"/>
    <w:basedOn w:val="BodyText"/>
    <w:next w:val="Normal"/>
    <w:qFormat/>
    <w:rsid w:val="001B2563"/>
    <w:pPr>
      <w:framePr w:w="2268" w:hSpace="181" w:vSpace="181" w:wrap="around" w:vAnchor="text" w:hAnchor="page" w:x="1135" w:y="285" w:anchorLock="1"/>
    </w:pPr>
    <w:rPr>
      <w:i/>
    </w:rPr>
  </w:style>
  <w:style w:type="paragraph" w:customStyle="1" w:styleId="MiniTOCTitle">
    <w:name w:val="MiniTOCTitle"/>
    <w:basedOn w:val="Heading4"/>
    <w:rsid w:val="001B2563"/>
    <w:pPr>
      <w:spacing w:before="240"/>
      <w:outlineLvl w:val="9"/>
    </w:pPr>
    <w:rPr>
      <w:noProof/>
      <w:sz w:val="24"/>
    </w:rPr>
  </w:style>
  <w:style w:type="paragraph" w:customStyle="1" w:styleId="MiniTOCItem">
    <w:name w:val="MiniTOCItem"/>
    <w:basedOn w:val="ListBullet"/>
    <w:rsid w:val="001B2563"/>
    <w:pPr>
      <w:numPr>
        <w:numId w:val="0"/>
      </w:numPr>
      <w:tabs>
        <w:tab w:val="right" w:leader="dot" w:pos="6521"/>
      </w:tabs>
      <w:spacing w:before="0" w:after="0"/>
    </w:pPr>
  </w:style>
  <w:style w:type="paragraph" w:customStyle="1" w:styleId="TOFTitle">
    <w:name w:val="TOFTitle"/>
    <w:basedOn w:val="TOCTitle"/>
    <w:rsid w:val="001B2563"/>
  </w:style>
  <w:style w:type="paragraph" w:styleId="TableofFigures">
    <w:name w:val="table of figures"/>
    <w:basedOn w:val="Normal"/>
    <w:next w:val="Normal"/>
    <w:semiHidden/>
    <w:rsid w:val="001B2563"/>
    <w:pPr>
      <w:tabs>
        <w:tab w:val="right" w:leader="dot" w:pos="9072"/>
      </w:tabs>
      <w:ind w:left="970" w:hanging="403"/>
    </w:pPr>
    <w:rPr>
      <w:rFonts w:ascii="Times New Roman" w:hAnsi="Times New Roman"/>
      <w:b/>
    </w:rPr>
  </w:style>
  <w:style w:type="paragraph" w:styleId="ListNumber">
    <w:name w:val="List Number"/>
    <w:basedOn w:val="List"/>
    <w:rsid w:val="001B2563"/>
    <w:pPr>
      <w:numPr>
        <w:numId w:val="16"/>
      </w:numPr>
      <w:tabs>
        <w:tab w:val="clear" w:pos="340"/>
      </w:tabs>
    </w:pPr>
  </w:style>
  <w:style w:type="character" w:customStyle="1" w:styleId="WingdingSymbols">
    <w:name w:val="Wingding Symbols"/>
    <w:rsid w:val="001B2563"/>
    <w:rPr>
      <w:rFonts w:ascii="Wingdings" w:hAnsi="Wingdings"/>
    </w:rPr>
  </w:style>
  <w:style w:type="paragraph" w:customStyle="1" w:styleId="TableHeading">
    <w:name w:val="Table Heading"/>
    <w:basedOn w:val="HeadingBase"/>
    <w:rsid w:val="001B2563"/>
    <w:pPr>
      <w:keepLines/>
      <w:pBdr>
        <w:bottom w:val="single" w:sz="6" w:space="1" w:color="918585"/>
      </w:pBdr>
      <w:spacing w:before="240"/>
    </w:pPr>
  </w:style>
  <w:style w:type="character" w:customStyle="1" w:styleId="HotSpot">
    <w:name w:val="HotSpot"/>
    <w:rsid w:val="001B2563"/>
    <w:rPr>
      <w:color w:val="0033CC"/>
      <w:u w:val="none"/>
    </w:rPr>
  </w:style>
  <w:style w:type="paragraph" w:customStyle="1" w:styleId="BodyTextRight">
    <w:name w:val="Body Text Right"/>
    <w:basedOn w:val="BodyText"/>
    <w:rsid w:val="001B2563"/>
    <w:pPr>
      <w:spacing w:before="0" w:after="0"/>
      <w:jc w:val="right"/>
    </w:pPr>
  </w:style>
  <w:style w:type="paragraph" w:styleId="Index3">
    <w:name w:val="index 3"/>
    <w:basedOn w:val="ListNumber2"/>
    <w:next w:val="Normal"/>
    <w:semiHidden/>
    <w:rsid w:val="001B2563"/>
    <w:pPr>
      <w:numPr>
        <w:numId w:val="0"/>
      </w:numPr>
      <w:tabs>
        <w:tab w:val="right" w:leader="dot" w:pos="4176"/>
      </w:tabs>
    </w:pPr>
  </w:style>
  <w:style w:type="paragraph" w:styleId="ListNumber2">
    <w:name w:val="List Number 2"/>
    <w:basedOn w:val="List2"/>
    <w:rsid w:val="001B2563"/>
    <w:pPr>
      <w:numPr>
        <w:numId w:val="11"/>
      </w:numPr>
      <w:tabs>
        <w:tab w:val="clear" w:pos="1060"/>
      </w:tabs>
    </w:pPr>
  </w:style>
  <w:style w:type="paragraph" w:customStyle="1" w:styleId="MarginNote">
    <w:name w:val="Margin Note"/>
    <w:basedOn w:val="BodyText"/>
    <w:rsid w:val="001B25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25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25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2563"/>
    <w:rPr>
      <w:sz w:val="32"/>
    </w:rPr>
  </w:style>
  <w:style w:type="paragraph" w:customStyle="1" w:styleId="HeadingProcedure">
    <w:name w:val="Heading Procedure"/>
    <w:basedOn w:val="HeadingBase"/>
    <w:next w:val="Normal"/>
    <w:rsid w:val="001B2563"/>
    <w:pPr>
      <w:tabs>
        <w:tab w:val="left" w:pos="0"/>
      </w:tabs>
      <w:spacing w:before="120" w:after="60"/>
    </w:pPr>
    <w:rPr>
      <w:i/>
      <w:color w:val="918585"/>
      <w:sz w:val="22"/>
    </w:rPr>
  </w:style>
  <w:style w:type="paragraph" w:customStyle="1" w:styleId="TableBodyText">
    <w:name w:val="Table Body Text"/>
    <w:basedOn w:val="BodyText"/>
    <w:rsid w:val="001B2563"/>
    <w:pPr>
      <w:spacing w:before="60" w:after="60"/>
    </w:pPr>
  </w:style>
  <w:style w:type="paragraph" w:styleId="ListContinue">
    <w:name w:val="List Continue"/>
    <w:basedOn w:val="List"/>
    <w:rsid w:val="001B2563"/>
    <w:pPr>
      <w:ind w:firstLine="0"/>
    </w:pPr>
  </w:style>
  <w:style w:type="paragraph" w:customStyle="1" w:styleId="ListNote">
    <w:name w:val="List Note"/>
    <w:basedOn w:val="List"/>
    <w:rsid w:val="001B2563"/>
    <w:pPr>
      <w:pBdr>
        <w:top w:val="single" w:sz="6" w:space="2" w:color="918585"/>
        <w:bottom w:val="single" w:sz="6" w:space="2" w:color="918585"/>
      </w:pBdr>
      <w:tabs>
        <w:tab w:val="left" w:pos="1021"/>
      </w:tabs>
      <w:ind w:firstLine="0"/>
    </w:pPr>
  </w:style>
  <w:style w:type="paragraph" w:customStyle="1" w:styleId="Warning">
    <w:name w:val="Warning"/>
    <w:basedOn w:val="BodyText"/>
    <w:rsid w:val="001B2563"/>
    <w:pPr>
      <w:shd w:val="clear" w:color="auto" w:fill="D9D9D9"/>
      <w:tabs>
        <w:tab w:val="left" w:pos="992"/>
      </w:tabs>
      <w:ind w:left="119" w:right="119"/>
    </w:pPr>
    <w:rPr>
      <w:sz w:val="20"/>
    </w:rPr>
  </w:style>
  <w:style w:type="paragraph" w:customStyle="1" w:styleId="MarginIcons">
    <w:name w:val="Margin Icons"/>
    <w:basedOn w:val="BodyText"/>
    <w:rsid w:val="001B25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2563"/>
    <w:rPr>
      <w:rFonts w:ascii="Courier New" w:hAnsi="Courier New"/>
    </w:rPr>
  </w:style>
  <w:style w:type="paragraph" w:customStyle="1" w:styleId="NoteBullet">
    <w:name w:val="Note Bullet"/>
    <w:basedOn w:val="Note"/>
    <w:rsid w:val="001B2563"/>
    <w:pPr>
      <w:tabs>
        <w:tab w:val="clear" w:pos="680"/>
      </w:tabs>
      <w:spacing w:before="60" w:after="60"/>
    </w:pPr>
  </w:style>
  <w:style w:type="paragraph" w:customStyle="1" w:styleId="SubHeading2">
    <w:name w:val="SubHeading2"/>
    <w:basedOn w:val="HeadingBase"/>
    <w:rsid w:val="001B2563"/>
    <w:pPr>
      <w:spacing w:before="240" w:after="60"/>
    </w:pPr>
    <w:rPr>
      <w:sz w:val="20"/>
    </w:rPr>
  </w:style>
  <w:style w:type="paragraph" w:customStyle="1" w:styleId="SubHeading1">
    <w:name w:val="SubHeading1"/>
    <w:basedOn w:val="HeadingBase"/>
    <w:rsid w:val="001B2563"/>
    <w:pPr>
      <w:spacing w:before="240" w:after="60"/>
    </w:pPr>
    <w:rPr>
      <w:color w:val="918585"/>
      <w:sz w:val="22"/>
    </w:rPr>
  </w:style>
  <w:style w:type="paragraph" w:customStyle="1" w:styleId="SideHeading">
    <w:name w:val="Side Heading"/>
    <w:basedOn w:val="HeadingBase"/>
    <w:rsid w:val="001B25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2563"/>
    <w:pPr>
      <w:numPr>
        <w:numId w:val="12"/>
      </w:numPr>
    </w:pPr>
  </w:style>
  <w:style w:type="paragraph" w:styleId="PlainText">
    <w:name w:val="Plain Text"/>
    <w:basedOn w:val="Normal"/>
    <w:link w:val="PlainTextChar"/>
    <w:rsid w:val="001B2563"/>
    <w:rPr>
      <w:sz w:val="20"/>
    </w:rPr>
  </w:style>
  <w:style w:type="character" w:customStyle="1" w:styleId="PlainTextChar">
    <w:name w:val="Plain Text Char"/>
    <w:basedOn w:val="DefaultParagraphFont"/>
    <w:link w:val="PlainText"/>
    <w:rsid w:val="001B2563"/>
    <w:rPr>
      <w:rFonts w:ascii="Courier New" w:eastAsia="Times New Roman" w:hAnsi="Courier New" w:cs="Times New Roman"/>
      <w:sz w:val="20"/>
      <w:szCs w:val="20"/>
      <w:lang w:eastAsia="en-US"/>
    </w:rPr>
  </w:style>
  <w:style w:type="character" w:customStyle="1" w:styleId="MenuOption">
    <w:name w:val="Menu Option"/>
    <w:basedOn w:val="DefaultParagraphFont"/>
    <w:rsid w:val="001B2563"/>
    <w:rPr>
      <w:b/>
      <w:smallCaps/>
    </w:rPr>
  </w:style>
  <w:style w:type="paragraph" w:customStyle="1" w:styleId="TableListNumber">
    <w:name w:val="Table List Number"/>
    <w:basedOn w:val="ListNumber"/>
    <w:rsid w:val="001B2563"/>
    <w:pPr>
      <w:numPr>
        <w:numId w:val="0"/>
      </w:numPr>
    </w:pPr>
  </w:style>
  <w:style w:type="paragraph" w:styleId="TOC4">
    <w:name w:val="toc 4"/>
    <w:basedOn w:val="TOCBase"/>
    <w:next w:val="Normal"/>
    <w:semiHidden/>
    <w:rsid w:val="001B2563"/>
    <w:pPr>
      <w:tabs>
        <w:tab w:val="right" w:leader="dot" w:pos="9071"/>
      </w:tabs>
      <w:ind w:left="1701"/>
    </w:pPr>
  </w:style>
  <w:style w:type="paragraph" w:customStyle="1" w:styleId="ListAlpha">
    <w:name w:val="List Alpha"/>
    <w:basedOn w:val="List"/>
    <w:rsid w:val="001B2563"/>
    <w:pPr>
      <w:numPr>
        <w:numId w:val="10"/>
      </w:numPr>
    </w:pPr>
  </w:style>
  <w:style w:type="paragraph" w:customStyle="1" w:styleId="ListAlpha2">
    <w:name w:val="List Alpha 2"/>
    <w:basedOn w:val="List2"/>
    <w:rsid w:val="001B2563"/>
    <w:pPr>
      <w:numPr>
        <w:numId w:val="9"/>
      </w:numPr>
    </w:pPr>
  </w:style>
  <w:style w:type="paragraph" w:styleId="List2">
    <w:name w:val="List 2"/>
    <w:basedOn w:val="BodyText"/>
    <w:rsid w:val="001B2563"/>
    <w:pPr>
      <w:tabs>
        <w:tab w:val="left" w:pos="680"/>
      </w:tabs>
      <w:spacing w:before="60" w:after="60"/>
      <w:ind w:left="680" w:hanging="340"/>
    </w:pPr>
  </w:style>
  <w:style w:type="paragraph" w:styleId="List3">
    <w:name w:val="List 3"/>
    <w:basedOn w:val="BodyText"/>
    <w:rsid w:val="001B2563"/>
    <w:pPr>
      <w:tabs>
        <w:tab w:val="left" w:pos="1021"/>
      </w:tabs>
      <w:spacing w:before="60" w:after="60"/>
      <w:ind w:left="1020" w:hanging="340"/>
    </w:pPr>
  </w:style>
  <w:style w:type="paragraph" w:styleId="List4">
    <w:name w:val="List 4"/>
    <w:basedOn w:val="BodyText"/>
    <w:rsid w:val="001B2563"/>
    <w:pPr>
      <w:tabs>
        <w:tab w:val="left" w:pos="1361"/>
      </w:tabs>
      <w:spacing w:before="60" w:after="60"/>
      <w:ind w:left="1361" w:hanging="340"/>
    </w:pPr>
  </w:style>
  <w:style w:type="paragraph" w:styleId="List5">
    <w:name w:val="List 5"/>
    <w:basedOn w:val="BodyText"/>
    <w:rsid w:val="001B2563"/>
    <w:pPr>
      <w:tabs>
        <w:tab w:val="left" w:pos="1701"/>
      </w:tabs>
      <w:spacing w:before="60" w:after="60"/>
      <w:ind w:left="1701" w:hanging="340"/>
    </w:pPr>
  </w:style>
  <w:style w:type="paragraph" w:styleId="ListBullet4">
    <w:name w:val="List Bullet 4"/>
    <w:basedOn w:val="List4"/>
    <w:rsid w:val="001B2563"/>
    <w:pPr>
      <w:numPr>
        <w:numId w:val="4"/>
      </w:numPr>
      <w:tabs>
        <w:tab w:val="clear" w:pos="1361"/>
      </w:tabs>
    </w:pPr>
  </w:style>
  <w:style w:type="paragraph" w:styleId="ListBullet5">
    <w:name w:val="List Bullet 5"/>
    <w:basedOn w:val="List5"/>
    <w:rsid w:val="001B2563"/>
    <w:pPr>
      <w:numPr>
        <w:numId w:val="5"/>
      </w:numPr>
    </w:pPr>
  </w:style>
  <w:style w:type="paragraph" w:styleId="ListContinue2">
    <w:name w:val="List Continue 2"/>
    <w:basedOn w:val="List2"/>
    <w:rsid w:val="001B2563"/>
    <w:pPr>
      <w:ind w:firstLine="0"/>
    </w:pPr>
  </w:style>
  <w:style w:type="paragraph" w:styleId="ListContinue3">
    <w:name w:val="List Continue 3"/>
    <w:basedOn w:val="List3"/>
    <w:rsid w:val="001B2563"/>
    <w:pPr>
      <w:ind w:left="1021" w:firstLine="0"/>
    </w:pPr>
  </w:style>
  <w:style w:type="paragraph" w:styleId="ListContinue4">
    <w:name w:val="List Continue 4"/>
    <w:basedOn w:val="List4"/>
    <w:rsid w:val="001B2563"/>
    <w:pPr>
      <w:ind w:firstLine="0"/>
    </w:pPr>
  </w:style>
  <w:style w:type="paragraph" w:styleId="ListContinue5">
    <w:name w:val="List Continue 5"/>
    <w:basedOn w:val="List5"/>
    <w:rsid w:val="001B2563"/>
    <w:pPr>
      <w:ind w:firstLine="0"/>
    </w:pPr>
  </w:style>
  <w:style w:type="paragraph" w:styleId="ListNumber3">
    <w:name w:val="List Number 3"/>
    <w:basedOn w:val="List3"/>
    <w:rsid w:val="001B2563"/>
    <w:pPr>
      <w:numPr>
        <w:numId w:val="6"/>
      </w:numPr>
    </w:pPr>
  </w:style>
  <w:style w:type="paragraph" w:styleId="ListNumber4">
    <w:name w:val="List Number 4"/>
    <w:basedOn w:val="List4"/>
    <w:rsid w:val="001B2563"/>
    <w:pPr>
      <w:numPr>
        <w:numId w:val="7"/>
      </w:numPr>
    </w:pPr>
  </w:style>
  <w:style w:type="paragraph" w:styleId="ListNumber5">
    <w:name w:val="List Number 5"/>
    <w:basedOn w:val="List5"/>
    <w:rsid w:val="001B2563"/>
    <w:pPr>
      <w:numPr>
        <w:numId w:val="8"/>
      </w:numPr>
    </w:pPr>
  </w:style>
  <w:style w:type="paragraph" w:styleId="BlockText">
    <w:name w:val="Block Text"/>
    <w:basedOn w:val="Normal"/>
    <w:rsid w:val="001B2563"/>
    <w:pPr>
      <w:spacing w:after="120"/>
      <w:ind w:left="1440" w:right="1440"/>
    </w:pPr>
  </w:style>
  <w:style w:type="character" w:customStyle="1" w:styleId="Subscript">
    <w:name w:val="Subscript"/>
    <w:basedOn w:val="DefaultParagraphFont"/>
    <w:rsid w:val="001B2563"/>
    <w:rPr>
      <w:sz w:val="16"/>
      <w:vertAlign w:val="subscript"/>
    </w:rPr>
  </w:style>
  <w:style w:type="character" w:customStyle="1" w:styleId="Superscript">
    <w:name w:val="Superscript"/>
    <w:basedOn w:val="DefaultParagraphFont"/>
    <w:rsid w:val="001B2563"/>
    <w:rPr>
      <w:sz w:val="16"/>
      <w:vertAlign w:val="superscript"/>
    </w:rPr>
  </w:style>
  <w:style w:type="character" w:customStyle="1" w:styleId="Symbols">
    <w:name w:val="Symbols"/>
    <w:basedOn w:val="DefaultParagraphFont"/>
    <w:rsid w:val="001B2563"/>
    <w:rPr>
      <w:rFonts w:ascii="Symbol" w:hAnsi="Symbol"/>
    </w:rPr>
  </w:style>
  <w:style w:type="character" w:customStyle="1" w:styleId="MenuOptions">
    <w:name w:val="Menu Options"/>
    <w:basedOn w:val="DefaultParagraphFont"/>
    <w:rsid w:val="001B2563"/>
    <w:rPr>
      <w:rFonts w:ascii="Arial Narrow" w:hAnsi="Arial Narrow"/>
      <w:smallCaps/>
    </w:rPr>
  </w:style>
  <w:style w:type="character" w:customStyle="1" w:styleId="Buttons">
    <w:name w:val="Buttons"/>
    <w:basedOn w:val="DefaultParagraphFont"/>
    <w:rsid w:val="001B2563"/>
    <w:rPr>
      <w:b/>
    </w:rPr>
  </w:style>
  <w:style w:type="character" w:customStyle="1" w:styleId="Underlined">
    <w:name w:val="Underlined"/>
    <w:basedOn w:val="DefaultParagraphFont"/>
    <w:rsid w:val="001B2563"/>
    <w:rPr>
      <w:u w:val="single"/>
    </w:rPr>
  </w:style>
  <w:style w:type="paragraph" w:customStyle="1" w:styleId="TableBodyTextRight">
    <w:name w:val="Table Body Text Right"/>
    <w:basedOn w:val="TableBodyText"/>
    <w:rsid w:val="001B2563"/>
    <w:pPr>
      <w:widowControl w:val="0"/>
      <w:autoSpaceDE w:val="0"/>
      <w:autoSpaceDN w:val="0"/>
      <w:adjustRightInd w:val="0"/>
      <w:jc w:val="right"/>
    </w:pPr>
    <w:rPr>
      <w:rFonts w:cs="Arial"/>
      <w:szCs w:val="18"/>
    </w:rPr>
  </w:style>
  <w:style w:type="paragraph" w:customStyle="1" w:styleId="CopyrightText">
    <w:name w:val="Copyright Text"/>
    <w:basedOn w:val="BodyText"/>
    <w:rsid w:val="001B2563"/>
    <w:rPr>
      <w:sz w:val="18"/>
    </w:rPr>
  </w:style>
  <w:style w:type="paragraph" w:customStyle="1" w:styleId="BodySmallRight">
    <w:name w:val="Body Small Right"/>
    <w:basedOn w:val="BodyTextRight"/>
    <w:rsid w:val="001B2563"/>
    <w:rPr>
      <w:sz w:val="18"/>
      <w:szCs w:val="18"/>
    </w:rPr>
  </w:style>
  <w:style w:type="paragraph" w:customStyle="1" w:styleId="MarginEdition">
    <w:name w:val="Margin Edition"/>
    <w:basedOn w:val="MarginNote"/>
    <w:rsid w:val="001B2563"/>
    <w:pPr>
      <w:spacing w:before="0" w:after="0"/>
    </w:pPr>
    <w:rPr>
      <w:rFonts w:ascii="Times New Roman" w:hAnsi="Times New Roman"/>
      <w:color w:val="999999"/>
    </w:rPr>
  </w:style>
  <w:style w:type="paragraph" w:customStyle="1" w:styleId="Spacer">
    <w:name w:val="Spacer"/>
    <w:basedOn w:val="Normal"/>
    <w:rsid w:val="001B2563"/>
    <w:rPr>
      <w:sz w:val="2"/>
      <w:szCs w:val="2"/>
    </w:rPr>
  </w:style>
  <w:style w:type="character" w:customStyle="1" w:styleId="Small">
    <w:name w:val="Small"/>
    <w:basedOn w:val="DefaultParagraphFont"/>
    <w:rsid w:val="001B2563"/>
    <w:rPr>
      <w:sz w:val="16"/>
    </w:rPr>
  </w:style>
  <w:style w:type="paragraph" w:customStyle="1" w:styleId="WideTable">
    <w:name w:val="Wide Table"/>
    <w:basedOn w:val="Normal"/>
    <w:rsid w:val="001B2563"/>
    <w:pPr>
      <w:ind w:left="-1418"/>
    </w:pPr>
    <w:rPr>
      <w:sz w:val="2"/>
      <w:szCs w:val="2"/>
    </w:rPr>
  </w:style>
  <w:style w:type="character" w:styleId="PageNumber">
    <w:name w:val="page number"/>
    <w:basedOn w:val="DefaultParagraphFont"/>
    <w:rsid w:val="001B2563"/>
  </w:style>
  <w:style w:type="paragraph" w:styleId="Quote">
    <w:name w:val="Quote"/>
    <w:basedOn w:val="Heading1"/>
    <w:link w:val="QuoteChar"/>
    <w:qFormat/>
    <w:rsid w:val="001B2563"/>
    <w:rPr>
      <w:b w:val="0"/>
      <w:sz w:val="72"/>
      <w:szCs w:val="72"/>
      <w:lang w:val="en-NZ"/>
    </w:rPr>
  </w:style>
  <w:style w:type="character" w:customStyle="1" w:styleId="QuoteChar">
    <w:name w:val="Quote Char"/>
    <w:basedOn w:val="DefaultParagraphFont"/>
    <w:link w:val="Quote"/>
    <w:rsid w:val="001B25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2563"/>
    <w:pPr>
      <w:pageBreakBefore/>
    </w:pPr>
  </w:style>
  <w:style w:type="paragraph" w:customStyle="1" w:styleId="Border">
    <w:name w:val="Border"/>
    <w:basedOn w:val="Normal"/>
    <w:qFormat/>
    <w:rsid w:val="001B25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2563"/>
    <w:rPr>
      <w:b/>
      <w:bCs/>
      <w:i/>
      <w:iCs/>
      <w:color w:val="auto"/>
    </w:rPr>
  </w:style>
  <w:style w:type="paragraph" w:styleId="IntenseQuote">
    <w:name w:val="Intense Quote"/>
    <w:basedOn w:val="Normal"/>
    <w:next w:val="Normal"/>
    <w:link w:val="IntenseQuoteChar"/>
    <w:uiPriority w:val="30"/>
    <w:qFormat/>
    <w:rsid w:val="001B25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25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2563"/>
    <w:rPr>
      <w:smallCaps/>
      <w:color w:val="auto"/>
      <w:u w:val="single"/>
    </w:rPr>
  </w:style>
  <w:style w:type="character" w:styleId="IntenseReference">
    <w:name w:val="Intense Reference"/>
    <w:basedOn w:val="DefaultParagraphFont"/>
    <w:uiPriority w:val="32"/>
    <w:qFormat/>
    <w:rsid w:val="001B2563"/>
    <w:rPr>
      <w:b/>
      <w:bCs/>
      <w:smallCaps/>
      <w:color w:val="auto"/>
      <w:spacing w:val="5"/>
      <w:u w:val="single"/>
    </w:rPr>
  </w:style>
  <w:style w:type="paragraph" w:customStyle="1" w:styleId="2ColumnHeading">
    <w:name w:val="2Column Heading"/>
    <w:basedOn w:val="BodyText"/>
    <w:qFormat/>
    <w:rsid w:val="001B2563"/>
    <w:pPr>
      <w:spacing w:after="60"/>
      <w:ind w:left="-2268"/>
    </w:pPr>
    <w:rPr>
      <w:b/>
    </w:rPr>
  </w:style>
  <w:style w:type="paragraph" w:customStyle="1" w:styleId="Heading1TOC">
    <w:name w:val="Heading1 TOC"/>
    <w:basedOn w:val="Normal"/>
    <w:qFormat/>
    <w:rsid w:val="001B2563"/>
    <w:pPr>
      <w:spacing w:before="240" w:after="120"/>
    </w:pPr>
    <w:rPr>
      <w:rFonts w:ascii="Times New Roman" w:hAnsi="Times New Roman"/>
      <w:b/>
      <w:sz w:val="32"/>
    </w:rPr>
  </w:style>
  <w:style w:type="paragraph" w:customStyle="1" w:styleId="Heading2TOC">
    <w:name w:val="Heading2 TOC"/>
    <w:basedOn w:val="Normal"/>
    <w:qFormat/>
    <w:rsid w:val="001B2563"/>
    <w:pPr>
      <w:spacing w:before="240" w:after="60"/>
    </w:pPr>
    <w:rPr>
      <w:rFonts w:ascii="Times New Roman" w:hAnsi="Times New Roman"/>
      <w:b/>
      <w:sz w:val="28"/>
    </w:rPr>
  </w:style>
  <w:style w:type="character" w:customStyle="1" w:styleId="Underline">
    <w:name w:val="Underline"/>
    <w:basedOn w:val="DefaultParagraphFont"/>
    <w:qFormat/>
    <w:rsid w:val="001B2563"/>
    <w:rPr>
      <w:u w:val="single"/>
    </w:rPr>
  </w:style>
  <w:style w:type="character" w:customStyle="1" w:styleId="BoldandItalics">
    <w:name w:val="Bold and Italics"/>
    <w:qFormat/>
    <w:rsid w:val="001B2563"/>
    <w:rPr>
      <w:b/>
      <w:i/>
      <w:u w:val="none"/>
    </w:rPr>
  </w:style>
  <w:style w:type="paragraph" w:styleId="BalloonText">
    <w:name w:val="Balloon Text"/>
    <w:basedOn w:val="Normal"/>
    <w:link w:val="BalloonTextChar"/>
    <w:rsid w:val="001B2563"/>
    <w:rPr>
      <w:rFonts w:ascii="Tahoma" w:hAnsi="Tahoma" w:cs="Tahoma"/>
      <w:sz w:val="16"/>
      <w:szCs w:val="16"/>
    </w:rPr>
  </w:style>
  <w:style w:type="character" w:customStyle="1" w:styleId="BalloonTextChar">
    <w:name w:val="Balloon Text Char"/>
    <w:basedOn w:val="DefaultParagraphFont"/>
    <w:link w:val="BalloonText"/>
    <w:rsid w:val="001B25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256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25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2563"/>
    <w:rPr>
      <w:b/>
      <w:color w:val="660033"/>
      <w:spacing w:val="0"/>
    </w:rPr>
  </w:style>
  <w:style w:type="paragraph" w:customStyle="1" w:styleId="Nameditemlist">
    <w:name w:val="Named item list"/>
    <w:basedOn w:val="BodyText"/>
    <w:qFormat/>
    <w:rsid w:val="001B2563"/>
    <w:pPr>
      <w:tabs>
        <w:tab w:val="left" w:pos="2835"/>
      </w:tabs>
      <w:ind w:left="2835" w:hanging="2835"/>
    </w:pPr>
  </w:style>
  <w:style w:type="paragraph" w:customStyle="1" w:styleId="BodyTextnopadding">
    <w:name w:val="Body Text no padding"/>
    <w:basedOn w:val="BodyText"/>
    <w:qFormat/>
    <w:rsid w:val="001B2563"/>
    <w:pPr>
      <w:spacing w:before="0" w:after="0"/>
    </w:pPr>
  </w:style>
  <w:style w:type="paragraph" w:customStyle="1" w:styleId="BodyTextBold">
    <w:name w:val="Body Text Bold"/>
    <w:basedOn w:val="BodyText"/>
    <w:qFormat/>
    <w:rsid w:val="001B2563"/>
    <w:rPr>
      <w:b/>
    </w:rPr>
  </w:style>
  <w:style w:type="character" w:styleId="Hyperlink">
    <w:name w:val="Hyperlink"/>
    <w:basedOn w:val="DefaultParagraphFont"/>
    <w:uiPriority w:val="99"/>
    <w:unhideWhenUsed/>
    <w:rsid w:val="00037C4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790</Words>
  <Characters>5715</Characters>
  <Application>Microsoft Office Word</Application>
  <DocSecurity>0</DocSecurity>
  <Lines>142</Lines>
  <Paragraphs>118</Paragraphs>
  <ScaleCrop>false</ScaleCrop>
  <Company>Author-it Software Corporation Ltd.</Company>
  <LinksUpToDate>false</LinksUpToDate>
  <CharactersWithSpaces>6387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UEERS0010 Install and maintain rail signalling power supplies</dc:title>
  <dc:subject>Approved</dc:subject>
  <dc:creator>Australian Industry Standards</dc:creator>
  <cp:keywords>Release: 1</cp:keywords>
  <dc:description>Review Date: 12 April 2008</dc:description>
  <cp:lastModifiedBy>HSD_TPCMSd.prod</cp:lastModifiedBy>
  <cp:revision>3</cp:revision>
  <dcterms:created xsi:type="dcterms:W3CDTF">2022-12-20T04:14:00Z</dcterms:created>
  <dcterms:modified xsi:type="dcterms:W3CDTF">2022-12-20T04:14:00Z</dcterms:modified>
</cp:coreProperties>
</file>