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BE2" w:rsidP="00646BE2">
      <w:pPr>
        <w:pStyle w:val="Title"/>
      </w:pPr>
      <w:r>
        <w:fldChar w:fldCharType="begin"/>
      </w:r>
      <w:r>
        <w:instrText xml:space="preserve"> TITLE   \* MERGEFORMAT </w:instrText>
      </w:r>
      <w:r>
        <w:fldChar w:fldCharType="separate"/>
      </w:r>
      <w:r>
        <w:t>Assessment Requirements for UEERS0008 Install and maintain non-vital telemetry systems</w:t>
      </w:r>
      <w:r>
        <w:fldChar w:fldCharType="end"/>
      </w:r>
    </w:p>
    <w:p w:rsidR="00646BE2" w:rsidP="00646BE2">
      <w:pPr>
        <w:pStyle w:val="Version"/>
        <w:sectPr w:rsidSect="00A74E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E8A" w:rsidP="00A74E8A">
      <w:pPr>
        <w:pStyle w:val="SuperHeading"/>
      </w:pPr>
      <w:r w:rsidRPr="00A74E8A">
        <w:t>Assessment Requirements for UEERS0008 Install and maintain non-vital telemetry systems</w:t>
      </w:r>
    </w:p>
    <w:p w:rsidR="00000000" w:rsidRPr="00A74E8A" w:rsidP="00A74E8A">
      <w:pPr>
        <w:pStyle w:val="Heading1"/>
      </w:pPr>
      <w:bookmarkStart w:id="1" w:name="O_1101227"/>
      <w:bookmarkEnd w:id="1"/>
      <w:r w:rsidRPr="00A74E8A">
        <w:t>Modification History</w:t>
      </w:r>
    </w:p>
    <w:tbl>
      <w:tblPr>
        <w:tblW w:w="9497" w:type="dxa"/>
        <w:tblLayout w:type="fixed"/>
        <w:tblCellMar>
          <w:left w:w="62" w:type="dxa"/>
          <w:right w:w="62" w:type="dxa"/>
        </w:tblCellMar>
        <w:tblLook w:val="0000"/>
      </w:tblPr>
      <w:tblGrid>
        <w:gridCol w:w="9497"/>
      </w:tblGrid>
      <w:tr w:rsidTr="00A74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E8A" w:rsidP="00A74E8A">
            <w:pPr>
              <w:pStyle w:val="BodyText"/>
            </w:pPr>
            <w:r w:rsidRPr="00A74E8A">
              <w:t>Release 1. This is the first release of this unit of competency in the UEE Electrotechnology Training Package.</w:t>
            </w:r>
          </w:p>
        </w:tc>
      </w:tr>
    </w:tbl>
    <w:p w:rsidR="00000000" w:rsidRPr="00A74E8A" w:rsidP="00A74E8A">
      <w:pPr>
        <w:pStyle w:val="NoPaddingFontSize1"/>
      </w:pPr>
    </w:p>
    <w:p w:rsidR="00000000" w:rsidRPr="00A74E8A" w:rsidP="00A74E8A">
      <w:pPr>
        <w:pStyle w:val="AllowPageBreak"/>
      </w:pPr>
    </w:p>
    <w:p w:rsidR="00000000" w:rsidRPr="00A74E8A" w:rsidP="00A74E8A">
      <w:pPr>
        <w:pStyle w:val="Heading1"/>
      </w:pPr>
      <w:bookmarkStart w:id="2" w:name="O_1101228"/>
      <w:bookmarkEnd w:id="2"/>
      <w:r w:rsidRPr="00A74E8A">
        <w:t>Performance Evidence</w:t>
      </w:r>
    </w:p>
    <w:tbl>
      <w:tblPr>
        <w:tblW w:w="9497" w:type="dxa"/>
        <w:tblLayout w:type="fixed"/>
        <w:tblCellMar>
          <w:left w:w="62" w:type="dxa"/>
          <w:right w:w="62" w:type="dxa"/>
        </w:tblCellMar>
        <w:tblLook w:val="0000"/>
      </w:tblPr>
      <w:tblGrid>
        <w:gridCol w:w="9497"/>
      </w:tblGrid>
      <w:tr w:rsidTr="00A74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4E8A">
            <w:pPr>
              <w:pStyle w:val="BodyText"/>
              <w:rPr>
                <w:lang w:val="en-NZ"/>
              </w:rPr>
            </w:pPr>
            <w:r w:rsidRPr="00A74E8A">
              <w:t>Evidence required to demonstrate competence in this unit must be relevant to and satisfy all of the requirements of the elements and performance criteria on at least two separate occasions and include:</w:t>
            </w:r>
          </w:p>
        </w:tc>
      </w:tr>
      <w:tr w:rsidTr="00A74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E8A" w:rsidP="00A74E8A">
            <w:pPr>
              <w:pStyle w:val="ListBullet"/>
            </w:pPr>
            <w:r w:rsidRPr="00A74E8A">
              <w:t>interpreting plans and</w:t>
            </w:r>
            <w:r w:rsidRPr="00A74E8A">
              <w:t xml:space="preserve"> specifications correctly</w:t>
            </w:r>
          </w:p>
          <w:p w:rsidR="00000000" w:rsidRPr="00A74E8A" w:rsidP="00A74E8A">
            <w:pPr>
              <w:pStyle w:val="ListBullet"/>
            </w:pPr>
            <w:r w:rsidRPr="00A74E8A">
              <w:t>installing/maintaining and testing of non-vital telemetry equipment in accordance with workplace procedures</w:t>
            </w:r>
          </w:p>
          <w:p w:rsidR="00000000" w:rsidRPr="00A74E8A" w:rsidP="00A74E8A">
            <w:pPr>
              <w:pStyle w:val="ListBullet"/>
            </w:pPr>
            <w:r w:rsidRPr="00A74E8A">
              <w:t>using effective and efficient diagnostic fault-finding techniques</w:t>
            </w:r>
          </w:p>
          <w:p w:rsidR="00000000" w:rsidRPr="00A74E8A" w:rsidP="00A74E8A">
            <w:pPr>
              <w:pStyle w:val="ListBullet"/>
            </w:pPr>
            <w:r w:rsidRPr="00A74E8A">
              <w:t>using resources efficiently</w:t>
            </w:r>
          </w:p>
          <w:p w:rsidR="00000000" w:rsidRPr="00A74E8A" w:rsidP="00A74E8A">
            <w:pPr>
              <w:pStyle w:val="ListBullet"/>
            </w:pPr>
            <w:r w:rsidRPr="00A74E8A">
              <w:t>repairing equipment in accor</w:t>
            </w:r>
            <w:r w:rsidRPr="00A74E8A">
              <w:t>dance with workplace procedures</w:t>
            </w:r>
          </w:p>
          <w:p w:rsidR="00000000" w:rsidRPr="00A74E8A" w:rsidP="00A74E8A">
            <w:pPr>
              <w:pStyle w:val="ListBullet"/>
            </w:pPr>
            <w:r w:rsidRPr="00A74E8A">
              <w:t>ensuring repaired equipment conforms to manufacturer specifications</w:t>
            </w:r>
          </w:p>
          <w:p w:rsidR="00000000" w:rsidRPr="00A74E8A" w:rsidP="00A74E8A">
            <w:pPr>
              <w:pStyle w:val="ListBullet"/>
            </w:pPr>
            <w:r w:rsidRPr="00A74E8A">
              <w:t>calibrating and using test equipment and tools correctly</w:t>
            </w:r>
          </w:p>
          <w:p w:rsidR="00000000" w:rsidRPr="00A74E8A" w:rsidP="00A74E8A">
            <w:pPr>
              <w:pStyle w:val="ListBullet"/>
            </w:pPr>
            <w:r w:rsidRPr="00A74E8A">
              <w:t>following relevant codes of practice, environmental protection procedures and requirements</w:t>
            </w:r>
          </w:p>
          <w:p w:rsidR="00000000" w:rsidRPr="00A74E8A" w:rsidP="00A74E8A">
            <w:pPr>
              <w:pStyle w:val="ListBullet"/>
            </w:pPr>
            <w:r w:rsidRPr="00A74E8A">
              <w:t>following correct liaison procedures</w:t>
            </w:r>
          </w:p>
          <w:p w:rsidR="00000000" w:rsidRPr="00A74E8A" w:rsidP="00A74E8A">
            <w:pPr>
              <w:pStyle w:val="ListBullet"/>
            </w:pPr>
            <w:r w:rsidRPr="00A74E8A">
              <w:t>completing relevant technical reports records and documentation</w:t>
            </w:r>
          </w:p>
          <w:p w:rsidR="00000000" w:rsidRPr="00A74E8A" w:rsidP="00A74E8A">
            <w:pPr>
              <w:pStyle w:val="ListBullet"/>
            </w:pPr>
            <w:r w:rsidRPr="00A74E8A">
              <w:t>dealing with unplanned events</w:t>
            </w:r>
          </w:p>
          <w:p w:rsidR="00000000" w:rsidRPr="00A74E8A" w:rsidP="00A74E8A">
            <w:pPr>
              <w:pStyle w:val="ListBullet"/>
            </w:pPr>
            <w:r w:rsidRPr="00A74E8A">
              <w:t>applying rail safe working practices and relevant industry standards, codes and rail safety regulations</w:t>
            </w:r>
          </w:p>
          <w:p w:rsidR="00000000" w:rsidRPr="00A74E8A" w:rsidP="00A74E8A">
            <w:pPr>
              <w:pStyle w:val="ListBullet"/>
            </w:pPr>
            <w:r w:rsidRPr="00A74E8A">
              <w:t>applying relevant wor</w:t>
            </w:r>
            <w:r w:rsidRPr="00A74E8A">
              <w:t>k health and safety (WHS)/occupational health and safety (OHS) requirements, including:</w:t>
            </w:r>
          </w:p>
          <w:p w:rsidR="00000000" w:rsidRPr="00A74E8A" w:rsidP="00A74E8A">
            <w:pPr>
              <w:pStyle w:val="ListBullet2"/>
            </w:pPr>
            <w:r w:rsidRPr="00A74E8A">
              <w:t>implementing workplace procedures and practices</w:t>
            </w:r>
          </w:p>
          <w:p w:rsidR="00000000" w:rsidRPr="00A74E8A" w:rsidP="00A74E8A">
            <w:pPr>
              <w:pStyle w:val="ListBullet2"/>
            </w:pPr>
            <w:r w:rsidRPr="00A74E8A">
              <w:t>using risk control measures</w:t>
            </w:r>
          </w:p>
          <w:p w:rsidR="00000000" w:rsidRPr="00A74E8A" w:rsidP="00A74E8A">
            <w:pPr>
              <w:pStyle w:val="ListBullet"/>
            </w:pPr>
            <w:r w:rsidRPr="00A74E8A">
              <w:t>applying sustainable energy principles and practices</w:t>
            </w:r>
          </w:p>
          <w:p w:rsidR="00000000" w:rsidRPr="00A74E8A" w:rsidP="00A74E8A">
            <w:pPr>
              <w:pStyle w:val="ListBullet"/>
            </w:pPr>
            <w:r w:rsidRPr="00A74E8A">
              <w:t>completing maintenance of non-vital t</w:t>
            </w:r>
            <w:r w:rsidRPr="00A74E8A">
              <w:t>elemetry systems</w:t>
            </w:r>
          </w:p>
          <w:p w:rsidR="00000000" w:rsidRPr="00A74E8A" w:rsidP="00A74E8A">
            <w:pPr>
              <w:pStyle w:val="ListBullet"/>
            </w:pPr>
            <w:r w:rsidRPr="00A74E8A">
              <w:t>reading mimics and animated graphics.</w:t>
            </w:r>
          </w:p>
        </w:tc>
      </w:tr>
    </w:tbl>
    <w:p w:rsidR="00000000" w:rsidRPr="00A74E8A" w:rsidP="00A74E8A">
      <w:pPr>
        <w:pStyle w:val="NoPaddingFontSize1"/>
      </w:pPr>
    </w:p>
    <w:p w:rsidR="00000000" w:rsidRPr="00A74E8A" w:rsidP="00A74E8A">
      <w:pPr>
        <w:pStyle w:val="AllowPageBreak"/>
      </w:pPr>
    </w:p>
    <w:p w:rsidR="00000000" w:rsidRPr="00A74E8A" w:rsidP="00A74E8A">
      <w:pPr>
        <w:pStyle w:val="Heading1"/>
      </w:pPr>
      <w:bookmarkStart w:id="3" w:name="O_1101229"/>
      <w:bookmarkEnd w:id="3"/>
      <w:r w:rsidRPr="00A74E8A">
        <w:t>Knowledge Evidence</w:t>
      </w:r>
    </w:p>
    <w:tbl>
      <w:tblPr>
        <w:tblW w:w="9497" w:type="dxa"/>
        <w:tblLayout w:type="fixed"/>
        <w:tblCellMar>
          <w:left w:w="62" w:type="dxa"/>
          <w:right w:w="62" w:type="dxa"/>
        </w:tblCellMar>
        <w:tblLook w:val="0000"/>
      </w:tblPr>
      <w:tblGrid>
        <w:gridCol w:w="9497"/>
      </w:tblGrid>
      <w:tr w:rsidTr="00A74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4E8A">
            <w:pPr>
              <w:pStyle w:val="BodyText"/>
              <w:rPr>
                <w:lang w:val="en-NZ"/>
              </w:rPr>
            </w:pPr>
            <w:r w:rsidRPr="00A74E8A">
              <w:t xml:space="preserve">Evidence required to demonstrate competence in this unit must be relevant to and satisfy all of the requirements of the elements and performance </w:t>
            </w:r>
            <w:r w:rsidRPr="00A74E8A">
              <w:t>criteria and include knowledge of:</w:t>
            </w:r>
          </w:p>
        </w:tc>
      </w:tr>
      <w:tr w:rsidTr="00A74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E8A" w:rsidP="00A74E8A">
            <w:pPr>
              <w:pStyle w:val="ListBullet"/>
            </w:pPr>
            <w:r w:rsidRPr="00A74E8A">
              <w:t xml:space="preserve">non-vital telemetry systems installation/maintenance, safe working practices and relevant standards, codes and regulations, including: </w:t>
            </w:r>
          </w:p>
          <w:p w:rsidR="00000000" w:rsidRPr="00A74E8A" w:rsidP="00A74E8A">
            <w:pPr>
              <w:pStyle w:val="ListBullet2"/>
            </w:pPr>
            <w:r w:rsidRPr="00A74E8A">
              <w:t>electronic switching encompassing:</w:t>
            </w:r>
          </w:p>
          <w:p w:rsidR="00000000" w:rsidRPr="00A74E8A" w:rsidP="00A74E8A">
            <w:pPr>
              <w:pStyle w:val="ListBullet3"/>
            </w:pPr>
            <w:r w:rsidRPr="00A74E8A">
              <w:t>d</w:t>
            </w:r>
            <w:r w:rsidRPr="00A74E8A">
              <w:t>evices and used for electronic switching and their switching characteristic</w:t>
            </w:r>
          </w:p>
          <w:p w:rsidR="00000000" w:rsidRPr="00A74E8A" w:rsidP="00A74E8A">
            <w:pPr>
              <w:pStyle w:val="ListBullet3"/>
            </w:pPr>
            <w:r w:rsidRPr="00A74E8A">
              <w:t>circuit configuration and switch-on, switch-off conditions</w:t>
            </w:r>
          </w:p>
          <w:p w:rsidR="00000000" w:rsidRPr="00A74E8A" w:rsidP="00A74E8A">
            <w:pPr>
              <w:pStyle w:val="ListBullet3"/>
            </w:pPr>
            <w:r w:rsidRPr="00A74E8A">
              <w:t>faults in electronic switching devices/circuits</w:t>
            </w:r>
          </w:p>
          <w:p w:rsidR="00000000" w:rsidRPr="00A74E8A" w:rsidP="00A74E8A">
            <w:pPr>
              <w:pStyle w:val="ListBullet3"/>
            </w:pPr>
            <w:r w:rsidRPr="00A74E8A">
              <w:t>typical applications of electronic switching</w:t>
            </w:r>
          </w:p>
          <w:p w:rsidR="00000000" w:rsidRPr="00A74E8A" w:rsidP="00A74E8A">
            <w:pPr>
              <w:pStyle w:val="ListBullet2"/>
            </w:pPr>
            <w:r w:rsidRPr="00A74E8A">
              <w:t>using supervisory control a</w:t>
            </w:r>
            <w:r w:rsidRPr="00A74E8A">
              <w:t>nd data acquisition systems (SCADA) encompassing:</w:t>
            </w:r>
          </w:p>
          <w:p w:rsidR="00000000" w:rsidRPr="00A74E8A" w:rsidP="00A74E8A">
            <w:pPr>
              <w:pStyle w:val="ListBullet3"/>
            </w:pPr>
            <w:r w:rsidRPr="00A74E8A">
              <w:t>SCADA system features and applications</w:t>
            </w:r>
          </w:p>
          <w:p w:rsidR="00000000" w:rsidRPr="00A74E8A" w:rsidP="00A74E8A">
            <w:pPr>
              <w:pStyle w:val="ListBullet3"/>
            </w:pPr>
            <w:r w:rsidRPr="00A74E8A">
              <w:t xml:space="preserve">industries in which SCADA systems are used </w:t>
            </w:r>
          </w:p>
          <w:p w:rsidR="00000000" w:rsidRPr="00A74E8A" w:rsidP="00A74E8A">
            <w:pPr>
              <w:pStyle w:val="ListBullet3"/>
            </w:pPr>
            <w:r w:rsidRPr="00A74E8A">
              <w:t>associate benefits of the package</w:t>
            </w:r>
          </w:p>
          <w:p w:rsidR="00000000" w:rsidRPr="00A74E8A" w:rsidP="00A74E8A">
            <w:pPr>
              <w:pStyle w:val="ListBullet3"/>
            </w:pPr>
            <w:r w:rsidRPr="00A74E8A">
              <w:t>features and facilities of different SCADA packages</w:t>
            </w:r>
          </w:p>
          <w:p w:rsidR="00000000" w:rsidRPr="00A74E8A" w:rsidP="00A74E8A">
            <w:pPr>
              <w:pStyle w:val="ListBullet3"/>
            </w:pPr>
            <w:r w:rsidRPr="00A74E8A">
              <w:t>hardware requirements</w:t>
            </w:r>
          </w:p>
          <w:p w:rsidR="00000000" w:rsidRPr="00A74E8A" w:rsidP="00A74E8A">
            <w:pPr>
              <w:pStyle w:val="ListBullet2"/>
            </w:pPr>
            <w:r w:rsidRPr="00A74E8A">
              <w:t xml:space="preserve">transmission </w:t>
            </w:r>
            <w:r w:rsidRPr="00A74E8A">
              <w:t>protocols encompassing:</w:t>
            </w:r>
          </w:p>
          <w:p w:rsidR="00000000" w:rsidRPr="00A74E8A" w:rsidP="00A74E8A">
            <w:pPr>
              <w:pStyle w:val="ListBullet3"/>
            </w:pPr>
            <w:r w:rsidRPr="00A74E8A">
              <w:t>carriers</w:t>
            </w:r>
          </w:p>
          <w:p w:rsidR="00000000" w:rsidRPr="00A74E8A" w:rsidP="00A74E8A">
            <w:pPr>
              <w:pStyle w:val="ListBullet3"/>
            </w:pPr>
            <w:r w:rsidRPr="00A74E8A">
              <w:t>multidrop configuration</w:t>
            </w:r>
          </w:p>
          <w:p w:rsidR="00000000" w:rsidRPr="00A74E8A" w:rsidP="00A74E8A">
            <w:pPr>
              <w:pStyle w:val="ListBullet3"/>
            </w:pPr>
            <w:r w:rsidRPr="00A74E8A">
              <w:t>time division multiplexing</w:t>
            </w:r>
          </w:p>
          <w:p w:rsidR="00000000" w:rsidRPr="00A74E8A" w:rsidP="00A74E8A">
            <w:pPr>
              <w:pStyle w:val="ListBullet3"/>
            </w:pPr>
            <w:r w:rsidRPr="00A74E8A">
              <w:t>relay and computer-based interlocking (CBI) interfaces</w:t>
            </w:r>
          </w:p>
          <w:p w:rsidR="00000000" w:rsidRPr="00A74E8A" w:rsidP="00A74E8A">
            <w:pPr>
              <w:pStyle w:val="ListBullet3"/>
            </w:pPr>
            <w:r w:rsidRPr="00A74E8A">
              <w:t>data structure</w:t>
            </w:r>
          </w:p>
          <w:p w:rsidR="00000000" w:rsidRPr="00A74E8A" w:rsidP="00A74E8A">
            <w:pPr>
              <w:pStyle w:val="ListBullet2"/>
            </w:pPr>
            <w:r w:rsidRPr="00A74E8A">
              <w:t xml:space="preserve">elements, including addressing, parity, cyclic redundancy check, direction control data and </w:t>
            </w:r>
            <w:r w:rsidRPr="00A74E8A">
              <w:t>indication data</w:t>
            </w:r>
          </w:p>
          <w:p w:rsidR="00000000" w:rsidRPr="00A74E8A" w:rsidP="00A74E8A">
            <w:pPr>
              <w:pStyle w:val="ListBullet2"/>
            </w:pPr>
            <w:r w:rsidRPr="00A74E8A">
              <w:t>reading mimics and animated graphics</w:t>
            </w:r>
          </w:p>
          <w:p w:rsidR="00000000" w:rsidRPr="00A74E8A" w:rsidP="00A74E8A">
            <w:pPr>
              <w:pStyle w:val="ListBullet2"/>
            </w:pPr>
            <w:r w:rsidRPr="00A74E8A">
              <w:t>trending</w:t>
            </w:r>
          </w:p>
          <w:p w:rsidR="00000000" w:rsidRPr="00A74E8A" w:rsidP="00A74E8A">
            <w:pPr>
              <w:pStyle w:val="ListBullet2"/>
            </w:pPr>
            <w:r w:rsidRPr="00A74E8A">
              <w:t>analysis of process to select data</w:t>
            </w:r>
          </w:p>
          <w:p w:rsidR="00000000" w:rsidRPr="00A74E8A" w:rsidP="00A74E8A">
            <w:pPr>
              <w:pStyle w:val="ListBullet2"/>
            </w:pPr>
            <w:r w:rsidRPr="00A74E8A">
              <w:t>viewing data and graphical representation of selected information</w:t>
            </w:r>
          </w:p>
          <w:p w:rsidR="00000000" w:rsidRPr="00A74E8A" w:rsidP="00A74E8A">
            <w:pPr>
              <w:pStyle w:val="ListBullet2"/>
            </w:pPr>
            <w:r w:rsidRPr="00A74E8A">
              <w:t>trend graphs and data matching</w:t>
            </w:r>
          </w:p>
          <w:p w:rsidR="00000000" w:rsidRPr="00A74E8A" w:rsidP="00A74E8A">
            <w:pPr>
              <w:pStyle w:val="ListBullet2"/>
            </w:pPr>
            <w:r w:rsidRPr="00A74E8A">
              <w:t>alarm logging</w:t>
            </w:r>
          </w:p>
          <w:p w:rsidR="00000000" w:rsidRPr="00A74E8A" w:rsidP="00A74E8A">
            <w:pPr>
              <w:pStyle w:val="ListBullet2"/>
            </w:pPr>
            <w:r w:rsidRPr="00A74E8A">
              <w:t>analysing select data</w:t>
            </w:r>
          </w:p>
          <w:p w:rsidR="00000000" w:rsidRPr="00A74E8A" w:rsidP="00A74E8A">
            <w:pPr>
              <w:pStyle w:val="ListBullet2"/>
            </w:pPr>
            <w:r w:rsidRPr="00A74E8A">
              <w:t>corrective action of alarm</w:t>
            </w:r>
            <w:r w:rsidRPr="00A74E8A">
              <w:t xml:space="preserve"> status</w:t>
            </w:r>
          </w:p>
          <w:p w:rsidR="00000000" w:rsidRPr="00A74E8A" w:rsidP="00A74E8A">
            <w:pPr>
              <w:pStyle w:val="ListBullet"/>
            </w:pPr>
            <w:r w:rsidRPr="00A74E8A">
              <w:t>safe working practices and relevant standards, codes and regulations</w:t>
            </w:r>
          </w:p>
          <w:p w:rsidR="00000000" w:rsidRPr="00A74E8A" w:rsidP="00A74E8A">
            <w:pPr>
              <w:pStyle w:val="ListBullet"/>
            </w:pPr>
            <w:r w:rsidRPr="00A74E8A">
              <w:t>relevant job safety assessments or risk mitigation processes</w:t>
            </w:r>
          </w:p>
          <w:p w:rsidR="00000000" w:rsidRPr="00A74E8A" w:rsidP="00A74E8A">
            <w:pPr>
              <w:pStyle w:val="ListBullet"/>
            </w:pPr>
            <w:r w:rsidRPr="00A74E8A">
              <w:t>relevant manufacturer specifications</w:t>
            </w:r>
          </w:p>
          <w:p w:rsidR="00000000" w:rsidRPr="00A74E8A" w:rsidP="00A74E8A">
            <w:pPr>
              <w:pStyle w:val="ListBullet"/>
            </w:pPr>
            <w:r w:rsidRPr="00A74E8A">
              <w:t>relevant WHS/OHS legislated requirements</w:t>
            </w:r>
          </w:p>
          <w:p w:rsidR="00000000" w:rsidRPr="00A74E8A" w:rsidP="00A74E8A">
            <w:pPr>
              <w:pStyle w:val="ListBullet"/>
            </w:pPr>
            <w:r w:rsidRPr="00A74E8A">
              <w:t>relevant workplace documentation</w:t>
            </w:r>
          </w:p>
          <w:p w:rsidR="00000000" w:rsidRPr="00A74E8A" w:rsidP="00A74E8A">
            <w:pPr>
              <w:pStyle w:val="ListBullet"/>
            </w:pPr>
            <w:r w:rsidRPr="00A74E8A">
              <w:t>relevant workplace policies and procedures</w:t>
            </w:r>
          </w:p>
          <w:p w:rsidR="00000000" w:rsidRPr="00A74E8A" w:rsidP="00A74E8A">
            <w:pPr>
              <w:pStyle w:val="ListBullet"/>
            </w:pPr>
            <w:r w:rsidRPr="00A74E8A">
              <w:t>servicing procedures, including:</w:t>
            </w:r>
          </w:p>
          <w:p w:rsidR="00000000" w:rsidRPr="00A74E8A" w:rsidP="00A74E8A">
            <w:pPr>
              <w:pStyle w:val="ListBullet2"/>
            </w:pPr>
            <w:r w:rsidRPr="00A74E8A">
              <w:t>maintenance documentation</w:t>
            </w:r>
          </w:p>
          <w:p w:rsidR="00000000" w:rsidRPr="00A74E8A" w:rsidP="00A74E8A">
            <w:pPr>
              <w:pStyle w:val="ListBullet2"/>
            </w:pPr>
            <w:r w:rsidRPr="00A74E8A">
              <w:t>coordination/planning sequence</w:t>
            </w:r>
          </w:p>
          <w:p w:rsidR="00000000" w:rsidRPr="00A74E8A" w:rsidP="00A74E8A">
            <w:pPr>
              <w:pStyle w:val="ListBullet2"/>
            </w:pPr>
            <w:r w:rsidRPr="00A74E8A">
              <w:t>operational test procedures</w:t>
            </w:r>
          </w:p>
          <w:p w:rsidR="00000000" w:rsidRPr="00A74E8A" w:rsidP="00A74E8A">
            <w:pPr>
              <w:pStyle w:val="ListBullet2"/>
            </w:pPr>
            <w:r w:rsidRPr="00A74E8A">
              <w:t>scheduled/preventative maintenance</w:t>
            </w:r>
          </w:p>
          <w:p w:rsidR="00000000" w:rsidRPr="00A74E8A" w:rsidP="00A74E8A">
            <w:pPr>
              <w:pStyle w:val="ListBullet2"/>
            </w:pPr>
            <w:r w:rsidRPr="00A74E8A">
              <w:t>unscheduled/corrective maintenance</w:t>
            </w:r>
          </w:p>
          <w:p w:rsidR="00000000" w:rsidRPr="00A74E8A" w:rsidP="00A74E8A">
            <w:pPr>
              <w:pStyle w:val="ListBullet2"/>
            </w:pPr>
            <w:r w:rsidRPr="00A74E8A">
              <w:t xml:space="preserve">relevant rail transport </w:t>
            </w:r>
            <w:r w:rsidRPr="00A74E8A">
              <w:t xml:space="preserve">operator certifying train detection equipment (commission and </w:t>
            </w:r>
            <w:r w:rsidRPr="00A74E8A">
              <w:t>decommission) workplace procedures.</w:t>
            </w:r>
          </w:p>
        </w:tc>
      </w:tr>
    </w:tbl>
    <w:p w:rsidR="00000000" w:rsidRPr="00A74E8A" w:rsidP="00A74E8A">
      <w:pPr>
        <w:pStyle w:val="NoPaddingFontSize1"/>
      </w:pPr>
    </w:p>
    <w:p w:rsidR="00000000" w:rsidRPr="00A74E8A" w:rsidP="00A74E8A">
      <w:pPr>
        <w:pStyle w:val="AllowPageBreak"/>
      </w:pPr>
    </w:p>
    <w:p w:rsidR="00000000" w:rsidRPr="00A74E8A" w:rsidP="00A74E8A">
      <w:pPr>
        <w:pStyle w:val="Heading1"/>
      </w:pPr>
      <w:bookmarkStart w:id="4" w:name="O_1101230"/>
      <w:bookmarkEnd w:id="4"/>
      <w:r w:rsidRPr="00A74E8A">
        <w:t>Assessment Conditions</w:t>
      </w:r>
    </w:p>
    <w:tbl>
      <w:tblPr>
        <w:tblW w:w="9497" w:type="dxa"/>
        <w:tblLayout w:type="fixed"/>
        <w:tblCellMar>
          <w:left w:w="62" w:type="dxa"/>
          <w:right w:w="62" w:type="dxa"/>
        </w:tblCellMar>
        <w:tblLook w:val="0000"/>
      </w:tblPr>
      <w:tblGrid>
        <w:gridCol w:w="9497"/>
      </w:tblGrid>
      <w:tr w:rsidTr="00A74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E8A" w:rsidP="00A74E8A">
            <w:pPr>
              <w:pStyle w:val="BodyText"/>
            </w:pPr>
            <w:r w:rsidRPr="00A74E8A">
              <w:t>Assessors must hold credentials specified within the Standards for Registered Training Organisations current at the time of assessment.</w:t>
            </w:r>
          </w:p>
          <w:p w:rsidR="00000000" w:rsidRPr="00A74E8A" w:rsidP="00A74E8A">
            <w:pPr>
              <w:pStyle w:val="BodyText"/>
            </w:pPr>
            <w:r w:rsidRPr="00A74E8A">
              <w:t>Assessment must satisfy the Principles of Assessment and Rules of Evidence and all regulatory requirements included with</w:t>
            </w:r>
            <w:r w:rsidRPr="00A74E8A">
              <w:t>in the Standards for Registered Training Organisations current at the time of assessment.</w:t>
            </w:r>
          </w:p>
          <w:p w:rsidR="00000000" w:rsidRPr="00A74E8A" w:rsidP="00A74E8A">
            <w:pPr>
              <w:pStyle w:val="BodyText"/>
            </w:pPr>
            <w:r w:rsidRPr="00A74E8A">
              <w:t xml:space="preserve">Assessment must occur in suitable workplace operational situations where it is appropriate to do so; where this is not appropriate, assessment must occur in suitable </w:t>
            </w:r>
            <w:r w:rsidRPr="00A74E8A">
              <w:t>simulated workplace operational situations that replicate workplace conditions.</w:t>
            </w:r>
          </w:p>
          <w:p w:rsidR="00000000" w:rsidRPr="00A74E8A" w:rsidP="00A74E8A">
            <w:pPr>
              <w:pStyle w:val="BodyText"/>
            </w:pPr>
            <w:r w:rsidRPr="00A74E8A">
              <w:t>Assessment processes and techniques must be appropriate to the language, literacy and numeracy requirements of the work being performed and the needs of the candidate.</w:t>
            </w:r>
          </w:p>
          <w:p w:rsidR="00000000" w:rsidRPr="00A74E8A" w:rsidP="00A74E8A">
            <w:pPr>
              <w:pStyle w:val="BodyText"/>
            </w:pPr>
            <w:r w:rsidRPr="00A74E8A">
              <w:t>Resource</w:t>
            </w:r>
            <w:r w:rsidRPr="00A74E8A">
              <w:t>s for assessment must include access to:</w:t>
            </w:r>
          </w:p>
          <w:p w:rsidR="00000000" w:rsidRPr="00A74E8A" w:rsidP="00A74E8A">
            <w:pPr>
              <w:pStyle w:val="ListBullet"/>
            </w:pPr>
            <w:r w:rsidRPr="00A74E8A">
              <w:t>a range of relevant exercises, case studies and/or other simulations</w:t>
            </w:r>
          </w:p>
          <w:p w:rsidR="00000000" w:rsidRPr="00A74E8A" w:rsidP="00A74E8A">
            <w:pPr>
              <w:pStyle w:val="ListBullet"/>
            </w:pPr>
            <w:r w:rsidRPr="00A74E8A">
              <w:t>relevant and appropriate materials, tools, facilities, equipment and personal protective equipment (PPE) currently used in industry</w:t>
            </w:r>
          </w:p>
          <w:p w:rsidR="00000000" w:rsidRPr="00A74E8A" w:rsidP="00A74E8A">
            <w:pPr>
              <w:pStyle w:val="ListBullet"/>
            </w:pPr>
            <w:r w:rsidRPr="00A74E8A">
              <w:t>resources tha</w:t>
            </w:r>
            <w:r w:rsidRPr="00A74E8A">
              <w:t>t reflect current industry practices in relation to installing/maintaining non-vital telemetry systems</w:t>
            </w:r>
          </w:p>
          <w:p w:rsidR="00000000" w:rsidRPr="00A74E8A" w:rsidP="00A74E8A">
            <w:pPr>
              <w:pStyle w:val="ListBullet"/>
            </w:pPr>
            <w:r w:rsidRPr="00A74E8A">
              <w:t>applicable documentation, including workplace procedures, equipment specifications, regulations, codes of practice and operation manuals.</w:t>
            </w:r>
          </w:p>
        </w:tc>
      </w:tr>
    </w:tbl>
    <w:p w:rsidR="00000000" w:rsidRPr="00A74E8A" w:rsidP="00A74E8A">
      <w:pPr>
        <w:pStyle w:val="NoPaddingFontSize1"/>
      </w:pPr>
    </w:p>
    <w:p w:rsidR="00000000" w:rsidRPr="00A74E8A" w:rsidP="00A74E8A">
      <w:pPr>
        <w:pStyle w:val="AllowPageBreak"/>
      </w:pPr>
    </w:p>
    <w:p w:rsidR="00000000" w:rsidRPr="00A74E8A" w:rsidP="00A74E8A">
      <w:pPr>
        <w:pStyle w:val="Heading1"/>
      </w:pPr>
      <w:bookmarkStart w:id="5" w:name="O_1101233"/>
      <w:bookmarkEnd w:id="5"/>
      <w:r w:rsidRPr="00A74E8A">
        <w:t>Links</w:t>
      </w:r>
    </w:p>
    <w:p w:rsidR="00000000" w:rsidRPr="00A74E8A" w:rsidP="00646BE2">
      <w:pPr>
        <w:pStyle w:val="BodyText"/>
      </w:pPr>
      <w:r w:rsidRPr="00A74E8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13EFE">
        <w:rPr>
          <w:rStyle w:val="Hyperlink"/>
        </w:rPr>
        <w:t>https://vetnet.gov.au/Pages/TrainingDocs.aspx?q=b8a8f136-5421-4ce1-92e0-2b50341431b6</w:t>
      </w:r>
      <w:r>
        <w:fldChar w:fldCharType="end"/>
      </w:r>
    </w:p>
    <w:p w:rsidR="00000000" w:rsidRPr="00A74E8A" w:rsidP="00A74E8A"/>
    <w:sectPr w:rsidSect="00A74E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8A" w:rsidRPr="00646BE2" w:rsidP="00646B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E2" w:rsidP="00A74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6BE2" w:rsidP="00A74E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46BE2" w:rsidP="00A74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4E8A" w:rsidRPr="00646BE2" w:rsidP="00646B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BE2" w:rsidRPr="002D2AF8" w:rsidP="00A74E8A">
    <w:pPr>
      <w:pStyle w:val="Header"/>
      <w:framePr w:wrap="around"/>
    </w:pPr>
    <w:r>
      <w:fldChar w:fldCharType="begin"/>
    </w:r>
    <w:r>
      <w:instrText xml:space="preserve"> TITLE   \* MERGEFORMAT </w:instrText>
    </w:r>
    <w:r>
      <w:fldChar w:fldCharType="separate"/>
    </w:r>
    <w:r>
      <w:t>Assessment Requirements for UEERS0008 Install and maintain non-vital telemetry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646BE2" w:rsidP="00A74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66E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66B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3EA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4E8A"/>
    <w:pPr>
      <w:spacing w:before="360" w:after="60"/>
      <w:outlineLvl w:val="0"/>
    </w:pPr>
    <w:rPr>
      <w:sz w:val="32"/>
    </w:rPr>
  </w:style>
  <w:style w:type="paragraph" w:styleId="Heading2">
    <w:name w:val="heading 2"/>
    <w:basedOn w:val="HeadingBase"/>
    <w:next w:val="BodyText"/>
    <w:link w:val="Heading2Char"/>
    <w:qFormat/>
    <w:rsid w:val="00A74E8A"/>
    <w:pPr>
      <w:keepLines/>
      <w:spacing w:before="240" w:after="120"/>
      <w:outlineLvl w:val="1"/>
    </w:pPr>
    <w:rPr>
      <w:sz w:val="28"/>
      <w:szCs w:val="40"/>
    </w:rPr>
  </w:style>
  <w:style w:type="paragraph" w:styleId="Heading3">
    <w:name w:val="heading 3"/>
    <w:basedOn w:val="HeadingBase"/>
    <w:next w:val="BodyText"/>
    <w:link w:val="Heading3Char"/>
    <w:qFormat/>
    <w:rsid w:val="00A74E8A"/>
    <w:pPr>
      <w:spacing w:before="180" w:after="120"/>
      <w:outlineLvl w:val="2"/>
    </w:pPr>
    <w:rPr>
      <w:spacing w:val="-10"/>
      <w:kern w:val="32"/>
    </w:rPr>
  </w:style>
  <w:style w:type="paragraph" w:styleId="Heading4">
    <w:name w:val="heading 4"/>
    <w:basedOn w:val="HeadingBase"/>
    <w:next w:val="BodyText"/>
    <w:link w:val="Heading4Char"/>
    <w:qFormat/>
    <w:rsid w:val="00A74E8A"/>
    <w:pPr>
      <w:spacing w:before="160" w:after="120"/>
      <w:outlineLvl w:val="3"/>
    </w:pPr>
    <w:rPr>
      <w:sz w:val="22"/>
    </w:rPr>
  </w:style>
  <w:style w:type="paragraph" w:styleId="Heading5">
    <w:name w:val="heading 5"/>
    <w:basedOn w:val="HeadingBase"/>
    <w:next w:val="Normal"/>
    <w:link w:val="Heading5Char"/>
    <w:qFormat/>
    <w:rsid w:val="00A74E8A"/>
    <w:pPr>
      <w:spacing w:before="80"/>
      <w:outlineLvl w:val="4"/>
    </w:pPr>
    <w:rPr>
      <w:color w:val="918585"/>
      <w:sz w:val="20"/>
    </w:rPr>
  </w:style>
  <w:style w:type="paragraph" w:styleId="Heading6">
    <w:name w:val="heading 6"/>
    <w:basedOn w:val="HeadingBase"/>
    <w:next w:val="Normal"/>
    <w:link w:val="Heading6Char"/>
    <w:qFormat/>
    <w:rsid w:val="00A74E8A"/>
    <w:pPr>
      <w:spacing w:before="60"/>
      <w:outlineLvl w:val="5"/>
    </w:pPr>
    <w:rPr>
      <w:color w:val="918585"/>
      <w:sz w:val="20"/>
    </w:rPr>
  </w:style>
  <w:style w:type="paragraph" w:styleId="Heading7">
    <w:name w:val="heading 7"/>
    <w:basedOn w:val="Normal"/>
    <w:next w:val="Normal"/>
    <w:link w:val="Heading7Char"/>
    <w:qFormat/>
    <w:rsid w:val="00A74E8A"/>
    <w:pPr>
      <w:ind w:left="720"/>
      <w:outlineLvl w:val="6"/>
    </w:pPr>
    <w:rPr>
      <w:i/>
    </w:rPr>
  </w:style>
  <w:style w:type="paragraph" w:styleId="Heading8">
    <w:name w:val="heading 8"/>
    <w:basedOn w:val="Normal"/>
    <w:next w:val="Normal"/>
    <w:link w:val="Heading8Char"/>
    <w:qFormat/>
    <w:rsid w:val="00A74E8A"/>
    <w:pPr>
      <w:ind w:left="720"/>
      <w:outlineLvl w:val="7"/>
    </w:pPr>
    <w:rPr>
      <w:i/>
    </w:rPr>
  </w:style>
  <w:style w:type="paragraph" w:styleId="Heading9">
    <w:name w:val="heading 9"/>
    <w:basedOn w:val="Normal"/>
    <w:next w:val="Normal"/>
    <w:link w:val="Heading9Char"/>
    <w:qFormat/>
    <w:rsid w:val="00A74E8A"/>
    <w:pPr>
      <w:ind w:left="720"/>
      <w:outlineLvl w:val="8"/>
    </w:pPr>
    <w:rPr>
      <w:i/>
    </w:rPr>
  </w:style>
  <w:style w:type="character" w:default="1" w:styleId="DefaultParagraphFont">
    <w:name w:val="Default Paragraph Font"/>
    <w:uiPriority w:val="1"/>
    <w:unhideWhenUsed/>
    <w:rsid w:val="00A74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E8A"/>
  </w:style>
  <w:style w:type="character" w:customStyle="1" w:styleId="Heading1Char">
    <w:name w:val="Heading 1 Char"/>
    <w:basedOn w:val="DefaultParagraphFont"/>
    <w:link w:val="Heading1"/>
    <w:rsid w:val="00A74E8A"/>
    <w:rPr>
      <w:rFonts w:ascii="Times New Roman" w:eastAsia="Times New Roman" w:hAnsi="Times New Roman" w:cs="Times New Roman"/>
      <w:b/>
      <w:sz w:val="32"/>
      <w:szCs w:val="20"/>
      <w:lang w:eastAsia="en-US"/>
    </w:rPr>
  </w:style>
  <w:style w:type="paragraph" w:styleId="BodyText">
    <w:name w:val="Body Text"/>
    <w:basedOn w:val="Normal"/>
    <w:link w:val="BodyTextChar"/>
    <w:rsid w:val="00A74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4E8A"/>
    <w:rPr>
      <w:rFonts w:ascii="Times New Roman" w:eastAsia="Times New Roman" w:hAnsi="Times New Roman" w:cs="Times New Roman"/>
      <w:sz w:val="24"/>
      <w:lang w:eastAsia="en-US"/>
    </w:rPr>
  </w:style>
  <w:style w:type="paragraph" w:styleId="ListBullet">
    <w:name w:val="List Bullet"/>
    <w:basedOn w:val="List"/>
    <w:rsid w:val="00A74E8A"/>
    <w:pPr>
      <w:numPr>
        <w:numId w:val="13"/>
      </w:numPr>
      <w:tabs>
        <w:tab w:val="clear" w:pos="340"/>
      </w:tabs>
      <w:spacing w:before="40" w:after="40"/>
    </w:pPr>
  </w:style>
  <w:style w:type="paragraph" w:styleId="ListBullet2">
    <w:name w:val="List Bullet 2"/>
    <w:basedOn w:val="List2"/>
    <w:rsid w:val="00A74E8A"/>
    <w:pPr>
      <w:numPr>
        <w:numId w:val="14"/>
      </w:numPr>
      <w:tabs>
        <w:tab w:val="clear" w:pos="680"/>
      </w:tabs>
    </w:pPr>
  </w:style>
  <w:style w:type="paragraph" w:customStyle="1" w:styleId="SuperHeading">
    <w:name w:val="SuperHeading"/>
    <w:basedOn w:val="Normal"/>
    <w:rsid w:val="00A74E8A"/>
    <w:pPr>
      <w:spacing w:before="240" w:after="120"/>
      <w:outlineLvl w:val="0"/>
    </w:pPr>
    <w:rPr>
      <w:rFonts w:ascii="Times New Roman" w:hAnsi="Times New Roman"/>
      <w:b/>
      <w:sz w:val="32"/>
    </w:rPr>
  </w:style>
  <w:style w:type="paragraph" w:customStyle="1" w:styleId="AllowPageBreak">
    <w:name w:val="AllowPageBreak"/>
    <w:rsid w:val="00A74E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4E8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4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4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4E8A"/>
    <w:rPr>
      <w:rFonts w:ascii="Courier New" w:eastAsia="Times New Roman" w:hAnsi="Courier New" w:cs="Times New Roman"/>
      <w:i/>
      <w:szCs w:val="20"/>
      <w:lang w:eastAsia="en-US"/>
    </w:rPr>
  </w:style>
  <w:style w:type="paragraph" w:customStyle="1" w:styleId="HeadingBase">
    <w:name w:val="Heading Base"/>
    <w:rsid w:val="00A74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E8A"/>
    <w:pPr>
      <w:tabs>
        <w:tab w:val="right" w:leader="dot" w:pos="9072"/>
      </w:tabs>
      <w:ind w:left="567"/>
    </w:pPr>
    <w:rPr>
      <w:szCs w:val="22"/>
    </w:rPr>
  </w:style>
  <w:style w:type="paragraph" w:customStyle="1" w:styleId="TOCBase">
    <w:name w:val="TOC Base"/>
    <w:rsid w:val="00A74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E8A"/>
    <w:pPr>
      <w:tabs>
        <w:tab w:val="right" w:leader="dot" w:pos="9072"/>
      </w:tabs>
      <w:spacing w:before="40" w:after="40"/>
      <w:ind w:left="284"/>
    </w:pPr>
    <w:rPr>
      <w:rFonts w:ascii="Times New Roman" w:hAnsi="Times New Roman"/>
    </w:rPr>
  </w:style>
  <w:style w:type="paragraph" w:styleId="TOC1">
    <w:name w:val="toc 1"/>
    <w:basedOn w:val="TOCBase"/>
    <w:next w:val="Normal"/>
    <w:rsid w:val="00A74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4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E8A"/>
    <w:rPr>
      <w:rFonts w:ascii="Times New Roman" w:eastAsia="Times New Roman" w:hAnsi="Times New Roman" w:cs="Times New Roman"/>
      <w:sz w:val="16"/>
      <w:lang w:eastAsia="en-US"/>
    </w:rPr>
  </w:style>
  <w:style w:type="paragraph" w:styleId="Title">
    <w:name w:val="Title"/>
    <w:basedOn w:val="HeadingBase"/>
    <w:link w:val="TitleChar"/>
    <w:qFormat/>
    <w:rsid w:val="00A74E8A"/>
    <w:pPr>
      <w:spacing w:before="5040"/>
      <w:jc w:val="center"/>
    </w:pPr>
    <w:rPr>
      <w:sz w:val="48"/>
      <w:szCs w:val="72"/>
      <w:lang w:val="en-US"/>
    </w:rPr>
  </w:style>
  <w:style w:type="character" w:customStyle="1" w:styleId="TitleChar">
    <w:name w:val="Title Char"/>
    <w:basedOn w:val="DefaultParagraphFont"/>
    <w:link w:val="Title"/>
    <w:rsid w:val="00A74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E8A"/>
    <w:pPr>
      <w:tabs>
        <w:tab w:val="left" w:pos="3600"/>
        <w:tab w:val="left" w:pos="3958"/>
      </w:tabs>
    </w:pPr>
  </w:style>
  <w:style w:type="paragraph" w:styleId="List">
    <w:name w:val="List"/>
    <w:basedOn w:val="BodyText"/>
    <w:next w:val="BodyText"/>
    <w:rsid w:val="00A74E8A"/>
    <w:pPr>
      <w:tabs>
        <w:tab w:val="left" w:pos="340"/>
      </w:tabs>
      <w:spacing w:before="60" w:after="60"/>
      <w:ind w:left="340" w:hanging="340"/>
    </w:pPr>
  </w:style>
  <w:style w:type="paragraph" w:customStyle="1" w:styleId="Note">
    <w:name w:val="Note"/>
    <w:basedOn w:val="BodyText"/>
    <w:rsid w:val="00A74E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4E8A"/>
    <w:rPr>
      <w:b/>
      <w:spacing w:val="0"/>
    </w:rPr>
  </w:style>
  <w:style w:type="paragraph" w:customStyle="1" w:styleId="SuperTitle">
    <w:name w:val="SuperTitle"/>
    <w:basedOn w:val="Title"/>
    <w:rsid w:val="00A74E8A"/>
    <w:pPr>
      <w:framePr w:wrap="auto" w:hAnchor="text" w:y="6049"/>
    </w:pPr>
    <w:rPr>
      <w:color w:val="000000"/>
      <w:sz w:val="40"/>
    </w:rPr>
  </w:style>
  <w:style w:type="paragraph" w:customStyle="1" w:styleId="TOCTitle">
    <w:name w:val="TOCTitle"/>
    <w:basedOn w:val="Heading1"/>
    <w:rsid w:val="00A74E8A"/>
    <w:pPr>
      <w:spacing w:after="240"/>
      <w:jc w:val="center"/>
      <w:outlineLvl w:val="9"/>
    </w:pPr>
    <w:rPr>
      <w:caps/>
    </w:rPr>
  </w:style>
  <w:style w:type="paragraph" w:customStyle="1" w:styleId="Version">
    <w:name w:val="Version"/>
    <w:rsid w:val="00A74E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E8A"/>
    <w:pPr>
      <w:keepNext w:val="0"/>
      <w:tabs>
        <w:tab w:val="right" w:pos="4176"/>
      </w:tabs>
      <w:ind w:left="198" w:hanging="198"/>
    </w:pPr>
    <w:rPr>
      <w:rFonts w:ascii="Garamond" w:hAnsi="Garamond"/>
    </w:rPr>
  </w:style>
  <w:style w:type="paragraph" w:styleId="IndexHeading">
    <w:name w:val="index heading"/>
    <w:basedOn w:val="Normal"/>
    <w:next w:val="Index1"/>
    <w:semiHidden/>
    <w:rsid w:val="00A74E8A"/>
    <w:pPr>
      <w:spacing w:before="120" w:after="120"/>
    </w:pPr>
    <w:rPr>
      <w:rFonts w:ascii="Arial" w:hAnsi="Arial"/>
      <w:b/>
      <w:color w:val="918585"/>
      <w:sz w:val="24"/>
    </w:rPr>
  </w:style>
  <w:style w:type="paragraph" w:styleId="Header">
    <w:name w:val="header"/>
    <w:basedOn w:val="Normal"/>
    <w:link w:val="HeaderChar"/>
    <w:rsid w:val="00A74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E8A"/>
    <w:rPr>
      <w:rFonts w:ascii="Times New Roman" w:eastAsia="Times New Roman" w:hAnsi="Times New Roman" w:cs="Times New Roman"/>
      <w:sz w:val="16"/>
      <w:szCs w:val="20"/>
      <w:lang w:val="en-GB" w:eastAsia="en-US"/>
    </w:rPr>
  </w:style>
  <w:style w:type="paragraph" w:customStyle="1" w:styleId="Chapter">
    <w:name w:val="Chapter"/>
    <w:basedOn w:val="Normal"/>
    <w:rsid w:val="00A74E8A"/>
    <w:pPr>
      <w:spacing w:before="240"/>
    </w:pPr>
    <w:rPr>
      <w:rFonts w:ascii="Times New Roman" w:hAnsi="Times New Roman"/>
      <w:smallCaps/>
      <w:spacing w:val="80"/>
      <w:sz w:val="28"/>
    </w:rPr>
  </w:style>
  <w:style w:type="paragraph" w:customStyle="1" w:styleId="InChapter">
    <w:name w:val="InChapter"/>
    <w:basedOn w:val="Heading3"/>
    <w:rsid w:val="00A74E8A"/>
    <w:pPr>
      <w:spacing w:after="240"/>
      <w:outlineLvl w:val="9"/>
    </w:pPr>
    <w:rPr>
      <w:noProof/>
    </w:rPr>
  </w:style>
  <w:style w:type="paragraph" w:styleId="Index2">
    <w:name w:val="index 2"/>
    <w:basedOn w:val="Normal"/>
    <w:next w:val="Normal"/>
    <w:semiHidden/>
    <w:rsid w:val="00A74E8A"/>
    <w:pPr>
      <w:tabs>
        <w:tab w:val="right" w:pos="4176"/>
      </w:tabs>
      <w:ind w:left="568" w:hanging="284"/>
    </w:pPr>
    <w:rPr>
      <w:rFonts w:ascii="Garamond" w:hAnsi="Garamond"/>
    </w:rPr>
  </w:style>
  <w:style w:type="paragraph" w:customStyle="1" w:styleId="Byline">
    <w:name w:val="Byline"/>
    <w:rsid w:val="00A74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E8A"/>
    <w:pPr>
      <w:tabs>
        <w:tab w:val="clear" w:pos="3600"/>
        <w:tab w:val="clear" w:pos="3958"/>
      </w:tabs>
      <w:jc w:val="right"/>
    </w:pPr>
  </w:style>
  <w:style w:type="character" w:styleId="Emphasis">
    <w:name w:val="Emphasis"/>
    <w:basedOn w:val="DefaultParagraphFont"/>
    <w:qFormat/>
    <w:rsid w:val="00A74E8A"/>
    <w:rPr>
      <w:i/>
    </w:rPr>
  </w:style>
  <w:style w:type="paragraph" w:styleId="Caption">
    <w:name w:val="caption"/>
    <w:basedOn w:val="BodyText"/>
    <w:next w:val="Normal"/>
    <w:qFormat/>
    <w:rsid w:val="00A74E8A"/>
    <w:pPr>
      <w:framePr w:w="2268" w:hSpace="181" w:vSpace="181" w:wrap="around" w:vAnchor="text" w:hAnchor="page" w:x="1135" w:y="285" w:anchorLock="1"/>
    </w:pPr>
    <w:rPr>
      <w:i/>
    </w:rPr>
  </w:style>
  <w:style w:type="paragraph" w:customStyle="1" w:styleId="MiniTOCTitle">
    <w:name w:val="MiniTOCTitle"/>
    <w:basedOn w:val="Heading4"/>
    <w:rsid w:val="00A74E8A"/>
    <w:pPr>
      <w:spacing w:before="240"/>
      <w:outlineLvl w:val="9"/>
    </w:pPr>
    <w:rPr>
      <w:noProof/>
      <w:sz w:val="24"/>
    </w:rPr>
  </w:style>
  <w:style w:type="paragraph" w:customStyle="1" w:styleId="MiniTOCItem">
    <w:name w:val="MiniTOCItem"/>
    <w:basedOn w:val="ListBullet"/>
    <w:rsid w:val="00A74E8A"/>
    <w:pPr>
      <w:numPr>
        <w:numId w:val="0"/>
      </w:numPr>
      <w:tabs>
        <w:tab w:val="right" w:leader="dot" w:pos="6521"/>
      </w:tabs>
      <w:spacing w:before="0" w:after="0"/>
    </w:pPr>
  </w:style>
  <w:style w:type="paragraph" w:customStyle="1" w:styleId="TOFTitle">
    <w:name w:val="TOFTitle"/>
    <w:basedOn w:val="TOCTitle"/>
    <w:rsid w:val="00A74E8A"/>
  </w:style>
  <w:style w:type="paragraph" w:styleId="TableofFigures">
    <w:name w:val="table of figures"/>
    <w:basedOn w:val="Normal"/>
    <w:next w:val="Normal"/>
    <w:semiHidden/>
    <w:rsid w:val="00A74E8A"/>
    <w:pPr>
      <w:tabs>
        <w:tab w:val="right" w:leader="dot" w:pos="9072"/>
      </w:tabs>
      <w:ind w:left="970" w:hanging="403"/>
    </w:pPr>
    <w:rPr>
      <w:rFonts w:ascii="Times New Roman" w:hAnsi="Times New Roman"/>
      <w:b/>
    </w:rPr>
  </w:style>
  <w:style w:type="paragraph" w:styleId="ListNumber">
    <w:name w:val="List Number"/>
    <w:basedOn w:val="List"/>
    <w:rsid w:val="00A74E8A"/>
    <w:pPr>
      <w:numPr>
        <w:numId w:val="16"/>
      </w:numPr>
      <w:tabs>
        <w:tab w:val="clear" w:pos="340"/>
      </w:tabs>
    </w:pPr>
  </w:style>
  <w:style w:type="character" w:customStyle="1" w:styleId="WingdingSymbols">
    <w:name w:val="Wingding Symbols"/>
    <w:rsid w:val="00A74E8A"/>
    <w:rPr>
      <w:rFonts w:ascii="Wingdings" w:hAnsi="Wingdings"/>
    </w:rPr>
  </w:style>
  <w:style w:type="paragraph" w:customStyle="1" w:styleId="TableHeading">
    <w:name w:val="Table Heading"/>
    <w:basedOn w:val="HeadingBase"/>
    <w:rsid w:val="00A74E8A"/>
    <w:pPr>
      <w:keepLines/>
      <w:pBdr>
        <w:bottom w:val="single" w:sz="6" w:space="1" w:color="918585"/>
      </w:pBdr>
      <w:spacing w:before="240"/>
    </w:pPr>
  </w:style>
  <w:style w:type="character" w:customStyle="1" w:styleId="HotSpot">
    <w:name w:val="HotSpot"/>
    <w:rsid w:val="00A74E8A"/>
    <w:rPr>
      <w:color w:val="0033CC"/>
      <w:u w:val="none"/>
    </w:rPr>
  </w:style>
  <w:style w:type="paragraph" w:customStyle="1" w:styleId="BodyTextRight">
    <w:name w:val="Body Text Right"/>
    <w:basedOn w:val="BodyText"/>
    <w:rsid w:val="00A74E8A"/>
    <w:pPr>
      <w:spacing w:before="0" w:after="0"/>
      <w:jc w:val="right"/>
    </w:pPr>
  </w:style>
  <w:style w:type="paragraph" w:styleId="Index3">
    <w:name w:val="index 3"/>
    <w:basedOn w:val="ListNumber2"/>
    <w:next w:val="Normal"/>
    <w:semiHidden/>
    <w:rsid w:val="00A74E8A"/>
    <w:pPr>
      <w:numPr>
        <w:numId w:val="0"/>
      </w:numPr>
      <w:tabs>
        <w:tab w:val="right" w:leader="dot" w:pos="4176"/>
      </w:tabs>
    </w:pPr>
  </w:style>
  <w:style w:type="paragraph" w:styleId="ListNumber2">
    <w:name w:val="List Number 2"/>
    <w:basedOn w:val="List2"/>
    <w:rsid w:val="00A74E8A"/>
    <w:pPr>
      <w:numPr>
        <w:numId w:val="11"/>
      </w:numPr>
      <w:tabs>
        <w:tab w:val="clear" w:pos="1060"/>
      </w:tabs>
    </w:pPr>
  </w:style>
  <w:style w:type="paragraph" w:customStyle="1" w:styleId="MarginNote">
    <w:name w:val="Margin Note"/>
    <w:basedOn w:val="BodyText"/>
    <w:rsid w:val="00A74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4E8A"/>
    <w:rPr>
      <w:sz w:val="32"/>
    </w:rPr>
  </w:style>
  <w:style w:type="paragraph" w:customStyle="1" w:styleId="HeadingProcedure">
    <w:name w:val="Heading Procedure"/>
    <w:basedOn w:val="HeadingBase"/>
    <w:next w:val="Normal"/>
    <w:rsid w:val="00A74E8A"/>
    <w:pPr>
      <w:tabs>
        <w:tab w:val="left" w:pos="0"/>
      </w:tabs>
      <w:spacing w:before="120" w:after="60"/>
    </w:pPr>
    <w:rPr>
      <w:i/>
      <w:color w:val="918585"/>
      <w:sz w:val="22"/>
    </w:rPr>
  </w:style>
  <w:style w:type="paragraph" w:customStyle="1" w:styleId="TableBodyText">
    <w:name w:val="Table Body Text"/>
    <w:basedOn w:val="BodyText"/>
    <w:rsid w:val="00A74E8A"/>
    <w:pPr>
      <w:spacing w:before="60" w:after="60"/>
    </w:pPr>
  </w:style>
  <w:style w:type="paragraph" w:styleId="ListContinue">
    <w:name w:val="List Continue"/>
    <w:basedOn w:val="List"/>
    <w:rsid w:val="00A74E8A"/>
    <w:pPr>
      <w:ind w:firstLine="0"/>
    </w:pPr>
  </w:style>
  <w:style w:type="paragraph" w:customStyle="1" w:styleId="ListNote">
    <w:name w:val="List Note"/>
    <w:basedOn w:val="List"/>
    <w:rsid w:val="00A74E8A"/>
    <w:pPr>
      <w:pBdr>
        <w:top w:val="single" w:sz="6" w:space="2" w:color="918585"/>
        <w:bottom w:val="single" w:sz="6" w:space="2" w:color="918585"/>
      </w:pBdr>
      <w:tabs>
        <w:tab w:val="left" w:pos="1021"/>
      </w:tabs>
      <w:ind w:firstLine="0"/>
    </w:pPr>
  </w:style>
  <w:style w:type="paragraph" w:customStyle="1" w:styleId="Warning">
    <w:name w:val="Warning"/>
    <w:basedOn w:val="BodyText"/>
    <w:rsid w:val="00A74E8A"/>
    <w:pPr>
      <w:shd w:val="clear" w:color="auto" w:fill="D9D9D9"/>
      <w:tabs>
        <w:tab w:val="left" w:pos="992"/>
      </w:tabs>
      <w:ind w:left="119" w:right="119"/>
    </w:pPr>
    <w:rPr>
      <w:sz w:val="20"/>
    </w:rPr>
  </w:style>
  <w:style w:type="paragraph" w:customStyle="1" w:styleId="MarginIcons">
    <w:name w:val="Margin Icons"/>
    <w:basedOn w:val="BodyText"/>
    <w:rsid w:val="00A74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E8A"/>
    <w:rPr>
      <w:rFonts w:ascii="Courier New" w:hAnsi="Courier New"/>
    </w:rPr>
  </w:style>
  <w:style w:type="paragraph" w:customStyle="1" w:styleId="NoteBullet">
    <w:name w:val="Note Bullet"/>
    <w:basedOn w:val="Note"/>
    <w:rsid w:val="00A74E8A"/>
    <w:pPr>
      <w:tabs>
        <w:tab w:val="clear" w:pos="680"/>
      </w:tabs>
      <w:spacing w:before="60" w:after="60"/>
    </w:pPr>
  </w:style>
  <w:style w:type="paragraph" w:customStyle="1" w:styleId="SubHeading2">
    <w:name w:val="SubHeading2"/>
    <w:basedOn w:val="HeadingBase"/>
    <w:rsid w:val="00A74E8A"/>
    <w:pPr>
      <w:spacing w:before="240" w:after="60"/>
    </w:pPr>
    <w:rPr>
      <w:sz w:val="20"/>
    </w:rPr>
  </w:style>
  <w:style w:type="paragraph" w:customStyle="1" w:styleId="SubHeading1">
    <w:name w:val="SubHeading1"/>
    <w:basedOn w:val="HeadingBase"/>
    <w:rsid w:val="00A74E8A"/>
    <w:pPr>
      <w:spacing w:before="240" w:after="60"/>
    </w:pPr>
    <w:rPr>
      <w:color w:val="918585"/>
      <w:sz w:val="22"/>
    </w:rPr>
  </w:style>
  <w:style w:type="paragraph" w:customStyle="1" w:styleId="SideHeading">
    <w:name w:val="Side Heading"/>
    <w:basedOn w:val="HeadingBase"/>
    <w:rsid w:val="00A74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E8A"/>
    <w:pPr>
      <w:numPr>
        <w:numId w:val="12"/>
      </w:numPr>
    </w:pPr>
  </w:style>
  <w:style w:type="paragraph" w:styleId="PlainText">
    <w:name w:val="Plain Text"/>
    <w:basedOn w:val="Normal"/>
    <w:link w:val="PlainTextChar"/>
    <w:rsid w:val="00A74E8A"/>
    <w:rPr>
      <w:sz w:val="20"/>
    </w:rPr>
  </w:style>
  <w:style w:type="character" w:customStyle="1" w:styleId="PlainTextChar">
    <w:name w:val="Plain Text Char"/>
    <w:basedOn w:val="DefaultParagraphFont"/>
    <w:link w:val="PlainText"/>
    <w:rsid w:val="00A74E8A"/>
    <w:rPr>
      <w:rFonts w:ascii="Courier New" w:eastAsia="Times New Roman" w:hAnsi="Courier New" w:cs="Times New Roman"/>
      <w:sz w:val="20"/>
      <w:szCs w:val="20"/>
      <w:lang w:eastAsia="en-US"/>
    </w:rPr>
  </w:style>
  <w:style w:type="character" w:customStyle="1" w:styleId="MenuOption">
    <w:name w:val="Menu Option"/>
    <w:basedOn w:val="DefaultParagraphFont"/>
    <w:rsid w:val="00A74E8A"/>
    <w:rPr>
      <w:b/>
      <w:smallCaps/>
    </w:rPr>
  </w:style>
  <w:style w:type="paragraph" w:customStyle="1" w:styleId="TableListNumber">
    <w:name w:val="Table List Number"/>
    <w:basedOn w:val="ListNumber"/>
    <w:rsid w:val="00A74E8A"/>
    <w:pPr>
      <w:numPr>
        <w:numId w:val="0"/>
      </w:numPr>
    </w:pPr>
  </w:style>
  <w:style w:type="paragraph" w:styleId="TOC4">
    <w:name w:val="toc 4"/>
    <w:basedOn w:val="TOCBase"/>
    <w:next w:val="Normal"/>
    <w:semiHidden/>
    <w:rsid w:val="00A74E8A"/>
    <w:pPr>
      <w:tabs>
        <w:tab w:val="right" w:leader="dot" w:pos="9071"/>
      </w:tabs>
      <w:ind w:left="1701"/>
    </w:pPr>
  </w:style>
  <w:style w:type="paragraph" w:customStyle="1" w:styleId="ListAlpha">
    <w:name w:val="List Alpha"/>
    <w:basedOn w:val="List"/>
    <w:rsid w:val="00A74E8A"/>
    <w:pPr>
      <w:numPr>
        <w:numId w:val="10"/>
      </w:numPr>
    </w:pPr>
  </w:style>
  <w:style w:type="paragraph" w:customStyle="1" w:styleId="ListAlpha2">
    <w:name w:val="List Alpha 2"/>
    <w:basedOn w:val="List2"/>
    <w:rsid w:val="00A74E8A"/>
    <w:pPr>
      <w:numPr>
        <w:numId w:val="9"/>
      </w:numPr>
    </w:pPr>
  </w:style>
  <w:style w:type="paragraph" w:styleId="List2">
    <w:name w:val="List 2"/>
    <w:basedOn w:val="BodyText"/>
    <w:rsid w:val="00A74E8A"/>
    <w:pPr>
      <w:tabs>
        <w:tab w:val="left" w:pos="680"/>
      </w:tabs>
      <w:spacing w:before="60" w:after="60"/>
      <w:ind w:left="680" w:hanging="340"/>
    </w:pPr>
  </w:style>
  <w:style w:type="paragraph" w:styleId="List3">
    <w:name w:val="List 3"/>
    <w:basedOn w:val="BodyText"/>
    <w:rsid w:val="00A74E8A"/>
    <w:pPr>
      <w:tabs>
        <w:tab w:val="left" w:pos="1021"/>
      </w:tabs>
      <w:spacing w:before="60" w:after="60"/>
      <w:ind w:left="1020" w:hanging="340"/>
    </w:pPr>
  </w:style>
  <w:style w:type="paragraph" w:styleId="List4">
    <w:name w:val="List 4"/>
    <w:basedOn w:val="BodyText"/>
    <w:rsid w:val="00A74E8A"/>
    <w:pPr>
      <w:tabs>
        <w:tab w:val="left" w:pos="1361"/>
      </w:tabs>
      <w:spacing w:before="60" w:after="60"/>
      <w:ind w:left="1361" w:hanging="340"/>
    </w:pPr>
  </w:style>
  <w:style w:type="paragraph" w:styleId="List5">
    <w:name w:val="List 5"/>
    <w:basedOn w:val="BodyText"/>
    <w:rsid w:val="00A74E8A"/>
    <w:pPr>
      <w:tabs>
        <w:tab w:val="left" w:pos="1701"/>
      </w:tabs>
      <w:spacing w:before="60" w:after="60"/>
      <w:ind w:left="1701" w:hanging="340"/>
    </w:pPr>
  </w:style>
  <w:style w:type="paragraph" w:styleId="ListBullet4">
    <w:name w:val="List Bullet 4"/>
    <w:basedOn w:val="List4"/>
    <w:rsid w:val="00A74E8A"/>
    <w:pPr>
      <w:numPr>
        <w:numId w:val="4"/>
      </w:numPr>
      <w:tabs>
        <w:tab w:val="clear" w:pos="1361"/>
      </w:tabs>
    </w:pPr>
  </w:style>
  <w:style w:type="paragraph" w:styleId="ListBullet5">
    <w:name w:val="List Bullet 5"/>
    <w:basedOn w:val="List5"/>
    <w:rsid w:val="00A74E8A"/>
    <w:pPr>
      <w:numPr>
        <w:numId w:val="5"/>
      </w:numPr>
    </w:pPr>
  </w:style>
  <w:style w:type="paragraph" w:styleId="ListContinue2">
    <w:name w:val="List Continue 2"/>
    <w:basedOn w:val="List2"/>
    <w:rsid w:val="00A74E8A"/>
    <w:pPr>
      <w:ind w:firstLine="0"/>
    </w:pPr>
  </w:style>
  <w:style w:type="paragraph" w:styleId="ListContinue3">
    <w:name w:val="List Continue 3"/>
    <w:basedOn w:val="List3"/>
    <w:rsid w:val="00A74E8A"/>
    <w:pPr>
      <w:ind w:left="1021" w:firstLine="0"/>
    </w:pPr>
  </w:style>
  <w:style w:type="paragraph" w:styleId="ListContinue4">
    <w:name w:val="List Continue 4"/>
    <w:basedOn w:val="List4"/>
    <w:rsid w:val="00A74E8A"/>
    <w:pPr>
      <w:ind w:firstLine="0"/>
    </w:pPr>
  </w:style>
  <w:style w:type="paragraph" w:styleId="ListContinue5">
    <w:name w:val="List Continue 5"/>
    <w:basedOn w:val="List5"/>
    <w:rsid w:val="00A74E8A"/>
    <w:pPr>
      <w:ind w:firstLine="0"/>
    </w:pPr>
  </w:style>
  <w:style w:type="paragraph" w:styleId="ListNumber3">
    <w:name w:val="List Number 3"/>
    <w:basedOn w:val="List3"/>
    <w:rsid w:val="00A74E8A"/>
    <w:pPr>
      <w:numPr>
        <w:numId w:val="6"/>
      </w:numPr>
    </w:pPr>
  </w:style>
  <w:style w:type="paragraph" w:styleId="ListNumber4">
    <w:name w:val="List Number 4"/>
    <w:basedOn w:val="List4"/>
    <w:rsid w:val="00A74E8A"/>
    <w:pPr>
      <w:numPr>
        <w:numId w:val="7"/>
      </w:numPr>
    </w:pPr>
  </w:style>
  <w:style w:type="paragraph" w:styleId="ListNumber5">
    <w:name w:val="List Number 5"/>
    <w:basedOn w:val="List5"/>
    <w:rsid w:val="00A74E8A"/>
    <w:pPr>
      <w:numPr>
        <w:numId w:val="8"/>
      </w:numPr>
    </w:pPr>
  </w:style>
  <w:style w:type="paragraph" w:styleId="BlockText">
    <w:name w:val="Block Text"/>
    <w:basedOn w:val="Normal"/>
    <w:rsid w:val="00A74E8A"/>
    <w:pPr>
      <w:spacing w:after="120"/>
      <w:ind w:left="1440" w:right="1440"/>
    </w:pPr>
  </w:style>
  <w:style w:type="character" w:customStyle="1" w:styleId="Subscript">
    <w:name w:val="Subscript"/>
    <w:basedOn w:val="DefaultParagraphFont"/>
    <w:rsid w:val="00A74E8A"/>
    <w:rPr>
      <w:sz w:val="16"/>
      <w:vertAlign w:val="subscript"/>
    </w:rPr>
  </w:style>
  <w:style w:type="character" w:customStyle="1" w:styleId="Superscript">
    <w:name w:val="Superscript"/>
    <w:basedOn w:val="DefaultParagraphFont"/>
    <w:rsid w:val="00A74E8A"/>
    <w:rPr>
      <w:sz w:val="16"/>
      <w:vertAlign w:val="superscript"/>
    </w:rPr>
  </w:style>
  <w:style w:type="character" w:customStyle="1" w:styleId="Symbols">
    <w:name w:val="Symbols"/>
    <w:basedOn w:val="DefaultParagraphFont"/>
    <w:rsid w:val="00A74E8A"/>
    <w:rPr>
      <w:rFonts w:ascii="Symbol" w:hAnsi="Symbol"/>
    </w:rPr>
  </w:style>
  <w:style w:type="character" w:customStyle="1" w:styleId="MenuOptions">
    <w:name w:val="Menu Options"/>
    <w:basedOn w:val="DefaultParagraphFont"/>
    <w:rsid w:val="00A74E8A"/>
    <w:rPr>
      <w:rFonts w:ascii="Arial Narrow" w:hAnsi="Arial Narrow"/>
      <w:smallCaps/>
    </w:rPr>
  </w:style>
  <w:style w:type="character" w:customStyle="1" w:styleId="Buttons">
    <w:name w:val="Buttons"/>
    <w:basedOn w:val="DefaultParagraphFont"/>
    <w:rsid w:val="00A74E8A"/>
    <w:rPr>
      <w:b/>
    </w:rPr>
  </w:style>
  <w:style w:type="character" w:customStyle="1" w:styleId="Underlined">
    <w:name w:val="Underlined"/>
    <w:basedOn w:val="DefaultParagraphFont"/>
    <w:rsid w:val="00A74E8A"/>
    <w:rPr>
      <w:u w:val="single"/>
    </w:rPr>
  </w:style>
  <w:style w:type="paragraph" w:customStyle="1" w:styleId="TableBodyTextRight">
    <w:name w:val="Table Body Text Right"/>
    <w:basedOn w:val="TableBodyText"/>
    <w:rsid w:val="00A74E8A"/>
    <w:pPr>
      <w:widowControl w:val="0"/>
      <w:autoSpaceDE w:val="0"/>
      <w:autoSpaceDN w:val="0"/>
      <w:adjustRightInd w:val="0"/>
      <w:jc w:val="right"/>
    </w:pPr>
    <w:rPr>
      <w:rFonts w:cs="Arial"/>
      <w:szCs w:val="18"/>
    </w:rPr>
  </w:style>
  <w:style w:type="paragraph" w:customStyle="1" w:styleId="CopyrightText">
    <w:name w:val="Copyright Text"/>
    <w:basedOn w:val="BodyText"/>
    <w:rsid w:val="00A74E8A"/>
    <w:rPr>
      <w:sz w:val="18"/>
    </w:rPr>
  </w:style>
  <w:style w:type="paragraph" w:customStyle="1" w:styleId="BodySmallRight">
    <w:name w:val="Body Small Right"/>
    <w:basedOn w:val="BodyTextRight"/>
    <w:rsid w:val="00A74E8A"/>
    <w:rPr>
      <w:sz w:val="18"/>
      <w:szCs w:val="18"/>
    </w:rPr>
  </w:style>
  <w:style w:type="paragraph" w:customStyle="1" w:styleId="MarginEdition">
    <w:name w:val="Margin Edition"/>
    <w:basedOn w:val="MarginNote"/>
    <w:rsid w:val="00A74E8A"/>
    <w:pPr>
      <w:spacing w:before="0" w:after="0"/>
    </w:pPr>
    <w:rPr>
      <w:rFonts w:ascii="Times New Roman" w:hAnsi="Times New Roman"/>
      <w:color w:val="999999"/>
    </w:rPr>
  </w:style>
  <w:style w:type="paragraph" w:customStyle="1" w:styleId="Spacer">
    <w:name w:val="Spacer"/>
    <w:basedOn w:val="Normal"/>
    <w:rsid w:val="00A74E8A"/>
    <w:rPr>
      <w:sz w:val="2"/>
      <w:szCs w:val="2"/>
    </w:rPr>
  </w:style>
  <w:style w:type="character" w:customStyle="1" w:styleId="Small">
    <w:name w:val="Small"/>
    <w:basedOn w:val="DefaultParagraphFont"/>
    <w:rsid w:val="00A74E8A"/>
    <w:rPr>
      <w:sz w:val="16"/>
    </w:rPr>
  </w:style>
  <w:style w:type="paragraph" w:customStyle="1" w:styleId="WideTable">
    <w:name w:val="Wide Table"/>
    <w:basedOn w:val="Normal"/>
    <w:rsid w:val="00A74E8A"/>
    <w:pPr>
      <w:ind w:left="-1418"/>
    </w:pPr>
    <w:rPr>
      <w:sz w:val="2"/>
      <w:szCs w:val="2"/>
    </w:rPr>
  </w:style>
  <w:style w:type="character" w:styleId="PageNumber">
    <w:name w:val="page number"/>
    <w:basedOn w:val="DefaultParagraphFont"/>
    <w:rsid w:val="00A74E8A"/>
  </w:style>
  <w:style w:type="paragraph" w:styleId="Quote">
    <w:name w:val="Quote"/>
    <w:basedOn w:val="Heading1"/>
    <w:link w:val="QuoteChar"/>
    <w:qFormat/>
    <w:rsid w:val="00A74E8A"/>
    <w:rPr>
      <w:b w:val="0"/>
      <w:sz w:val="72"/>
      <w:szCs w:val="72"/>
      <w:lang w:val="en-NZ"/>
    </w:rPr>
  </w:style>
  <w:style w:type="character" w:customStyle="1" w:styleId="QuoteChar">
    <w:name w:val="Quote Char"/>
    <w:basedOn w:val="DefaultParagraphFont"/>
    <w:link w:val="Quote"/>
    <w:rsid w:val="00A74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E8A"/>
    <w:pPr>
      <w:pageBreakBefore/>
    </w:pPr>
  </w:style>
  <w:style w:type="paragraph" w:customStyle="1" w:styleId="Border">
    <w:name w:val="Border"/>
    <w:basedOn w:val="Normal"/>
    <w:qFormat/>
    <w:rsid w:val="00A74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E8A"/>
    <w:rPr>
      <w:b/>
      <w:bCs/>
      <w:i/>
      <w:iCs/>
      <w:color w:val="auto"/>
    </w:rPr>
  </w:style>
  <w:style w:type="paragraph" w:styleId="IntenseQuote">
    <w:name w:val="Intense Quote"/>
    <w:basedOn w:val="Normal"/>
    <w:next w:val="Normal"/>
    <w:link w:val="IntenseQuoteChar"/>
    <w:uiPriority w:val="30"/>
    <w:qFormat/>
    <w:rsid w:val="00A74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4E8A"/>
    <w:rPr>
      <w:smallCaps/>
      <w:color w:val="auto"/>
      <w:u w:val="single"/>
    </w:rPr>
  </w:style>
  <w:style w:type="character" w:styleId="IntenseReference">
    <w:name w:val="Intense Reference"/>
    <w:basedOn w:val="DefaultParagraphFont"/>
    <w:uiPriority w:val="32"/>
    <w:qFormat/>
    <w:rsid w:val="00A74E8A"/>
    <w:rPr>
      <w:b/>
      <w:bCs/>
      <w:smallCaps/>
      <w:color w:val="auto"/>
      <w:spacing w:val="5"/>
      <w:u w:val="single"/>
    </w:rPr>
  </w:style>
  <w:style w:type="paragraph" w:customStyle="1" w:styleId="2ColumnHeading">
    <w:name w:val="2Column Heading"/>
    <w:basedOn w:val="BodyText"/>
    <w:qFormat/>
    <w:rsid w:val="00A74E8A"/>
    <w:pPr>
      <w:spacing w:after="60"/>
      <w:ind w:left="-2268"/>
    </w:pPr>
    <w:rPr>
      <w:b/>
    </w:rPr>
  </w:style>
  <w:style w:type="paragraph" w:customStyle="1" w:styleId="Heading1TOC">
    <w:name w:val="Heading1 TOC"/>
    <w:basedOn w:val="Normal"/>
    <w:qFormat/>
    <w:rsid w:val="00A74E8A"/>
    <w:pPr>
      <w:spacing w:before="240" w:after="120"/>
    </w:pPr>
    <w:rPr>
      <w:rFonts w:ascii="Times New Roman" w:hAnsi="Times New Roman"/>
      <w:b/>
      <w:sz w:val="32"/>
    </w:rPr>
  </w:style>
  <w:style w:type="paragraph" w:customStyle="1" w:styleId="Heading2TOC">
    <w:name w:val="Heading2 TOC"/>
    <w:basedOn w:val="Normal"/>
    <w:qFormat/>
    <w:rsid w:val="00A74E8A"/>
    <w:pPr>
      <w:spacing w:before="240" w:after="60"/>
    </w:pPr>
    <w:rPr>
      <w:rFonts w:ascii="Times New Roman" w:hAnsi="Times New Roman"/>
      <w:b/>
      <w:sz w:val="28"/>
    </w:rPr>
  </w:style>
  <w:style w:type="character" w:customStyle="1" w:styleId="Underline">
    <w:name w:val="Underline"/>
    <w:basedOn w:val="DefaultParagraphFont"/>
    <w:qFormat/>
    <w:rsid w:val="00A74E8A"/>
    <w:rPr>
      <w:u w:val="single"/>
    </w:rPr>
  </w:style>
  <w:style w:type="character" w:customStyle="1" w:styleId="BoldandItalics">
    <w:name w:val="Bold and Italics"/>
    <w:qFormat/>
    <w:rsid w:val="00A74E8A"/>
    <w:rPr>
      <w:b/>
      <w:i/>
      <w:u w:val="none"/>
    </w:rPr>
  </w:style>
  <w:style w:type="paragraph" w:styleId="BalloonText">
    <w:name w:val="Balloon Text"/>
    <w:basedOn w:val="Normal"/>
    <w:link w:val="BalloonTextChar"/>
    <w:rsid w:val="00A74E8A"/>
    <w:rPr>
      <w:rFonts w:ascii="Tahoma" w:hAnsi="Tahoma" w:cs="Tahoma"/>
      <w:sz w:val="16"/>
      <w:szCs w:val="16"/>
    </w:rPr>
  </w:style>
  <w:style w:type="character" w:customStyle="1" w:styleId="BalloonTextChar">
    <w:name w:val="Balloon Text Char"/>
    <w:basedOn w:val="DefaultParagraphFont"/>
    <w:link w:val="BalloonText"/>
    <w:rsid w:val="00A74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4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4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4E8A"/>
    <w:rPr>
      <w:b/>
      <w:color w:val="660033"/>
      <w:spacing w:val="0"/>
    </w:rPr>
  </w:style>
  <w:style w:type="paragraph" w:customStyle="1" w:styleId="Nameditemlist">
    <w:name w:val="Named item list"/>
    <w:basedOn w:val="BodyText"/>
    <w:qFormat/>
    <w:rsid w:val="00A74E8A"/>
    <w:pPr>
      <w:tabs>
        <w:tab w:val="left" w:pos="2835"/>
      </w:tabs>
      <w:ind w:left="2835" w:hanging="2835"/>
    </w:pPr>
  </w:style>
  <w:style w:type="paragraph" w:customStyle="1" w:styleId="BodyTextnopadding">
    <w:name w:val="Body Text no padding"/>
    <w:basedOn w:val="BodyText"/>
    <w:qFormat/>
    <w:rsid w:val="00A74E8A"/>
    <w:pPr>
      <w:spacing w:before="0" w:after="0"/>
    </w:pPr>
  </w:style>
  <w:style w:type="paragraph" w:customStyle="1" w:styleId="BodyTextBold">
    <w:name w:val="Body Text Bold"/>
    <w:basedOn w:val="BodyText"/>
    <w:qFormat/>
    <w:rsid w:val="00A74E8A"/>
    <w:rPr>
      <w:b/>
    </w:rPr>
  </w:style>
  <w:style w:type="character" w:styleId="Hyperlink">
    <w:name w:val="Hyperlink"/>
    <w:basedOn w:val="DefaultParagraphFont"/>
    <w:uiPriority w:val="99"/>
    <w:unhideWhenUsed/>
    <w:rsid w:val="00646B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4611</Characters>
  <Application>Microsoft Office Word</Application>
  <DocSecurity>0</DocSecurity>
  <Lines>115</Lines>
  <Paragraphs>91</Paragraphs>
  <ScaleCrop>false</ScaleCrop>
  <Company>Author-it Software Corporation Ltd.</Company>
  <LinksUpToDate>false</LinksUpToDate>
  <CharactersWithSpaces>5149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UEERS0008 Install and maintain non-vital telemetry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2022-12-20T04:07:00Z</dcterms:created>
  <dcterms:modified xsi:type="dcterms:W3CDTF">2022-12-20T04:07:00Z</dcterms:modified>
</cp:coreProperties>
</file>