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3B1" w:rsidP="00BD63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UEERS0002 Decommission electrical and electromechanical rail signalling from service</w:t>
      </w:r>
      <w:r>
        <w:fldChar w:fldCharType="end"/>
      </w:r>
    </w:p>
    <w:p w:rsidR="00BD63B1" w:rsidP="00BD63B1">
      <w:pPr>
        <w:pStyle w:val="Version"/>
        <w:sectPr w:rsidSect="00AC7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5C5" w:rsidP="00AC75C5">
      <w:pPr>
        <w:pStyle w:val="SuperHeading"/>
      </w:pPr>
      <w:r w:rsidRPr="00AC75C5">
        <w:t>Assessment Requirements for UEERS0002 Decommission electrical and electromechanical rail signalling from service</w:t>
      </w:r>
    </w:p>
    <w:p w:rsidR="00000000" w:rsidRPr="00AC75C5" w:rsidP="00AC75C5">
      <w:pPr>
        <w:pStyle w:val="Heading1"/>
      </w:pPr>
      <w:bookmarkStart w:id="1" w:name="O_1101113"/>
      <w:bookmarkEnd w:id="1"/>
      <w:r w:rsidRPr="00AC75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5C5" w:rsidP="00AC75C5">
            <w:pPr>
              <w:pStyle w:val="BodyText"/>
            </w:pPr>
            <w:r w:rsidRPr="00AC75C5">
              <w:t>Release 1. This is the first release of this unit of competency in the UEE Electrotechnology Training Package.</w:t>
            </w:r>
          </w:p>
        </w:tc>
      </w:tr>
    </w:tbl>
    <w:p w:rsidR="00000000" w:rsidRPr="00AC75C5" w:rsidP="00AC75C5">
      <w:pPr>
        <w:pStyle w:val="NoPaddingFontSize1"/>
      </w:pPr>
    </w:p>
    <w:p w:rsidR="00000000" w:rsidRPr="00AC75C5" w:rsidP="00AC75C5">
      <w:pPr>
        <w:pStyle w:val="AllowPageBreak"/>
      </w:pPr>
    </w:p>
    <w:p w:rsidR="00000000" w:rsidRPr="00AC75C5" w:rsidP="00AC75C5">
      <w:pPr>
        <w:pStyle w:val="Heading1"/>
      </w:pPr>
      <w:bookmarkStart w:id="2" w:name="O_1101114"/>
      <w:bookmarkEnd w:id="2"/>
      <w:r w:rsidRPr="00AC75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5C5">
            <w:pPr>
              <w:pStyle w:val="BodyText"/>
              <w:rPr>
                <w:lang w:val="en-NZ"/>
              </w:rPr>
            </w:pPr>
            <w:r w:rsidRPr="00AC75C5">
              <w:t>Evidence required to demonstrate competence in this unit must be relevant to and satisfy all of the req</w:t>
            </w:r>
            <w:r w:rsidRPr="00AC75C5">
              <w:t>uirements of the elements and performance criteria on at least one occasion and include:</w:t>
            </w:r>
          </w:p>
        </w:tc>
      </w:tr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5C5" w:rsidP="00AC75C5">
            <w:pPr>
              <w:pStyle w:val="ListBullet"/>
            </w:pPr>
            <w:r w:rsidRPr="00AC75C5">
              <w:t>reading and interpreting specifications correctly</w:t>
            </w:r>
          </w:p>
          <w:p w:rsidR="00000000" w:rsidRPr="00AC75C5" w:rsidP="00AC75C5">
            <w:pPr>
              <w:pStyle w:val="ListBullet"/>
            </w:pPr>
            <w:r w:rsidRPr="00AC75C5">
              <w:t>disconnecting signalling circuits, equipment and components to meet operational and technical standards</w:t>
            </w:r>
          </w:p>
          <w:p w:rsidR="00000000" w:rsidRPr="00AC75C5" w:rsidP="00AC75C5">
            <w:pPr>
              <w:pStyle w:val="ListBullet"/>
            </w:pPr>
            <w:r w:rsidRPr="00AC75C5">
              <w:t>using effec</w:t>
            </w:r>
            <w:r w:rsidRPr="00AC75C5">
              <w:t>tive fault diagnosis and repair/replacement techniques to specified model level</w:t>
            </w:r>
          </w:p>
          <w:p w:rsidR="00000000" w:rsidRPr="00AC75C5" w:rsidP="00AC75C5">
            <w:pPr>
              <w:pStyle w:val="ListBullet"/>
            </w:pPr>
            <w:r w:rsidRPr="00AC75C5">
              <w:t>confirming circuits, equipment and components operated within specified technical parameters</w:t>
            </w:r>
          </w:p>
          <w:p w:rsidR="00000000" w:rsidRPr="00AC75C5" w:rsidP="00AC75C5">
            <w:pPr>
              <w:pStyle w:val="ListBullet"/>
            </w:pPr>
            <w:r w:rsidRPr="00AC75C5">
              <w:t>testing equipment and instruments</w:t>
            </w:r>
          </w:p>
          <w:p w:rsidR="00000000" w:rsidRPr="00AC75C5" w:rsidP="00AC75C5">
            <w:pPr>
              <w:pStyle w:val="ListBullet"/>
            </w:pPr>
            <w:r w:rsidRPr="00AC75C5">
              <w:t>using tools correctly</w:t>
            </w:r>
          </w:p>
          <w:p w:rsidR="00000000" w:rsidRPr="00AC75C5" w:rsidP="00AC75C5">
            <w:pPr>
              <w:pStyle w:val="ListBullet"/>
            </w:pPr>
            <w:r w:rsidRPr="00AC75C5">
              <w:t>following relevant codes of practice, environmental protection procedures and requirements</w:t>
            </w:r>
          </w:p>
          <w:p w:rsidR="00000000" w:rsidRPr="00AC75C5" w:rsidP="00AC75C5">
            <w:pPr>
              <w:pStyle w:val="ListBullet"/>
            </w:pPr>
            <w:r w:rsidRPr="00AC75C5">
              <w:t>completing relevant technical reports, records and documentation</w:t>
            </w:r>
          </w:p>
          <w:p w:rsidR="00000000" w:rsidRPr="00AC75C5" w:rsidP="00AC75C5">
            <w:pPr>
              <w:pStyle w:val="ListBullet"/>
            </w:pPr>
            <w:r w:rsidRPr="00AC75C5">
              <w:t>dealing with unplanned events</w:t>
            </w:r>
          </w:p>
          <w:p w:rsidR="00000000" w:rsidRPr="00AC75C5" w:rsidP="00AC75C5">
            <w:pPr>
              <w:pStyle w:val="ListBullet"/>
            </w:pPr>
            <w:r w:rsidRPr="00AC75C5">
              <w:t xml:space="preserve">applying rail safe working practices and relevant industry standards, </w:t>
            </w:r>
            <w:r w:rsidRPr="00AC75C5">
              <w:t>codes and rail safety regulations</w:t>
            </w:r>
          </w:p>
          <w:p w:rsidR="00000000" w:rsidRPr="00AC75C5" w:rsidP="00AC75C5">
            <w:pPr>
              <w:pStyle w:val="ListBullet"/>
            </w:pPr>
            <w:r w:rsidRPr="00AC75C5">
              <w:t>applying relevant work health and safety (WHS)/occupational health and safety (OHS) requirements, including:</w:t>
            </w:r>
          </w:p>
          <w:p w:rsidR="00000000" w:rsidRPr="00AC75C5" w:rsidP="00AC75C5">
            <w:pPr>
              <w:pStyle w:val="ListBullet2"/>
            </w:pPr>
            <w:r w:rsidRPr="00AC75C5">
              <w:t>implementing workplace procedures and practices</w:t>
            </w:r>
          </w:p>
          <w:p w:rsidR="00000000" w:rsidRPr="00AC75C5" w:rsidP="00AC75C5">
            <w:pPr>
              <w:pStyle w:val="ListBullet2"/>
            </w:pPr>
            <w:r w:rsidRPr="00AC75C5">
              <w:t>using risk control measures</w:t>
            </w:r>
          </w:p>
          <w:p w:rsidR="00000000" w:rsidRPr="00AC75C5" w:rsidP="00AC75C5">
            <w:pPr>
              <w:pStyle w:val="ListBullet"/>
            </w:pPr>
            <w:r w:rsidRPr="00AC75C5">
              <w:t>applying sustainable energy princip</w:t>
            </w:r>
            <w:r w:rsidRPr="00AC75C5">
              <w:t>les and practices</w:t>
            </w:r>
          </w:p>
          <w:p w:rsidR="00000000" w:rsidRPr="00AC75C5" w:rsidP="00AC75C5">
            <w:pPr>
              <w:pStyle w:val="ListBullet"/>
            </w:pPr>
            <w:r w:rsidRPr="00AC75C5">
              <w:t>decommissioning electrical and electromechanical rail signalling from service in accordance with workplace procedures</w:t>
            </w:r>
          </w:p>
          <w:p w:rsidR="00000000" w:rsidRPr="00AC75C5" w:rsidP="00AC75C5">
            <w:pPr>
              <w:pStyle w:val="ListBullet"/>
            </w:pPr>
            <w:r w:rsidRPr="00AC75C5">
              <w:t>preparing to decommission electrical and electromechanical rail signalling from service</w:t>
            </w:r>
          </w:p>
          <w:p w:rsidR="00000000" w:rsidRPr="00AC75C5" w:rsidP="00AC75C5">
            <w:pPr>
              <w:pStyle w:val="ListBullet"/>
            </w:pPr>
            <w:r w:rsidRPr="00AC75C5">
              <w:t>withdrawing electrical and elect</w:t>
            </w:r>
            <w:r w:rsidRPr="00AC75C5">
              <w:t>romechanical rail signalling from service.</w:t>
            </w:r>
            <w:r w:rsidRPr="00AC75C5">
              <w:rPr>
                <w:rStyle w:val="SpecialBold"/>
              </w:rPr>
              <w:t xml:space="preserve"> </w:t>
            </w:r>
          </w:p>
        </w:tc>
      </w:tr>
    </w:tbl>
    <w:p w:rsidR="00000000" w:rsidRPr="00AC75C5" w:rsidP="00AC75C5">
      <w:pPr>
        <w:pStyle w:val="NoPaddingFontSize1"/>
      </w:pPr>
    </w:p>
    <w:p w:rsidR="00000000" w:rsidRPr="00AC75C5" w:rsidP="00AC75C5">
      <w:pPr>
        <w:pStyle w:val="AllowPageBreak"/>
      </w:pPr>
    </w:p>
    <w:p w:rsidR="00000000" w:rsidRPr="00AC75C5" w:rsidP="00AC75C5">
      <w:pPr>
        <w:pStyle w:val="Heading1"/>
      </w:pPr>
      <w:bookmarkStart w:id="3" w:name="O_1101115"/>
      <w:bookmarkEnd w:id="3"/>
      <w:r w:rsidRPr="00AC75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5C5">
            <w:pPr>
              <w:pStyle w:val="BodyText"/>
              <w:rPr>
                <w:lang w:val="en-NZ"/>
              </w:rPr>
            </w:pPr>
            <w:r w:rsidRPr="00AC75C5">
              <w:t xml:space="preserve">Evidence required to demonstrate competence in this unit must be relevant to and satisfy all of the requirements of the elements and performance </w:t>
            </w:r>
            <w:r w:rsidRPr="00AC75C5">
              <w:t>criteria and include knowledge of:</w:t>
            </w:r>
          </w:p>
        </w:tc>
      </w:tr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5C5" w:rsidP="00AC75C5">
            <w:pPr>
              <w:pStyle w:val="ListBullet"/>
            </w:pPr>
            <w:r w:rsidRPr="00AC75C5">
              <w:t xml:space="preserve">electrical and electromechanical rail signalling decommissioning, safe working practices and relevant standards, codes and regulations, including: </w:t>
            </w:r>
          </w:p>
          <w:p w:rsidR="00000000" w:rsidRPr="00AC75C5" w:rsidP="00AC75C5">
            <w:pPr>
              <w:pStyle w:val="ListBullet2"/>
            </w:pPr>
            <w:r w:rsidRPr="00AC75C5">
              <w:t>purpose of decommissioning</w:t>
            </w:r>
          </w:p>
          <w:p w:rsidR="00000000" w:rsidRPr="00AC75C5" w:rsidP="00AC75C5">
            <w:pPr>
              <w:pStyle w:val="ListBullet2"/>
            </w:pPr>
            <w:r w:rsidRPr="00AC75C5">
              <w:t>decommissioning planning and documentation</w:t>
            </w:r>
          </w:p>
          <w:p w:rsidR="00000000" w:rsidRPr="00AC75C5" w:rsidP="00AC75C5">
            <w:pPr>
              <w:pStyle w:val="ListBullet2"/>
            </w:pPr>
            <w:r w:rsidRPr="00AC75C5">
              <w:t>decommissioning requirements and hazards</w:t>
            </w:r>
          </w:p>
          <w:p w:rsidR="00000000" w:rsidRPr="00AC75C5" w:rsidP="00AC75C5">
            <w:pPr>
              <w:pStyle w:val="ListBullet2"/>
            </w:pPr>
            <w:r w:rsidRPr="00AC75C5">
              <w:t>decommissioning procedures</w:t>
            </w:r>
          </w:p>
          <w:p w:rsidR="00000000" w:rsidRPr="00AC75C5" w:rsidP="00AC75C5">
            <w:pPr>
              <w:pStyle w:val="ListBullet"/>
            </w:pPr>
            <w:r w:rsidRPr="00AC75C5">
              <w:t>fault diagnosis and repair/replacement techniques</w:t>
            </w:r>
          </w:p>
          <w:p w:rsidR="00000000" w:rsidRPr="00AC75C5" w:rsidP="00AC75C5">
            <w:pPr>
              <w:pStyle w:val="ListBullet"/>
            </w:pPr>
            <w:r w:rsidRPr="00AC75C5">
              <w:t>relevant job safety assessments or risk mitigation processes</w:t>
            </w:r>
          </w:p>
          <w:p w:rsidR="00000000" w:rsidRPr="00AC75C5" w:rsidP="00AC75C5">
            <w:pPr>
              <w:pStyle w:val="ListBullet"/>
            </w:pPr>
            <w:r w:rsidRPr="00AC75C5">
              <w:t>relevant manufacturer specifications</w:t>
            </w:r>
          </w:p>
          <w:p w:rsidR="00000000" w:rsidRPr="00AC75C5" w:rsidP="00AC75C5">
            <w:pPr>
              <w:pStyle w:val="ListBullet"/>
            </w:pPr>
            <w:r w:rsidRPr="00AC75C5">
              <w:t>relevant safe working practices, indust</w:t>
            </w:r>
            <w:r w:rsidRPr="00AC75C5">
              <w:t>ry standards, codes of practice, regulations and WHS/OHS legislated requirements, including decommissioning requirements and hazards</w:t>
            </w:r>
          </w:p>
          <w:p w:rsidR="00000000" w:rsidRPr="00AC75C5" w:rsidP="00AC75C5">
            <w:pPr>
              <w:pStyle w:val="ListBullet"/>
            </w:pPr>
            <w:r w:rsidRPr="00AC75C5">
              <w:t>relevant workplace documentation.</w:t>
            </w:r>
          </w:p>
        </w:tc>
      </w:tr>
    </w:tbl>
    <w:p w:rsidR="00000000" w:rsidRPr="00AC75C5" w:rsidP="00AC75C5">
      <w:pPr>
        <w:pStyle w:val="NoPaddingFontSize1"/>
      </w:pPr>
    </w:p>
    <w:p w:rsidR="00000000" w:rsidRPr="00AC75C5" w:rsidP="00AC75C5">
      <w:pPr>
        <w:pStyle w:val="AllowPageBreak"/>
      </w:pPr>
    </w:p>
    <w:p w:rsidR="00000000" w:rsidRPr="00AC75C5" w:rsidP="00AC75C5">
      <w:pPr>
        <w:pStyle w:val="Heading1"/>
      </w:pPr>
      <w:bookmarkStart w:id="4" w:name="O_1101116"/>
      <w:bookmarkEnd w:id="4"/>
      <w:r w:rsidRPr="00AC75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5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5C5" w:rsidP="00AC75C5">
            <w:pPr>
              <w:pStyle w:val="BodyText"/>
            </w:pPr>
            <w:r w:rsidRPr="00AC75C5">
              <w:t>Assessors must hold credentials specified within the Standards for Registered Training Organisations current at the time of assessment.</w:t>
            </w:r>
          </w:p>
          <w:p w:rsidR="00000000" w:rsidRPr="00AC75C5" w:rsidP="00AC75C5">
            <w:pPr>
              <w:pStyle w:val="BodyText"/>
            </w:pPr>
            <w:r w:rsidRPr="00AC75C5">
              <w:t>Assessment must satisfy the Principles of Assessment and Rules of Evidence and all regulatory requirements included with</w:t>
            </w:r>
            <w:r w:rsidRPr="00AC75C5">
              <w:t>in the Standards for Registered Training Organisations current at the time of assessment.</w:t>
            </w:r>
          </w:p>
          <w:p w:rsidR="00000000" w:rsidRPr="00AC75C5" w:rsidP="00AC75C5">
            <w:pPr>
              <w:pStyle w:val="BodyText"/>
            </w:pPr>
            <w:r w:rsidRPr="00AC75C5">
              <w:t>Assessment must occur in suitable rail workplace operational situations where it is appropriate to do so; where this is not appropriate, assessment must occur in suit</w:t>
            </w:r>
            <w:r w:rsidRPr="00AC75C5">
              <w:t>able rail simulated workplace operational situations that replicate workplace conditions.</w:t>
            </w:r>
          </w:p>
          <w:p w:rsidR="00000000" w:rsidRPr="00AC75C5" w:rsidP="00AC75C5">
            <w:pPr>
              <w:pStyle w:val="BodyText"/>
            </w:pPr>
            <w:r w:rsidRPr="00AC75C5">
              <w:t>Assessment processes and techniques must be appropriate to the language, literacy and numeracy requirements of the work being performed and the needs of the candidate</w:t>
            </w:r>
            <w:r w:rsidRPr="00AC75C5">
              <w:t>.</w:t>
            </w:r>
          </w:p>
          <w:p w:rsidR="00000000" w:rsidRPr="00AC75C5" w:rsidP="00AC75C5">
            <w:pPr>
              <w:pStyle w:val="BodyText"/>
            </w:pPr>
            <w:r w:rsidRPr="00AC75C5">
              <w:t>Resources for assessment must include access to:</w:t>
            </w:r>
          </w:p>
          <w:p w:rsidR="00000000" w:rsidRPr="00AC75C5" w:rsidP="00AC75C5">
            <w:pPr>
              <w:pStyle w:val="ListBullet"/>
            </w:pPr>
            <w:r w:rsidRPr="00AC75C5">
              <w:t>a range of relevant exercises, case studies and/or other simulations</w:t>
            </w:r>
          </w:p>
          <w:p w:rsidR="00000000" w:rsidRPr="00AC75C5" w:rsidP="00AC75C5">
            <w:pPr>
              <w:pStyle w:val="ListBullet"/>
            </w:pPr>
            <w:r w:rsidRPr="00AC75C5">
              <w:t>relevant and appropriate materials, tools, facilities, equipment and personal protective equipment (PPE) currently used in industry</w:t>
            </w:r>
          </w:p>
          <w:p w:rsidR="00000000" w:rsidRPr="00AC75C5" w:rsidP="00AC75C5">
            <w:pPr>
              <w:pStyle w:val="ListBullet"/>
            </w:pPr>
            <w:r w:rsidRPr="00AC75C5">
              <w:t>res</w:t>
            </w:r>
            <w:r w:rsidRPr="00AC75C5">
              <w:t>ources that reflect current industry practices in relation to decommissioning electrical and electromechanical signalling from service</w:t>
            </w:r>
          </w:p>
          <w:p w:rsidR="00000000" w:rsidRPr="00AC75C5" w:rsidP="00AC75C5">
            <w:pPr>
              <w:pStyle w:val="ListBullet"/>
            </w:pPr>
            <w:r w:rsidRPr="00AC75C5">
              <w:t>applicable documentation, including workplace procedures, equipment specifications, regulations, codes of practice and op</w:t>
            </w:r>
            <w:r w:rsidRPr="00AC75C5">
              <w:t>eration manuals.</w:t>
            </w:r>
          </w:p>
        </w:tc>
      </w:tr>
    </w:tbl>
    <w:p w:rsidR="00000000" w:rsidRPr="00AC75C5" w:rsidP="00AC75C5">
      <w:pPr>
        <w:pStyle w:val="NoPaddingFontSize1"/>
      </w:pPr>
    </w:p>
    <w:p w:rsidR="00000000" w:rsidRPr="00AC75C5" w:rsidP="00AC75C5">
      <w:pPr>
        <w:pStyle w:val="AllowPageBreak"/>
      </w:pPr>
    </w:p>
    <w:p w:rsidR="00000000" w:rsidRPr="00AC75C5" w:rsidP="00AC75C5">
      <w:pPr>
        <w:pStyle w:val="Heading1"/>
      </w:pPr>
      <w:bookmarkStart w:id="5" w:name="O_1101119"/>
      <w:bookmarkEnd w:id="5"/>
      <w:r w:rsidRPr="00AC75C5">
        <w:t>Links</w:t>
      </w:r>
    </w:p>
    <w:p w:rsidR="00000000" w:rsidRPr="00AC75C5" w:rsidP="00BD63B1">
      <w:pPr>
        <w:pStyle w:val="BodyText"/>
      </w:pPr>
      <w:r w:rsidRPr="00AC75C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0AA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C75C5" w:rsidP="00AC75C5"/>
    <w:sectPr w:rsidSect="00AC75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5" w:rsidRPr="00BD63B1" w:rsidP="00BD63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B1" w:rsidP="00AC7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3B1" w:rsidP="00AC7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63B1" w:rsidP="00AC7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5C5" w:rsidRPr="00BD63B1" w:rsidP="00BD63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3B1" w:rsidRPr="002D2AF8" w:rsidP="00AC7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UEERS0002 Decommission electrical and electromechanical rail signalling from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D63B1" w:rsidP="00AC7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2A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069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E5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5C5"/>
  </w:style>
  <w:style w:type="character" w:customStyle="1" w:styleId="Heading1Char">
    <w:name w:val="Heading 1 Char"/>
    <w:basedOn w:val="DefaultParagraphFont"/>
    <w:link w:val="Heading1"/>
    <w:rsid w:val="00AC7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5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5C5"/>
    <w:rPr>
      <w:b/>
      <w:spacing w:val="0"/>
    </w:rPr>
  </w:style>
  <w:style w:type="paragraph" w:styleId="ListBullet2">
    <w:name w:val="List Bullet 2"/>
    <w:basedOn w:val="List2"/>
    <w:rsid w:val="00AC75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7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5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5C5"/>
    <w:rPr>
      <w:i/>
    </w:rPr>
  </w:style>
  <w:style w:type="paragraph" w:styleId="Caption">
    <w:name w:val="caption"/>
    <w:basedOn w:val="BodyText"/>
    <w:next w:val="Normal"/>
    <w:qFormat/>
    <w:rsid w:val="00AC7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5C5"/>
  </w:style>
  <w:style w:type="paragraph" w:styleId="TableofFigures">
    <w:name w:val="table of figures"/>
    <w:basedOn w:val="Normal"/>
    <w:next w:val="Normal"/>
    <w:semiHidden/>
    <w:rsid w:val="00AC7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5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5C5"/>
    <w:rPr>
      <w:rFonts w:ascii="Wingdings" w:hAnsi="Wingdings"/>
    </w:rPr>
  </w:style>
  <w:style w:type="paragraph" w:customStyle="1" w:styleId="TableHeading">
    <w:name w:val="Table Heading"/>
    <w:basedOn w:val="HeadingBase"/>
    <w:rsid w:val="00AC7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5C5"/>
    <w:rPr>
      <w:color w:val="0033CC"/>
      <w:u w:val="none"/>
    </w:rPr>
  </w:style>
  <w:style w:type="paragraph" w:customStyle="1" w:styleId="BodyTextRight">
    <w:name w:val="Body Text Right"/>
    <w:basedOn w:val="BodyText"/>
    <w:rsid w:val="00AC7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5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5C5"/>
    <w:rPr>
      <w:sz w:val="32"/>
    </w:rPr>
  </w:style>
  <w:style w:type="paragraph" w:customStyle="1" w:styleId="HeadingProcedure">
    <w:name w:val="Heading Procedure"/>
    <w:basedOn w:val="HeadingBase"/>
    <w:next w:val="Normal"/>
    <w:rsid w:val="00AC7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5C5"/>
    <w:pPr>
      <w:spacing w:before="60" w:after="60"/>
    </w:pPr>
  </w:style>
  <w:style w:type="paragraph" w:styleId="ListContinue">
    <w:name w:val="List Continue"/>
    <w:basedOn w:val="List"/>
    <w:rsid w:val="00AC75C5"/>
    <w:pPr>
      <w:ind w:firstLine="0"/>
    </w:pPr>
  </w:style>
  <w:style w:type="paragraph" w:customStyle="1" w:styleId="ListNote">
    <w:name w:val="List Note"/>
    <w:basedOn w:val="List"/>
    <w:rsid w:val="00AC7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5C5"/>
    <w:rPr>
      <w:rFonts w:ascii="Courier New" w:hAnsi="Courier New"/>
    </w:rPr>
  </w:style>
  <w:style w:type="paragraph" w:customStyle="1" w:styleId="NoteBullet">
    <w:name w:val="Note Bullet"/>
    <w:basedOn w:val="Note"/>
    <w:rsid w:val="00AC7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5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5C5"/>
    <w:rPr>
      <w:b/>
      <w:smallCaps/>
    </w:rPr>
  </w:style>
  <w:style w:type="paragraph" w:customStyle="1" w:styleId="TableListNumber">
    <w:name w:val="Table List Number"/>
    <w:basedOn w:val="ListNumber"/>
    <w:rsid w:val="00AC7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5C5"/>
    <w:pPr>
      <w:numPr>
        <w:numId w:val="9"/>
      </w:numPr>
    </w:pPr>
  </w:style>
  <w:style w:type="paragraph" w:customStyle="1" w:styleId="ListAlpha2">
    <w:name w:val="List Alpha 2"/>
    <w:basedOn w:val="List2"/>
    <w:rsid w:val="00AC75C5"/>
    <w:pPr>
      <w:numPr>
        <w:numId w:val="8"/>
      </w:numPr>
    </w:pPr>
  </w:style>
  <w:style w:type="paragraph" w:styleId="List2">
    <w:name w:val="List 2"/>
    <w:basedOn w:val="BodyText"/>
    <w:rsid w:val="00AC7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5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5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5C5"/>
    <w:pPr>
      <w:numPr>
        <w:numId w:val="4"/>
      </w:numPr>
    </w:pPr>
  </w:style>
  <w:style w:type="paragraph" w:styleId="ListContinue2">
    <w:name w:val="List Continue 2"/>
    <w:basedOn w:val="List2"/>
    <w:rsid w:val="00AC75C5"/>
    <w:pPr>
      <w:ind w:firstLine="0"/>
    </w:pPr>
  </w:style>
  <w:style w:type="paragraph" w:styleId="ListContinue3">
    <w:name w:val="List Continue 3"/>
    <w:basedOn w:val="List3"/>
    <w:rsid w:val="00AC75C5"/>
    <w:pPr>
      <w:ind w:left="1021" w:firstLine="0"/>
    </w:pPr>
  </w:style>
  <w:style w:type="paragraph" w:styleId="ListContinue4">
    <w:name w:val="List Continue 4"/>
    <w:basedOn w:val="List4"/>
    <w:rsid w:val="00AC75C5"/>
    <w:pPr>
      <w:ind w:firstLine="0"/>
    </w:pPr>
  </w:style>
  <w:style w:type="paragraph" w:styleId="ListContinue5">
    <w:name w:val="List Continue 5"/>
    <w:basedOn w:val="List5"/>
    <w:rsid w:val="00AC75C5"/>
    <w:pPr>
      <w:ind w:firstLine="0"/>
    </w:pPr>
  </w:style>
  <w:style w:type="paragraph" w:styleId="ListNumber3">
    <w:name w:val="List Number 3"/>
    <w:basedOn w:val="List3"/>
    <w:rsid w:val="00AC75C5"/>
    <w:pPr>
      <w:numPr>
        <w:numId w:val="5"/>
      </w:numPr>
    </w:pPr>
  </w:style>
  <w:style w:type="paragraph" w:styleId="ListNumber4">
    <w:name w:val="List Number 4"/>
    <w:basedOn w:val="List4"/>
    <w:rsid w:val="00AC75C5"/>
    <w:pPr>
      <w:numPr>
        <w:numId w:val="6"/>
      </w:numPr>
    </w:pPr>
  </w:style>
  <w:style w:type="paragraph" w:styleId="ListNumber5">
    <w:name w:val="List Number 5"/>
    <w:basedOn w:val="List5"/>
    <w:rsid w:val="00AC75C5"/>
    <w:pPr>
      <w:numPr>
        <w:numId w:val="7"/>
      </w:numPr>
    </w:pPr>
  </w:style>
  <w:style w:type="paragraph" w:styleId="BlockText">
    <w:name w:val="Block Text"/>
    <w:basedOn w:val="Normal"/>
    <w:rsid w:val="00AC7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5C5"/>
    <w:rPr>
      <w:sz w:val="16"/>
      <w:vertAlign w:val="superscript"/>
    </w:rPr>
  </w:style>
  <w:style w:type="character" w:customStyle="1" w:styleId="Symbols">
    <w:name w:val="Symbols"/>
    <w:basedOn w:val="DefaultParagraphFont"/>
    <w:rsid w:val="00AC75C5"/>
    <w:rPr>
      <w:rFonts w:ascii="Symbol" w:hAnsi="Symbol"/>
    </w:rPr>
  </w:style>
  <w:style w:type="character" w:customStyle="1" w:styleId="MenuOptions">
    <w:name w:val="Menu Options"/>
    <w:basedOn w:val="DefaultParagraphFont"/>
    <w:rsid w:val="00AC7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5C5"/>
    <w:rPr>
      <w:b/>
    </w:rPr>
  </w:style>
  <w:style w:type="character" w:customStyle="1" w:styleId="Underlined">
    <w:name w:val="Underlined"/>
    <w:basedOn w:val="DefaultParagraphFont"/>
    <w:rsid w:val="00AC75C5"/>
    <w:rPr>
      <w:u w:val="single"/>
    </w:rPr>
  </w:style>
  <w:style w:type="paragraph" w:customStyle="1" w:styleId="TableBodyTextRight">
    <w:name w:val="Table Body Text Right"/>
    <w:basedOn w:val="TableBodyText"/>
    <w:rsid w:val="00AC7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5C5"/>
    <w:rPr>
      <w:sz w:val="18"/>
    </w:rPr>
  </w:style>
  <w:style w:type="paragraph" w:customStyle="1" w:styleId="BodySmallRight">
    <w:name w:val="Body Small Right"/>
    <w:basedOn w:val="BodyTextRight"/>
    <w:rsid w:val="00AC75C5"/>
    <w:rPr>
      <w:sz w:val="18"/>
      <w:szCs w:val="18"/>
    </w:rPr>
  </w:style>
  <w:style w:type="paragraph" w:customStyle="1" w:styleId="MarginEdition">
    <w:name w:val="Margin Edition"/>
    <w:basedOn w:val="MarginNote"/>
    <w:rsid w:val="00AC7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5C5"/>
    <w:rPr>
      <w:sz w:val="2"/>
      <w:szCs w:val="2"/>
    </w:rPr>
  </w:style>
  <w:style w:type="character" w:customStyle="1" w:styleId="Small">
    <w:name w:val="Small"/>
    <w:basedOn w:val="DefaultParagraphFont"/>
    <w:rsid w:val="00AC75C5"/>
    <w:rPr>
      <w:sz w:val="16"/>
    </w:rPr>
  </w:style>
  <w:style w:type="paragraph" w:customStyle="1" w:styleId="WideTable">
    <w:name w:val="Wide Table"/>
    <w:basedOn w:val="Normal"/>
    <w:rsid w:val="00AC7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5C5"/>
  </w:style>
  <w:style w:type="paragraph" w:styleId="Quote">
    <w:name w:val="Quote"/>
    <w:basedOn w:val="Heading1"/>
    <w:link w:val="QuoteChar"/>
    <w:qFormat/>
    <w:rsid w:val="00AC7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5C5"/>
    <w:pPr>
      <w:pageBreakBefore/>
    </w:pPr>
  </w:style>
  <w:style w:type="paragraph" w:customStyle="1" w:styleId="Border">
    <w:name w:val="Border"/>
    <w:basedOn w:val="Normal"/>
    <w:qFormat/>
    <w:rsid w:val="00AC7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5C5"/>
    <w:rPr>
      <w:u w:val="single"/>
    </w:rPr>
  </w:style>
  <w:style w:type="character" w:customStyle="1" w:styleId="BoldandItalics">
    <w:name w:val="Bold and Italics"/>
    <w:qFormat/>
    <w:rsid w:val="00AC75C5"/>
    <w:rPr>
      <w:b/>
      <w:i/>
      <w:u w:val="none"/>
    </w:rPr>
  </w:style>
  <w:style w:type="paragraph" w:styleId="BalloonText">
    <w:name w:val="Balloon Text"/>
    <w:basedOn w:val="Normal"/>
    <w:link w:val="BalloonTextChar"/>
    <w:rsid w:val="00AC7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5C5"/>
    <w:pPr>
      <w:spacing w:before="0" w:after="0"/>
    </w:pPr>
  </w:style>
  <w:style w:type="paragraph" w:customStyle="1" w:styleId="BodyTextBold">
    <w:name w:val="Body Text Bold"/>
    <w:basedOn w:val="BodyText"/>
    <w:qFormat/>
    <w:rsid w:val="00AC75C5"/>
    <w:rPr>
      <w:b/>
    </w:rPr>
  </w:style>
  <w:style w:type="character" w:styleId="Hyperlink">
    <w:name w:val="Hyperlink"/>
    <w:basedOn w:val="DefaultParagraphFont"/>
    <w:uiPriority w:val="99"/>
    <w:unhideWhenUsed/>
    <w:rsid w:val="00BD63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518</Words>
  <Characters>3764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UEERS0002 Decommission electrical and electromechanical rail signalling from service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2022-12-20T04:04:00Z</dcterms:created>
  <dcterms:modified xsi:type="dcterms:W3CDTF">2022-12-20T04:04:00Z</dcterms:modified>
</cp:coreProperties>
</file>