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7F1" w:rsidP="00C357F1">
      <w:pPr>
        <w:pStyle w:val="Title"/>
      </w:pPr>
      <w:r>
        <w:fldChar w:fldCharType="begin"/>
      </w:r>
      <w:r>
        <w:instrText xml:space="preserve"> TITLE   \* MERGEFORMAT </w:instrText>
      </w:r>
      <w:r>
        <w:fldChar w:fldCharType="separate"/>
      </w:r>
      <w:r>
        <w:t>Assessment Requirements for UEERS0001 Assemble and wire internal electrical rail signalling equipment</w:t>
      </w:r>
      <w:r>
        <w:fldChar w:fldCharType="end"/>
      </w:r>
    </w:p>
    <w:p w:rsidR="00C357F1" w:rsidP="00C357F1">
      <w:pPr>
        <w:pStyle w:val="Version"/>
        <w:sectPr w:rsidSect="00C06B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BD8" w:rsidP="00C06BD8">
      <w:pPr>
        <w:pStyle w:val="SuperHeading"/>
      </w:pPr>
      <w:r w:rsidRPr="00C06BD8">
        <w:t>Assessment Requirements for UEERS0001 Assemble and wire internal electrical rail signalling equipment</w:t>
      </w:r>
    </w:p>
    <w:p w:rsidR="00000000" w:rsidRPr="00C06BD8" w:rsidP="00C06BD8">
      <w:pPr>
        <w:pStyle w:val="Heading1"/>
      </w:pPr>
      <w:bookmarkStart w:id="1" w:name="O_1101094"/>
      <w:bookmarkEnd w:id="1"/>
      <w:r w:rsidRPr="00C06BD8">
        <w:t>Modification History</w:t>
      </w:r>
    </w:p>
    <w:tbl>
      <w:tblPr>
        <w:tblW w:w="9497" w:type="dxa"/>
        <w:tblLayout w:type="fixed"/>
        <w:tblCellMar>
          <w:left w:w="62" w:type="dxa"/>
          <w:right w:w="62" w:type="dxa"/>
        </w:tblCellMar>
        <w:tblLook w:val="0000"/>
      </w:tblPr>
      <w:tblGrid>
        <w:gridCol w:w="9497"/>
      </w:tblGrid>
      <w:tr w:rsidTr="00C06B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D8" w:rsidP="00C06BD8">
            <w:pPr>
              <w:pStyle w:val="BodyText"/>
            </w:pPr>
            <w:r w:rsidRPr="00C06BD8">
              <w:t>Release 1. This is the first release of this unit of competency in the UEE Electrotechnology Training Package.</w:t>
            </w:r>
          </w:p>
        </w:tc>
      </w:tr>
    </w:tbl>
    <w:p w:rsidR="00000000" w:rsidRPr="00C06BD8" w:rsidP="00C06BD8">
      <w:pPr>
        <w:pStyle w:val="NoPaddingFontSize1"/>
      </w:pPr>
    </w:p>
    <w:p w:rsidR="00000000" w:rsidRPr="00C06BD8" w:rsidP="00C06BD8">
      <w:pPr>
        <w:pStyle w:val="AllowPageBreak"/>
      </w:pPr>
    </w:p>
    <w:p w:rsidR="00000000" w:rsidRPr="00C06BD8" w:rsidP="00C06BD8">
      <w:pPr>
        <w:pStyle w:val="Heading1"/>
      </w:pPr>
      <w:bookmarkStart w:id="2" w:name="O_1101095"/>
      <w:bookmarkEnd w:id="2"/>
      <w:r w:rsidRPr="00C06BD8">
        <w:t>Performance Evidence</w:t>
      </w:r>
    </w:p>
    <w:tbl>
      <w:tblPr>
        <w:tblW w:w="9497" w:type="dxa"/>
        <w:tblLayout w:type="fixed"/>
        <w:tblCellMar>
          <w:left w:w="62" w:type="dxa"/>
          <w:right w:w="62" w:type="dxa"/>
        </w:tblCellMar>
        <w:tblLook w:val="0000"/>
      </w:tblPr>
      <w:tblGrid>
        <w:gridCol w:w="9497"/>
      </w:tblGrid>
      <w:tr w:rsidTr="00C06B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6BD8">
            <w:pPr>
              <w:pStyle w:val="BodyText"/>
              <w:rPr>
                <w:lang w:val="en-NZ"/>
              </w:rPr>
            </w:pPr>
            <w:r w:rsidRPr="00C06BD8">
              <w:t xml:space="preserve">Evidence required to demonstrate competence in this unit must be relevant to and satisfy all of the requirements of the elements and performance criteria on at least two separate occasions and include: </w:t>
            </w:r>
          </w:p>
        </w:tc>
      </w:tr>
      <w:tr w:rsidTr="00C06B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D8" w:rsidP="00C06BD8">
            <w:pPr>
              <w:pStyle w:val="ListBullet"/>
            </w:pPr>
            <w:r w:rsidRPr="00C06BD8">
              <w:t>applying rel</w:t>
            </w:r>
            <w:r w:rsidRPr="00C06BD8">
              <w:t>evant work health and safety (WHS)/occupational health and safety (OHS) requirements, including risk control measures</w:t>
            </w:r>
          </w:p>
          <w:p w:rsidR="00000000" w:rsidRPr="00C06BD8" w:rsidP="00C06BD8">
            <w:pPr>
              <w:pStyle w:val="ListBullet"/>
            </w:pPr>
            <w:r w:rsidRPr="00C06BD8">
              <w:t>applying relevant rail signalling regulations and codes</w:t>
            </w:r>
          </w:p>
          <w:p w:rsidR="00000000" w:rsidRPr="00C06BD8" w:rsidP="00C06BD8">
            <w:pPr>
              <w:pStyle w:val="ListBullet"/>
            </w:pPr>
            <w:r w:rsidRPr="00C06BD8">
              <w:t>applying relevant technical manuals and catalogues to workplace practices</w:t>
            </w:r>
          </w:p>
          <w:p w:rsidR="00000000" w:rsidRPr="00C06BD8" w:rsidP="00C06BD8">
            <w:pPr>
              <w:pStyle w:val="ListBullet"/>
            </w:pPr>
            <w:r w:rsidRPr="00C06BD8">
              <w:t>applying</w:t>
            </w:r>
            <w:r w:rsidRPr="00C06BD8">
              <w:t xml:space="preserve"> sustainable energy principles and practices </w:t>
            </w:r>
          </w:p>
          <w:p w:rsidR="00000000" w:rsidRPr="00C06BD8" w:rsidP="00C06BD8">
            <w:pPr>
              <w:pStyle w:val="ListBullet"/>
            </w:pPr>
            <w:r w:rsidRPr="00C06BD8">
              <w:t>assembling and wiring equipment to specified/technical workplace requirements</w:t>
            </w:r>
          </w:p>
          <w:p w:rsidR="00000000" w:rsidRPr="00C06BD8" w:rsidP="00C06BD8">
            <w:pPr>
              <w:pStyle w:val="ListBullet"/>
            </w:pPr>
            <w:r w:rsidRPr="00C06BD8">
              <w:t>completing the assembly and wiring of internal signalling equipment</w:t>
            </w:r>
          </w:p>
          <w:p w:rsidR="00000000" w:rsidRPr="00C06BD8" w:rsidP="00C06BD8">
            <w:pPr>
              <w:pStyle w:val="ListBullet"/>
            </w:pPr>
            <w:r w:rsidRPr="00C06BD8">
              <w:t>completing mandatory reporting</w:t>
            </w:r>
          </w:p>
          <w:p w:rsidR="00000000" w:rsidRPr="00C06BD8" w:rsidP="00C06BD8">
            <w:pPr>
              <w:pStyle w:val="ListBullet"/>
            </w:pPr>
            <w:r w:rsidRPr="00C06BD8">
              <w:t>completing relevant technical reports, records and documentation</w:t>
            </w:r>
          </w:p>
          <w:p w:rsidR="00000000" w:rsidRPr="00C06BD8" w:rsidP="00C06BD8">
            <w:pPr>
              <w:pStyle w:val="ListBullet"/>
            </w:pPr>
            <w:r w:rsidRPr="00C06BD8">
              <w:t>conducting mandatory tests and identifying non-conformance using effective workplace methods</w:t>
            </w:r>
          </w:p>
          <w:p w:rsidR="00000000" w:rsidRPr="00C06BD8" w:rsidP="00C06BD8">
            <w:pPr>
              <w:pStyle w:val="ListBullet"/>
            </w:pPr>
            <w:r w:rsidRPr="00C06BD8">
              <w:t xml:space="preserve">dealing with unplanned events/situations in accordance with workplace procedures in a manner that </w:t>
            </w:r>
            <w:r w:rsidRPr="00C06BD8">
              <w:t>minimises risk to personnel and equipment</w:t>
            </w:r>
          </w:p>
          <w:p w:rsidR="00000000" w:rsidRPr="00C06BD8" w:rsidP="00C06BD8">
            <w:pPr>
              <w:pStyle w:val="ListBullet"/>
            </w:pPr>
            <w:r w:rsidRPr="00C06BD8">
              <w:t>ensuring assembled/wired equipment operates to specifications</w:t>
            </w:r>
          </w:p>
          <w:p w:rsidR="00000000" w:rsidRPr="00C06BD8" w:rsidP="00C06BD8">
            <w:pPr>
              <w:pStyle w:val="ListBullet"/>
            </w:pPr>
            <w:r w:rsidRPr="00C06BD8">
              <w:t>following correct testing procedures</w:t>
            </w:r>
          </w:p>
          <w:p w:rsidR="00000000" w:rsidRPr="00C06BD8" w:rsidP="00C06BD8">
            <w:pPr>
              <w:pStyle w:val="ListBullet"/>
            </w:pPr>
            <w:r w:rsidRPr="00C06BD8">
              <w:t>following relevant codes of practice, WHS/OHS and environmental protection procedures and requirements</w:t>
            </w:r>
          </w:p>
          <w:p w:rsidR="00000000" w:rsidRPr="00C06BD8" w:rsidP="00C06BD8">
            <w:pPr>
              <w:pStyle w:val="ListBullet"/>
            </w:pPr>
            <w:r w:rsidRPr="00C06BD8">
              <w:t>interpreting</w:t>
            </w:r>
            <w:r w:rsidRPr="00C06BD8">
              <w:t xml:space="preserve"> signalling circuit diagrams</w:t>
            </w:r>
          </w:p>
          <w:p w:rsidR="00000000" w:rsidRPr="00C06BD8" w:rsidP="00C06BD8">
            <w:pPr>
              <w:pStyle w:val="ListBullet"/>
            </w:pPr>
            <w:r w:rsidRPr="00C06BD8">
              <w:t>interpreting specifications correctly</w:t>
            </w:r>
          </w:p>
          <w:p w:rsidR="00000000" w:rsidRPr="00C06BD8" w:rsidP="00C06BD8">
            <w:pPr>
              <w:pStyle w:val="ListBullet"/>
            </w:pPr>
            <w:r w:rsidRPr="00C06BD8">
              <w:t>preparing to assemble and wire internal signalling equipment</w:t>
            </w:r>
          </w:p>
          <w:p w:rsidR="00000000" w:rsidRPr="00C06BD8" w:rsidP="00C06BD8">
            <w:pPr>
              <w:pStyle w:val="ListBullet"/>
            </w:pPr>
            <w:r w:rsidRPr="00C06BD8">
              <w:t>using appropriate tools correctly and safely.</w:t>
            </w:r>
          </w:p>
        </w:tc>
      </w:tr>
    </w:tbl>
    <w:p w:rsidR="00000000" w:rsidRPr="00C06BD8" w:rsidP="00C06BD8">
      <w:pPr>
        <w:pStyle w:val="NoPaddingFontSize1"/>
      </w:pPr>
    </w:p>
    <w:p w:rsidR="00000000" w:rsidRPr="00C06BD8" w:rsidP="00C06BD8">
      <w:pPr>
        <w:pStyle w:val="AllowPageBreak"/>
      </w:pPr>
    </w:p>
    <w:p w:rsidR="00000000" w:rsidRPr="00C06BD8" w:rsidP="00C06BD8">
      <w:pPr>
        <w:pStyle w:val="Heading1"/>
      </w:pPr>
      <w:bookmarkStart w:id="3" w:name="O_1101096"/>
      <w:bookmarkEnd w:id="3"/>
      <w:r w:rsidRPr="00C06BD8">
        <w:t>Knowledge Evidence</w:t>
      </w:r>
    </w:p>
    <w:tbl>
      <w:tblPr>
        <w:tblW w:w="9497" w:type="dxa"/>
        <w:tblLayout w:type="fixed"/>
        <w:tblCellMar>
          <w:left w:w="62" w:type="dxa"/>
          <w:right w:w="62" w:type="dxa"/>
        </w:tblCellMar>
        <w:tblLook w:val="0000"/>
      </w:tblPr>
      <w:tblGrid>
        <w:gridCol w:w="9497"/>
      </w:tblGrid>
      <w:tr w:rsidTr="00C06B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6BD8">
            <w:pPr>
              <w:pStyle w:val="BodyText"/>
              <w:rPr>
                <w:lang w:val="en-NZ"/>
              </w:rPr>
            </w:pPr>
            <w:r w:rsidRPr="00C06BD8">
              <w:t>Evidence required to demonstrate competenc</w:t>
            </w:r>
            <w:r w:rsidRPr="00C06BD8">
              <w:t xml:space="preserve">e in this unit must be relevant to and satisfy all of the requirements of the elements and performance criteria and include knowledge of: </w:t>
            </w:r>
          </w:p>
        </w:tc>
      </w:tr>
      <w:tr w:rsidTr="00C06B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D8" w:rsidP="00C06BD8">
            <w:pPr>
              <w:pStyle w:val="ListBullet"/>
            </w:pPr>
            <w:r w:rsidRPr="00C06BD8">
              <w:t>electrical safe working practices and workplace procedures</w:t>
            </w:r>
          </w:p>
          <w:p w:rsidR="00000000" w:rsidRPr="00C06BD8" w:rsidP="00C06BD8">
            <w:pPr>
              <w:pStyle w:val="ListBullet"/>
            </w:pPr>
            <w:r w:rsidRPr="00C06BD8">
              <w:t>faults in inverters</w:t>
            </w:r>
          </w:p>
          <w:p w:rsidR="00000000" w:rsidRPr="00C06BD8" w:rsidP="00C06BD8">
            <w:pPr>
              <w:pStyle w:val="ListBullet"/>
            </w:pPr>
            <w:r w:rsidRPr="00C06BD8">
              <w:t>features and characteristic of inverters under load and no-load characteristics - circuit configuration, input and output wave forms, relationship between input and output voltages and output voltage under load conditions</w:t>
            </w:r>
          </w:p>
          <w:p w:rsidR="00000000" w:rsidRPr="00C06BD8" w:rsidP="00C06BD8">
            <w:pPr>
              <w:pStyle w:val="ListBullet"/>
            </w:pPr>
            <w:r w:rsidRPr="00C06BD8">
              <w:t>hazards associated with low voltag</w:t>
            </w:r>
            <w:r w:rsidRPr="00C06BD8">
              <w:t>e (LV), extra-low voltage (ELV) and high currents, including:</w:t>
            </w:r>
          </w:p>
          <w:p w:rsidR="00000000" w:rsidRPr="00C06BD8" w:rsidP="00C06BD8">
            <w:pPr>
              <w:pStyle w:val="ListBullet2"/>
            </w:pPr>
            <w:r w:rsidRPr="00C06BD8">
              <w:t>arrangement of power distribution and circuits in an electrical installation</w:t>
            </w:r>
          </w:p>
          <w:p w:rsidR="00000000" w:rsidRPr="00C06BD8" w:rsidP="00C06BD8">
            <w:pPr>
              <w:pStyle w:val="ListBullet2"/>
            </w:pPr>
            <w:r w:rsidRPr="00C06BD8">
              <w:t>parts of an electrical system and equipment that operate at LV and ELV</w:t>
            </w:r>
          </w:p>
          <w:p w:rsidR="00000000" w:rsidRPr="00C06BD8" w:rsidP="00C06BD8">
            <w:pPr>
              <w:pStyle w:val="ListBullet2"/>
            </w:pPr>
            <w:r w:rsidRPr="00C06BD8">
              <w:t>parts of an electrical system and equipment w</w:t>
            </w:r>
            <w:r w:rsidRPr="00C06BD8">
              <w:t xml:space="preserve">here high currents are likely </w:t>
            </w:r>
          </w:p>
          <w:p w:rsidR="00000000" w:rsidRPr="00C06BD8" w:rsidP="00C06BD8">
            <w:pPr>
              <w:pStyle w:val="ListBullet"/>
            </w:pPr>
            <w:r w:rsidRPr="00C06BD8">
              <w:t>linear and switch mode power supplies, including:</w:t>
            </w:r>
          </w:p>
          <w:p w:rsidR="00000000" w:rsidRPr="00C06BD8" w:rsidP="00C06BD8">
            <w:pPr>
              <w:pStyle w:val="ListBullet2"/>
            </w:pPr>
            <w:r w:rsidRPr="00C06BD8">
              <w:t xml:space="preserve">direct current (d.c.) to d.c. converters </w:t>
            </w:r>
          </w:p>
          <w:p w:rsidR="00000000" w:rsidRPr="00C06BD8" w:rsidP="00C06BD8">
            <w:pPr>
              <w:pStyle w:val="ListBullet2"/>
            </w:pPr>
            <w:r w:rsidRPr="00C06BD8">
              <w:t>diagnostic procedures to isolate faults</w:t>
            </w:r>
          </w:p>
          <w:p w:rsidR="00000000" w:rsidRPr="00C06BD8" w:rsidP="00C06BD8">
            <w:pPr>
              <w:pStyle w:val="ListBullet2"/>
            </w:pPr>
            <w:r w:rsidRPr="00C06BD8">
              <w:t>isolation requirements and circuitry</w:t>
            </w:r>
          </w:p>
          <w:p w:rsidR="00000000" w:rsidRPr="00C06BD8" w:rsidP="00C06BD8">
            <w:pPr>
              <w:pStyle w:val="ListBullet2"/>
            </w:pPr>
            <w:r w:rsidRPr="00C06BD8">
              <w:t>characteristics of switched mode power supplies</w:t>
            </w:r>
          </w:p>
          <w:p w:rsidR="00000000" w:rsidRPr="00C06BD8" w:rsidP="00C06BD8">
            <w:pPr>
              <w:pStyle w:val="ListBullet2"/>
            </w:pPr>
            <w:r w:rsidRPr="00C06BD8">
              <w:t xml:space="preserve">operation of step-down and step-up regulators, variable frequency and pulse width modulated regulation techniques, and switched mode power supplies </w:t>
            </w:r>
          </w:p>
          <w:p w:rsidR="00000000" w:rsidRPr="00C06BD8" w:rsidP="00C06BD8">
            <w:pPr>
              <w:pStyle w:val="ListBullet2"/>
            </w:pPr>
            <w:r w:rsidRPr="00C06BD8">
              <w:t>radiation suppression circuitry</w:t>
            </w:r>
          </w:p>
          <w:p w:rsidR="00000000" w:rsidRPr="00C06BD8" w:rsidP="00C06BD8">
            <w:pPr>
              <w:pStyle w:val="ListBullet"/>
            </w:pPr>
            <w:r w:rsidRPr="00C06BD8">
              <w:t>mechanical rail signalling principles, including:</w:t>
            </w:r>
          </w:p>
          <w:p w:rsidR="00000000" w:rsidRPr="00C06BD8" w:rsidP="00C06BD8">
            <w:pPr>
              <w:pStyle w:val="ListBullet2"/>
            </w:pPr>
            <w:r w:rsidRPr="00C06BD8">
              <w:t>overview and purpose of</w:t>
            </w:r>
            <w:r w:rsidRPr="00C06BD8">
              <w:t xml:space="preserve"> elements - signals, point actuating systems, locking and train detection systems, control input devices, indicators, diagrams and monitors, interlocking and safe working systems</w:t>
            </w:r>
          </w:p>
          <w:p w:rsidR="00000000" w:rsidRPr="00C06BD8" w:rsidP="00C06BD8">
            <w:pPr>
              <w:pStyle w:val="ListBullet"/>
            </w:pPr>
            <w:r w:rsidRPr="00C06BD8">
              <w:t>mechanical rail signalling equipment including:</w:t>
            </w:r>
          </w:p>
          <w:p w:rsidR="00000000" w:rsidRPr="00C06BD8" w:rsidP="00C06BD8">
            <w:pPr>
              <w:pStyle w:val="ListBullet2"/>
            </w:pPr>
            <w:r w:rsidRPr="00C06BD8">
              <w:t>equipment and their compone</w:t>
            </w:r>
            <w:r w:rsidRPr="00C06BD8">
              <w:t>nts, operating principles and servicing procedures</w:t>
            </w:r>
          </w:p>
          <w:p w:rsidR="00000000" w:rsidRPr="00C06BD8" w:rsidP="00C06BD8">
            <w:pPr>
              <w:pStyle w:val="ListBullet"/>
            </w:pPr>
            <w:r w:rsidRPr="00C06BD8">
              <w:t xml:space="preserve">optical fibre safety, including: </w:t>
            </w:r>
          </w:p>
          <w:p w:rsidR="00000000" w:rsidRPr="00C06BD8" w:rsidP="00C06BD8">
            <w:pPr>
              <w:pStyle w:val="ListBullet2"/>
            </w:pPr>
            <w:r w:rsidRPr="00C06BD8">
              <w:t xml:space="preserve">coherent optical sources and joining procedures </w:t>
            </w:r>
          </w:p>
          <w:p w:rsidR="00000000" w:rsidRPr="00C06BD8" w:rsidP="00C06BD8">
            <w:pPr>
              <w:pStyle w:val="ListBullet2"/>
            </w:pPr>
            <w:r w:rsidRPr="00C06BD8">
              <w:t>laser safety class 3a devices or equivalent</w:t>
            </w:r>
          </w:p>
          <w:p w:rsidR="00000000" w:rsidRPr="00C06BD8" w:rsidP="00C06BD8">
            <w:pPr>
              <w:pStyle w:val="ListBullet"/>
            </w:pPr>
            <w:r w:rsidRPr="00C06BD8">
              <w:t>rail signalling, drawings and diagrams, including layouts, conventions and symbols</w:t>
            </w:r>
          </w:p>
          <w:p w:rsidR="00000000" w:rsidRPr="00C06BD8" w:rsidP="00C06BD8">
            <w:pPr>
              <w:pStyle w:val="ListBullet"/>
            </w:pPr>
            <w:r w:rsidRPr="00C06BD8">
              <w:t>rail signalling and electro-pneumatic equipment, including operating principles and parameters, and servicing procedures</w:t>
            </w:r>
          </w:p>
          <w:p w:rsidR="00000000" w:rsidRPr="00C06BD8" w:rsidP="00C06BD8">
            <w:pPr>
              <w:pStyle w:val="ListBullet"/>
            </w:pPr>
            <w:r w:rsidRPr="00C06BD8">
              <w:t>relevant cable and equipment schedules</w:t>
            </w:r>
          </w:p>
          <w:p w:rsidR="00000000" w:rsidRPr="00C06BD8" w:rsidP="00C06BD8">
            <w:pPr>
              <w:pStyle w:val="ListBullet"/>
            </w:pPr>
            <w:r w:rsidRPr="00C06BD8">
              <w:t xml:space="preserve">relevant job </w:t>
            </w:r>
            <w:r w:rsidRPr="00C06BD8">
              <w:t>safety assessments/risk mitigation processes</w:t>
            </w:r>
          </w:p>
          <w:p w:rsidR="00000000" w:rsidRPr="00C06BD8" w:rsidP="00C06BD8">
            <w:pPr>
              <w:pStyle w:val="ListBullet"/>
            </w:pPr>
            <w:r w:rsidRPr="00C06BD8">
              <w:t>relevant principles and purposes of risk management</w:t>
            </w:r>
          </w:p>
          <w:p w:rsidR="00000000" w:rsidRPr="00C06BD8" w:rsidP="00C06BD8">
            <w:pPr>
              <w:pStyle w:val="ListBullet"/>
            </w:pPr>
            <w:r w:rsidRPr="00C06BD8">
              <w:t>relevant processes for conducting a risk assessment</w:t>
            </w:r>
          </w:p>
          <w:p w:rsidR="00000000" w:rsidRPr="00C06BD8" w:rsidP="00C06BD8">
            <w:pPr>
              <w:pStyle w:val="ListBullet"/>
            </w:pPr>
            <w:r w:rsidRPr="00C06BD8">
              <w:t>relevant manufacturer specifications</w:t>
            </w:r>
          </w:p>
          <w:p w:rsidR="00000000" w:rsidRPr="00C06BD8" w:rsidP="00C06BD8">
            <w:pPr>
              <w:pStyle w:val="ListBullet"/>
            </w:pPr>
            <w:r w:rsidRPr="00C06BD8">
              <w:t>relevant rail safe working practices, protection and management</w:t>
            </w:r>
          </w:p>
          <w:p w:rsidR="00000000" w:rsidRPr="00C06BD8" w:rsidP="00C06BD8">
            <w:pPr>
              <w:pStyle w:val="ListBullet"/>
            </w:pPr>
            <w:r w:rsidRPr="00C06BD8">
              <w:t>releva</w:t>
            </w:r>
            <w:r w:rsidRPr="00C06BD8">
              <w:t>nt rail signalling, regulations and codes of practice</w:t>
            </w:r>
          </w:p>
          <w:p w:rsidR="00000000" w:rsidRPr="00C06BD8" w:rsidP="00C06BD8">
            <w:pPr>
              <w:pStyle w:val="ListBullet"/>
            </w:pPr>
            <w:r w:rsidRPr="00C06BD8">
              <w:t>relevant WHS/OHS legislated requirements</w:t>
            </w:r>
          </w:p>
          <w:p w:rsidR="00000000" w:rsidRPr="00C06BD8" w:rsidP="00C06BD8">
            <w:pPr>
              <w:pStyle w:val="ListBullet"/>
            </w:pPr>
            <w:r w:rsidRPr="00C06BD8">
              <w:t>relevant workplace documentation, manuals and catalogues</w:t>
            </w:r>
          </w:p>
          <w:p w:rsidR="00000000" w:rsidRPr="00C06BD8" w:rsidP="00C06BD8">
            <w:pPr>
              <w:pStyle w:val="ListBullet"/>
            </w:pPr>
            <w:r w:rsidRPr="00C06BD8">
              <w:t>relevant workplace policies and procedures</w:t>
            </w:r>
          </w:p>
          <w:p w:rsidR="00000000" w:rsidRPr="00C06BD8" w:rsidP="00C06BD8">
            <w:pPr>
              <w:pStyle w:val="ListBullet"/>
            </w:pPr>
            <w:r w:rsidRPr="00C06BD8">
              <w:t xml:space="preserve">risks and control measures associated with harmful dusts and </w:t>
            </w:r>
            <w:r w:rsidRPr="00C06BD8">
              <w:t>airborne contaminants - thermal insulation, fibrous cement materials and asbestos, and other fibre reinforced switchboard materials</w:t>
            </w:r>
          </w:p>
          <w:p w:rsidR="00000000" w:rsidRPr="00C06BD8" w:rsidP="00C06BD8">
            <w:pPr>
              <w:pStyle w:val="ListBullet"/>
            </w:pPr>
            <w:r w:rsidRPr="00C06BD8">
              <w:t xml:space="preserve">risks and control measures associated with LV, including: </w:t>
            </w:r>
          </w:p>
          <w:p w:rsidR="00000000" w:rsidRPr="00C06BD8" w:rsidP="00C06BD8">
            <w:pPr>
              <w:pStyle w:val="ListBullet2"/>
            </w:pPr>
            <w:r w:rsidRPr="00C06BD8">
              <w:t>control measures before, during and after working on electrical installations, circuits or equipment</w:t>
            </w:r>
          </w:p>
          <w:p w:rsidR="00000000" w:rsidRPr="00C06BD8" w:rsidP="00C06BD8">
            <w:pPr>
              <w:pStyle w:val="ListBullet2"/>
            </w:pPr>
            <w:r w:rsidRPr="00C06BD8">
              <w:t>control measures for working live</w:t>
            </w:r>
          </w:p>
          <w:p w:rsidR="00000000" w:rsidRPr="00C06BD8" w:rsidP="00C06BD8">
            <w:pPr>
              <w:pStyle w:val="ListBullet2"/>
            </w:pPr>
            <w:r w:rsidRPr="00C06BD8">
              <w:t xml:space="preserve">isolation and tagging-off procedures </w:t>
            </w:r>
          </w:p>
          <w:p w:rsidR="00000000" w:rsidRPr="00C06BD8" w:rsidP="00C06BD8">
            <w:pPr>
              <w:pStyle w:val="ListBullet2"/>
            </w:pPr>
            <w:r w:rsidRPr="00C06BD8">
              <w:t xml:space="preserve">risks and restrictions in working live </w:t>
            </w:r>
          </w:p>
          <w:p w:rsidR="00000000" w:rsidRPr="00C06BD8" w:rsidP="00C06BD8">
            <w:pPr>
              <w:pStyle w:val="ListBullet2"/>
            </w:pPr>
            <w:r w:rsidRPr="00C06BD8">
              <w:t xml:space="preserve">risks associated with modifying electrical </w:t>
            </w:r>
            <w:r w:rsidRPr="00C06BD8">
              <w:t>installations, fault finding, maintenance and repair</w:t>
            </w:r>
          </w:p>
          <w:p w:rsidR="00000000" w:rsidRPr="00C06BD8" w:rsidP="00C06BD8">
            <w:pPr>
              <w:pStyle w:val="ListBullet"/>
            </w:pPr>
            <w:r w:rsidRPr="00C06BD8">
              <w:t xml:space="preserve">risks and control measures associated with high voltage (HV), including: </w:t>
            </w:r>
          </w:p>
          <w:p w:rsidR="00000000" w:rsidRPr="00C06BD8" w:rsidP="00C06BD8">
            <w:pPr>
              <w:pStyle w:val="ListBullet2"/>
            </w:pPr>
            <w:r w:rsidRPr="00C06BD8">
              <w:t xml:space="preserve">parts of an electrical system and equipment that operate at HV </w:t>
            </w:r>
          </w:p>
          <w:p w:rsidR="00000000" w:rsidRPr="00C06BD8" w:rsidP="00C06BD8">
            <w:pPr>
              <w:pStyle w:val="ListBullet2"/>
            </w:pPr>
            <w:r w:rsidRPr="00C06BD8">
              <w:t>terms ‘touch voltage’, ‘step voltage’, ‘induced voltage’ and ‘c</w:t>
            </w:r>
            <w:r w:rsidRPr="00C06BD8">
              <w:t>reepage’ as they relate to the hazards of HV, and control measures used for dealing with the hazards of HV</w:t>
            </w:r>
          </w:p>
          <w:p w:rsidR="00000000" w:rsidRPr="00C06BD8" w:rsidP="00C06BD8">
            <w:pPr>
              <w:pStyle w:val="ListBullet"/>
            </w:pPr>
            <w:r w:rsidRPr="00C06BD8">
              <w:t xml:space="preserve">safety, selection, use, maintenance and care of test equipment, including: </w:t>
            </w:r>
          </w:p>
          <w:p w:rsidR="00000000" w:rsidRPr="00C06BD8" w:rsidP="00C06BD8">
            <w:pPr>
              <w:pStyle w:val="ListBullet2"/>
            </w:pPr>
            <w:r w:rsidRPr="00C06BD8">
              <w:t>checks and storage methods for maintaining the safety of testing device</w:t>
            </w:r>
            <w:r w:rsidRPr="00C06BD8">
              <w:t>s</w:t>
            </w:r>
          </w:p>
          <w:p w:rsidR="00000000" w:rsidRPr="00C06BD8" w:rsidP="00C06BD8">
            <w:pPr>
              <w:pStyle w:val="ListBullet2"/>
            </w:pPr>
            <w:r w:rsidRPr="00C06BD8">
              <w:t>safety characteristics and safe use of electrical testing devices</w:t>
            </w:r>
          </w:p>
          <w:p w:rsidR="00000000" w:rsidRPr="00C06BD8" w:rsidP="00C06BD8">
            <w:pPr>
              <w:pStyle w:val="ListBullet"/>
            </w:pPr>
            <w:r w:rsidRPr="00C06BD8">
              <w:t>typical applications of inverters.</w:t>
            </w:r>
          </w:p>
        </w:tc>
      </w:tr>
    </w:tbl>
    <w:p w:rsidR="00000000" w:rsidRPr="00C06BD8" w:rsidP="00C06BD8">
      <w:pPr>
        <w:pStyle w:val="NoPaddingFontSize1"/>
      </w:pPr>
    </w:p>
    <w:p w:rsidR="00000000" w:rsidRPr="00C06BD8" w:rsidP="00C06BD8">
      <w:pPr>
        <w:pStyle w:val="AllowPageBreak"/>
      </w:pPr>
    </w:p>
    <w:p w:rsidR="00000000" w:rsidRPr="00C06BD8" w:rsidP="00C06BD8">
      <w:pPr>
        <w:pStyle w:val="Heading1"/>
      </w:pPr>
      <w:bookmarkStart w:id="4" w:name="O_1101097"/>
      <w:bookmarkEnd w:id="4"/>
      <w:r w:rsidRPr="00C06BD8">
        <w:t>Assessment Conditions</w:t>
      </w:r>
    </w:p>
    <w:tbl>
      <w:tblPr>
        <w:tblW w:w="9497" w:type="dxa"/>
        <w:tblLayout w:type="fixed"/>
        <w:tblCellMar>
          <w:left w:w="62" w:type="dxa"/>
          <w:right w:w="62" w:type="dxa"/>
        </w:tblCellMar>
        <w:tblLook w:val="0000"/>
      </w:tblPr>
      <w:tblGrid>
        <w:gridCol w:w="9497"/>
      </w:tblGrid>
      <w:tr w:rsidTr="00C06B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BD8" w:rsidP="00C06BD8">
            <w:pPr>
              <w:pStyle w:val="BodyText"/>
            </w:pPr>
            <w:r w:rsidRPr="00C06BD8">
              <w:t xml:space="preserve">Assessors must hold credentials specified within the Standards for Registered Training Organisations current at the time of assessment. </w:t>
            </w:r>
          </w:p>
          <w:p w:rsidR="00000000" w:rsidRPr="00C06BD8" w:rsidP="00C06BD8">
            <w:pPr>
              <w:pStyle w:val="BodyText"/>
            </w:pPr>
            <w:r w:rsidRPr="00C06BD8">
              <w:t>Assessment must satisfy the Principles of Assessment and Rules of Evidence and all regulatory requirements included wit</w:t>
            </w:r>
            <w:r w:rsidRPr="00C06BD8">
              <w:t>hin the Standards for Registered Training Organisations current at the time of assessment.</w:t>
            </w:r>
          </w:p>
          <w:p w:rsidR="00000000" w:rsidRPr="00C06BD8" w:rsidP="00C06BD8">
            <w:pPr>
              <w:pStyle w:val="BodyText"/>
            </w:pPr>
            <w:r w:rsidRPr="00C06BD8">
              <w:t>Assessment must occur in suitable workplace operational situations where it is appropriate to do so; where this is not appropriate, assessment must occur in simulate</w:t>
            </w:r>
            <w:r w:rsidRPr="00C06BD8">
              <w:t>d suitable workplace operational situations that replicate workplace conditions.</w:t>
            </w:r>
          </w:p>
          <w:p w:rsidR="00000000" w:rsidRPr="00C06BD8" w:rsidP="00C06BD8">
            <w:pPr>
              <w:pStyle w:val="BodyText"/>
            </w:pPr>
            <w:r w:rsidRPr="00C06BD8">
              <w:t>Assessment processes and techniques must be appropriate to the language, literacy and numeracy requirements of the work being performed and the needs of the candidate.</w:t>
            </w:r>
          </w:p>
          <w:p w:rsidR="00000000" w:rsidRPr="00C06BD8" w:rsidP="00C06BD8">
            <w:pPr>
              <w:pStyle w:val="BodyText"/>
            </w:pPr>
            <w:r w:rsidRPr="00C06BD8">
              <w:t>Resourc</w:t>
            </w:r>
            <w:r w:rsidRPr="00C06BD8">
              <w:t>es for assessment must include access to:</w:t>
            </w:r>
          </w:p>
          <w:p w:rsidR="00000000" w:rsidRPr="00C06BD8" w:rsidP="00C06BD8">
            <w:pPr>
              <w:pStyle w:val="ListBullet"/>
            </w:pPr>
            <w:r w:rsidRPr="00C06BD8">
              <w:t>a range of relevant exercises, case studies and/or other simulations</w:t>
            </w:r>
          </w:p>
          <w:p w:rsidR="00000000" w:rsidRPr="00C06BD8" w:rsidP="00C06BD8">
            <w:pPr>
              <w:pStyle w:val="ListBullet"/>
            </w:pPr>
            <w:r w:rsidRPr="00C06BD8">
              <w:t xml:space="preserve">relevant and appropriate materials, tools, facilities, equipment and personal protective equipment (PPE) currently used in industry </w:t>
            </w:r>
          </w:p>
          <w:p w:rsidR="00000000" w:rsidRPr="00C06BD8" w:rsidP="00C06BD8">
            <w:pPr>
              <w:pStyle w:val="ListBullet"/>
            </w:pPr>
            <w:r w:rsidRPr="00C06BD8">
              <w:t>relay, rack</w:t>
            </w:r>
            <w:r w:rsidRPr="00C06BD8">
              <w:t>s/frames/enclosures, switch circuit controllers, telephone technology and vital computer-based interlocking modules</w:t>
            </w:r>
          </w:p>
          <w:p w:rsidR="00000000" w:rsidRPr="00C06BD8" w:rsidP="00C06BD8">
            <w:pPr>
              <w:pStyle w:val="ListBullet"/>
            </w:pPr>
            <w:r w:rsidRPr="00C06BD8">
              <w:t>applicable documentation, including workplace procedures, equipment specifications, regulations, codes of practice and operation manuals.</w:t>
            </w:r>
          </w:p>
        </w:tc>
      </w:tr>
    </w:tbl>
    <w:p w:rsidR="00000000" w:rsidRPr="00C06BD8" w:rsidP="00C06BD8">
      <w:pPr>
        <w:pStyle w:val="NoPaddingFontSize1"/>
      </w:pPr>
    </w:p>
    <w:p w:rsidR="00000000" w:rsidRPr="00C06BD8" w:rsidP="00C06BD8">
      <w:pPr>
        <w:pStyle w:val="AllowPageBreak"/>
      </w:pPr>
    </w:p>
    <w:p w:rsidR="00000000" w:rsidRPr="00C06BD8" w:rsidP="00C06BD8">
      <w:pPr>
        <w:pStyle w:val="Heading1"/>
      </w:pPr>
      <w:bookmarkStart w:id="5" w:name="O_1101100"/>
      <w:bookmarkEnd w:id="5"/>
      <w:r w:rsidRPr="00C06BD8">
        <w:t>Links</w:t>
      </w:r>
    </w:p>
    <w:p w:rsidR="00000000" w:rsidRPr="00C06BD8" w:rsidP="00C357F1">
      <w:pPr>
        <w:pStyle w:val="BodyText"/>
      </w:pPr>
      <w:r w:rsidRPr="00C06BD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26323">
        <w:rPr>
          <w:rStyle w:val="Hyperlink"/>
        </w:rPr>
        <w:t>https://vetnet.gov.au/Pages/TrainingDocs.aspx?q=b8a8f136-5421-4ce1-92e0-2b50341431b6</w:t>
      </w:r>
      <w:r>
        <w:fldChar w:fldCharType="end"/>
      </w:r>
    </w:p>
    <w:p w:rsidR="00000000" w:rsidRPr="00C06BD8" w:rsidP="00C06BD8"/>
    <w:sectPr w:rsidSect="00C06B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D8" w:rsidRPr="00C357F1" w:rsidP="00C35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F1" w:rsidP="00C06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57F1" w:rsidP="00C06B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357F1" w:rsidP="00C06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BD8" w:rsidRPr="00C357F1" w:rsidP="00C35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F1" w:rsidRPr="002D2AF8" w:rsidP="00C06BD8">
    <w:pPr>
      <w:pStyle w:val="Header"/>
      <w:framePr w:wrap="around"/>
    </w:pPr>
    <w:r>
      <w:fldChar w:fldCharType="begin"/>
    </w:r>
    <w:r>
      <w:instrText xml:space="preserve"> TITLE   \* MERGEFORMAT </w:instrText>
    </w:r>
    <w:r>
      <w:fldChar w:fldCharType="separate"/>
    </w:r>
    <w:r>
      <w:t>Assessment Requirements for UEERS0001 Assemble and wire internal electrical rail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357F1" w:rsidP="00C06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4F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6D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BED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BD8"/>
    <w:pPr>
      <w:spacing w:before="360" w:after="60"/>
      <w:outlineLvl w:val="0"/>
    </w:pPr>
    <w:rPr>
      <w:sz w:val="32"/>
    </w:rPr>
  </w:style>
  <w:style w:type="paragraph" w:styleId="Heading2">
    <w:name w:val="heading 2"/>
    <w:basedOn w:val="HeadingBase"/>
    <w:next w:val="BodyText"/>
    <w:link w:val="Heading2Char"/>
    <w:qFormat/>
    <w:rsid w:val="00C06BD8"/>
    <w:pPr>
      <w:keepLines/>
      <w:spacing w:before="240" w:after="120"/>
      <w:outlineLvl w:val="1"/>
    </w:pPr>
    <w:rPr>
      <w:sz w:val="28"/>
      <w:szCs w:val="40"/>
    </w:rPr>
  </w:style>
  <w:style w:type="paragraph" w:styleId="Heading3">
    <w:name w:val="heading 3"/>
    <w:basedOn w:val="HeadingBase"/>
    <w:next w:val="BodyText"/>
    <w:link w:val="Heading3Char"/>
    <w:qFormat/>
    <w:rsid w:val="00C06BD8"/>
    <w:pPr>
      <w:spacing w:before="180" w:after="120"/>
      <w:outlineLvl w:val="2"/>
    </w:pPr>
    <w:rPr>
      <w:spacing w:val="-10"/>
      <w:kern w:val="32"/>
    </w:rPr>
  </w:style>
  <w:style w:type="paragraph" w:styleId="Heading4">
    <w:name w:val="heading 4"/>
    <w:basedOn w:val="HeadingBase"/>
    <w:next w:val="BodyText"/>
    <w:link w:val="Heading4Char"/>
    <w:qFormat/>
    <w:rsid w:val="00C06BD8"/>
    <w:pPr>
      <w:spacing w:before="160" w:after="120"/>
      <w:outlineLvl w:val="3"/>
    </w:pPr>
    <w:rPr>
      <w:sz w:val="22"/>
    </w:rPr>
  </w:style>
  <w:style w:type="paragraph" w:styleId="Heading5">
    <w:name w:val="heading 5"/>
    <w:basedOn w:val="HeadingBase"/>
    <w:next w:val="Normal"/>
    <w:link w:val="Heading5Char"/>
    <w:qFormat/>
    <w:rsid w:val="00C06BD8"/>
    <w:pPr>
      <w:spacing w:before="80"/>
      <w:outlineLvl w:val="4"/>
    </w:pPr>
    <w:rPr>
      <w:color w:val="918585"/>
      <w:sz w:val="20"/>
    </w:rPr>
  </w:style>
  <w:style w:type="paragraph" w:styleId="Heading6">
    <w:name w:val="heading 6"/>
    <w:basedOn w:val="HeadingBase"/>
    <w:next w:val="Normal"/>
    <w:link w:val="Heading6Char"/>
    <w:qFormat/>
    <w:rsid w:val="00C06BD8"/>
    <w:pPr>
      <w:spacing w:before="60"/>
      <w:outlineLvl w:val="5"/>
    </w:pPr>
    <w:rPr>
      <w:color w:val="918585"/>
      <w:sz w:val="20"/>
    </w:rPr>
  </w:style>
  <w:style w:type="paragraph" w:styleId="Heading7">
    <w:name w:val="heading 7"/>
    <w:basedOn w:val="Normal"/>
    <w:next w:val="Normal"/>
    <w:link w:val="Heading7Char"/>
    <w:qFormat/>
    <w:rsid w:val="00C06BD8"/>
    <w:pPr>
      <w:ind w:left="720"/>
      <w:outlineLvl w:val="6"/>
    </w:pPr>
    <w:rPr>
      <w:i/>
    </w:rPr>
  </w:style>
  <w:style w:type="paragraph" w:styleId="Heading8">
    <w:name w:val="heading 8"/>
    <w:basedOn w:val="Normal"/>
    <w:next w:val="Normal"/>
    <w:link w:val="Heading8Char"/>
    <w:qFormat/>
    <w:rsid w:val="00C06BD8"/>
    <w:pPr>
      <w:ind w:left="720"/>
      <w:outlineLvl w:val="7"/>
    </w:pPr>
    <w:rPr>
      <w:i/>
    </w:rPr>
  </w:style>
  <w:style w:type="paragraph" w:styleId="Heading9">
    <w:name w:val="heading 9"/>
    <w:basedOn w:val="Normal"/>
    <w:next w:val="Normal"/>
    <w:link w:val="Heading9Char"/>
    <w:qFormat/>
    <w:rsid w:val="00C06BD8"/>
    <w:pPr>
      <w:ind w:left="720"/>
      <w:outlineLvl w:val="8"/>
    </w:pPr>
    <w:rPr>
      <w:i/>
    </w:rPr>
  </w:style>
  <w:style w:type="character" w:default="1" w:styleId="DefaultParagraphFont">
    <w:name w:val="Default Paragraph Font"/>
    <w:uiPriority w:val="1"/>
    <w:unhideWhenUsed/>
    <w:rsid w:val="00C06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BD8"/>
  </w:style>
  <w:style w:type="character" w:customStyle="1" w:styleId="Heading1Char">
    <w:name w:val="Heading 1 Char"/>
    <w:basedOn w:val="DefaultParagraphFont"/>
    <w:link w:val="Heading1"/>
    <w:rsid w:val="00C06BD8"/>
    <w:rPr>
      <w:rFonts w:ascii="Times New Roman" w:eastAsia="Times New Roman" w:hAnsi="Times New Roman" w:cs="Times New Roman"/>
      <w:b/>
      <w:sz w:val="32"/>
      <w:szCs w:val="20"/>
      <w:lang w:eastAsia="en-US"/>
    </w:rPr>
  </w:style>
  <w:style w:type="paragraph" w:styleId="BodyText">
    <w:name w:val="Body Text"/>
    <w:basedOn w:val="Normal"/>
    <w:link w:val="BodyTextChar"/>
    <w:rsid w:val="00C06B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BD8"/>
    <w:rPr>
      <w:rFonts w:ascii="Times New Roman" w:eastAsia="Times New Roman" w:hAnsi="Times New Roman" w:cs="Times New Roman"/>
      <w:sz w:val="24"/>
      <w:lang w:eastAsia="en-US"/>
    </w:rPr>
  </w:style>
  <w:style w:type="paragraph" w:styleId="ListBullet">
    <w:name w:val="List Bullet"/>
    <w:basedOn w:val="List"/>
    <w:rsid w:val="00C06BD8"/>
    <w:pPr>
      <w:numPr>
        <w:numId w:val="12"/>
      </w:numPr>
      <w:tabs>
        <w:tab w:val="clear" w:pos="340"/>
      </w:tabs>
      <w:spacing w:before="40" w:after="40"/>
    </w:pPr>
  </w:style>
  <w:style w:type="paragraph" w:styleId="ListBullet2">
    <w:name w:val="List Bullet 2"/>
    <w:basedOn w:val="List2"/>
    <w:rsid w:val="00C06BD8"/>
    <w:pPr>
      <w:numPr>
        <w:numId w:val="13"/>
      </w:numPr>
      <w:tabs>
        <w:tab w:val="clear" w:pos="680"/>
      </w:tabs>
    </w:pPr>
  </w:style>
  <w:style w:type="paragraph" w:customStyle="1" w:styleId="SuperHeading">
    <w:name w:val="SuperHeading"/>
    <w:basedOn w:val="Normal"/>
    <w:rsid w:val="00C06BD8"/>
    <w:pPr>
      <w:spacing w:before="240" w:after="120"/>
      <w:outlineLvl w:val="0"/>
    </w:pPr>
    <w:rPr>
      <w:rFonts w:ascii="Times New Roman" w:hAnsi="Times New Roman"/>
      <w:b/>
      <w:sz w:val="32"/>
    </w:rPr>
  </w:style>
  <w:style w:type="paragraph" w:customStyle="1" w:styleId="AllowPageBreak">
    <w:name w:val="AllowPageBreak"/>
    <w:rsid w:val="00C06B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6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BD8"/>
    <w:rPr>
      <w:rFonts w:ascii="Courier New" w:eastAsia="Times New Roman" w:hAnsi="Courier New" w:cs="Times New Roman"/>
      <w:i/>
      <w:szCs w:val="20"/>
      <w:lang w:eastAsia="en-US"/>
    </w:rPr>
  </w:style>
  <w:style w:type="paragraph" w:customStyle="1" w:styleId="HeadingBase">
    <w:name w:val="Heading Base"/>
    <w:rsid w:val="00C06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BD8"/>
    <w:pPr>
      <w:tabs>
        <w:tab w:val="right" w:leader="dot" w:pos="9072"/>
      </w:tabs>
      <w:ind w:left="567"/>
    </w:pPr>
    <w:rPr>
      <w:szCs w:val="22"/>
    </w:rPr>
  </w:style>
  <w:style w:type="paragraph" w:customStyle="1" w:styleId="TOCBase">
    <w:name w:val="TOC Base"/>
    <w:rsid w:val="00C06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BD8"/>
    <w:pPr>
      <w:tabs>
        <w:tab w:val="right" w:leader="dot" w:pos="9072"/>
      </w:tabs>
      <w:spacing w:before="40" w:after="40"/>
      <w:ind w:left="284"/>
    </w:pPr>
    <w:rPr>
      <w:rFonts w:ascii="Times New Roman" w:hAnsi="Times New Roman"/>
    </w:rPr>
  </w:style>
  <w:style w:type="paragraph" w:styleId="TOC1">
    <w:name w:val="toc 1"/>
    <w:basedOn w:val="TOCBase"/>
    <w:next w:val="Normal"/>
    <w:rsid w:val="00C06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BD8"/>
    <w:rPr>
      <w:rFonts w:ascii="Times New Roman" w:eastAsia="Times New Roman" w:hAnsi="Times New Roman" w:cs="Times New Roman"/>
      <w:sz w:val="16"/>
      <w:lang w:eastAsia="en-US"/>
    </w:rPr>
  </w:style>
  <w:style w:type="paragraph" w:styleId="Title">
    <w:name w:val="Title"/>
    <w:basedOn w:val="HeadingBase"/>
    <w:link w:val="TitleChar"/>
    <w:qFormat/>
    <w:rsid w:val="00C06BD8"/>
    <w:pPr>
      <w:spacing w:before="5040"/>
      <w:jc w:val="center"/>
    </w:pPr>
    <w:rPr>
      <w:sz w:val="48"/>
      <w:szCs w:val="72"/>
      <w:lang w:val="en-US"/>
    </w:rPr>
  </w:style>
  <w:style w:type="character" w:customStyle="1" w:styleId="TitleChar">
    <w:name w:val="Title Char"/>
    <w:basedOn w:val="DefaultParagraphFont"/>
    <w:link w:val="Title"/>
    <w:rsid w:val="00C06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BD8"/>
    <w:pPr>
      <w:tabs>
        <w:tab w:val="left" w:pos="3600"/>
        <w:tab w:val="left" w:pos="3958"/>
      </w:tabs>
    </w:pPr>
  </w:style>
  <w:style w:type="paragraph" w:styleId="List">
    <w:name w:val="List"/>
    <w:basedOn w:val="BodyText"/>
    <w:next w:val="BodyText"/>
    <w:rsid w:val="00C06BD8"/>
    <w:pPr>
      <w:tabs>
        <w:tab w:val="left" w:pos="340"/>
      </w:tabs>
      <w:spacing w:before="60" w:after="60"/>
      <w:ind w:left="340" w:hanging="340"/>
    </w:pPr>
  </w:style>
  <w:style w:type="paragraph" w:customStyle="1" w:styleId="Note">
    <w:name w:val="Note"/>
    <w:basedOn w:val="BodyText"/>
    <w:rsid w:val="00C06B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6BD8"/>
    <w:rPr>
      <w:b/>
      <w:spacing w:val="0"/>
    </w:rPr>
  </w:style>
  <w:style w:type="paragraph" w:customStyle="1" w:styleId="SuperTitle">
    <w:name w:val="SuperTitle"/>
    <w:basedOn w:val="Title"/>
    <w:rsid w:val="00C06BD8"/>
    <w:pPr>
      <w:framePr w:wrap="auto" w:hAnchor="text" w:y="6049"/>
    </w:pPr>
    <w:rPr>
      <w:color w:val="000000"/>
      <w:sz w:val="40"/>
    </w:rPr>
  </w:style>
  <w:style w:type="paragraph" w:customStyle="1" w:styleId="TOCTitle">
    <w:name w:val="TOCTitle"/>
    <w:basedOn w:val="Heading1"/>
    <w:rsid w:val="00C06BD8"/>
    <w:pPr>
      <w:spacing w:after="240"/>
      <w:jc w:val="center"/>
      <w:outlineLvl w:val="9"/>
    </w:pPr>
    <w:rPr>
      <w:caps/>
    </w:rPr>
  </w:style>
  <w:style w:type="paragraph" w:customStyle="1" w:styleId="Version">
    <w:name w:val="Version"/>
    <w:rsid w:val="00C06B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BD8"/>
    <w:pPr>
      <w:keepNext w:val="0"/>
      <w:tabs>
        <w:tab w:val="right" w:pos="4176"/>
      </w:tabs>
      <w:ind w:left="198" w:hanging="198"/>
    </w:pPr>
    <w:rPr>
      <w:rFonts w:ascii="Garamond" w:hAnsi="Garamond"/>
    </w:rPr>
  </w:style>
  <w:style w:type="paragraph" w:styleId="IndexHeading">
    <w:name w:val="index heading"/>
    <w:basedOn w:val="Normal"/>
    <w:next w:val="Index1"/>
    <w:semiHidden/>
    <w:rsid w:val="00C06BD8"/>
    <w:pPr>
      <w:spacing w:before="120" w:after="120"/>
    </w:pPr>
    <w:rPr>
      <w:rFonts w:ascii="Arial" w:hAnsi="Arial"/>
      <w:b/>
      <w:color w:val="918585"/>
      <w:sz w:val="24"/>
    </w:rPr>
  </w:style>
  <w:style w:type="paragraph" w:styleId="Header">
    <w:name w:val="header"/>
    <w:basedOn w:val="Normal"/>
    <w:link w:val="HeaderChar"/>
    <w:rsid w:val="00C06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BD8"/>
    <w:rPr>
      <w:rFonts w:ascii="Times New Roman" w:eastAsia="Times New Roman" w:hAnsi="Times New Roman" w:cs="Times New Roman"/>
      <w:sz w:val="16"/>
      <w:szCs w:val="20"/>
      <w:lang w:val="en-GB" w:eastAsia="en-US"/>
    </w:rPr>
  </w:style>
  <w:style w:type="paragraph" w:customStyle="1" w:styleId="Chapter">
    <w:name w:val="Chapter"/>
    <w:basedOn w:val="Normal"/>
    <w:rsid w:val="00C06BD8"/>
    <w:pPr>
      <w:spacing w:before="240"/>
    </w:pPr>
    <w:rPr>
      <w:rFonts w:ascii="Times New Roman" w:hAnsi="Times New Roman"/>
      <w:smallCaps/>
      <w:spacing w:val="80"/>
      <w:sz w:val="28"/>
    </w:rPr>
  </w:style>
  <w:style w:type="paragraph" w:customStyle="1" w:styleId="InChapter">
    <w:name w:val="InChapter"/>
    <w:basedOn w:val="Heading3"/>
    <w:rsid w:val="00C06BD8"/>
    <w:pPr>
      <w:spacing w:after="240"/>
      <w:outlineLvl w:val="9"/>
    </w:pPr>
    <w:rPr>
      <w:noProof/>
    </w:rPr>
  </w:style>
  <w:style w:type="paragraph" w:styleId="Index2">
    <w:name w:val="index 2"/>
    <w:basedOn w:val="Normal"/>
    <w:next w:val="Normal"/>
    <w:semiHidden/>
    <w:rsid w:val="00C06BD8"/>
    <w:pPr>
      <w:tabs>
        <w:tab w:val="right" w:pos="4176"/>
      </w:tabs>
      <w:ind w:left="568" w:hanging="284"/>
    </w:pPr>
    <w:rPr>
      <w:rFonts w:ascii="Garamond" w:hAnsi="Garamond"/>
    </w:rPr>
  </w:style>
  <w:style w:type="paragraph" w:customStyle="1" w:styleId="Byline">
    <w:name w:val="Byline"/>
    <w:rsid w:val="00C06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BD8"/>
    <w:pPr>
      <w:tabs>
        <w:tab w:val="clear" w:pos="3600"/>
        <w:tab w:val="clear" w:pos="3958"/>
      </w:tabs>
      <w:jc w:val="right"/>
    </w:pPr>
  </w:style>
  <w:style w:type="character" w:styleId="Emphasis">
    <w:name w:val="Emphasis"/>
    <w:basedOn w:val="DefaultParagraphFont"/>
    <w:qFormat/>
    <w:rsid w:val="00C06BD8"/>
    <w:rPr>
      <w:i/>
    </w:rPr>
  </w:style>
  <w:style w:type="paragraph" w:styleId="Caption">
    <w:name w:val="caption"/>
    <w:basedOn w:val="BodyText"/>
    <w:next w:val="Normal"/>
    <w:qFormat/>
    <w:rsid w:val="00C06BD8"/>
    <w:pPr>
      <w:framePr w:w="2268" w:hSpace="181" w:vSpace="181" w:wrap="around" w:vAnchor="text" w:hAnchor="page" w:x="1135" w:y="285" w:anchorLock="1"/>
    </w:pPr>
    <w:rPr>
      <w:i/>
    </w:rPr>
  </w:style>
  <w:style w:type="paragraph" w:customStyle="1" w:styleId="MiniTOCTitle">
    <w:name w:val="MiniTOCTitle"/>
    <w:basedOn w:val="Heading4"/>
    <w:rsid w:val="00C06BD8"/>
    <w:pPr>
      <w:spacing w:before="240"/>
      <w:outlineLvl w:val="9"/>
    </w:pPr>
    <w:rPr>
      <w:noProof/>
      <w:sz w:val="24"/>
    </w:rPr>
  </w:style>
  <w:style w:type="paragraph" w:customStyle="1" w:styleId="MiniTOCItem">
    <w:name w:val="MiniTOCItem"/>
    <w:basedOn w:val="ListBullet"/>
    <w:rsid w:val="00C06BD8"/>
    <w:pPr>
      <w:numPr>
        <w:numId w:val="0"/>
      </w:numPr>
      <w:tabs>
        <w:tab w:val="right" w:leader="dot" w:pos="6521"/>
      </w:tabs>
      <w:spacing w:before="0" w:after="0"/>
    </w:pPr>
  </w:style>
  <w:style w:type="paragraph" w:customStyle="1" w:styleId="TOFTitle">
    <w:name w:val="TOFTitle"/>
    <w:basedOn w:val="TOCTitle"/>
    <w:rsid w:val="00C06BD8"/>
  </w:style>
  <w:style w:type="paragraph" w:styleId="TableofFigures">
    <w:name w:val="table of figures"/>
    <w:basedOn w:val="Normal"/>
    <w:next w:val="Normal"/>
    <w:semiHidden/>
    <w:rsid w:val="00C06BD8"/>
    <w:pPr>
      <w:tabs>
        <w:tab w:val="right" w:leader="dot" w:pos="9072"/>
      </w:tabs>
      <w:ind w:left="970" w:hanging="403"/>
    </w:pPr>
    <w:rPr>
      <w:rFonts w:ascii="Times New Roman" w:hAnsi="Times New Roman"/>
      <w:b/>
    </w:rPr>
  </w:style>
  <w:style w:type="paragraph" w:styleId="ListNumber">
    <w:name w:val="List Number"/>
    <w:basedOn w:val="List"/>
    <w:rsid w:val="00C06BD8"/>
    <w:pPr>
      <w:numPr>
        <w:numId w:val="15"/>
      </w:numPr>
      <w:tabs>
        <w:tab w:val="clear" w:pos="340"/>
      </w:tabs>
    </w:pPr>
  </w:style>
  <w:style w:type="character" w:customStyle="1" w:styleId="WingdingSymbols">
    <w:name w:val="Wingding Symbols"/>
    <w:rsid w:val="00C06BD8"/>
    <w:rPr>
      <w:rFonts w:ascii="Wingdings" w:hAnsi="Wingdings"/>
    </w:rPr>
  </w:style>
  <w:style w:type="paragraph" w:customStyle="1" w:styleId="TableHeading">
    <w:name w:val="Table Heading"/>
    <w:basedOn w:val="HeadingBase"/>
    <w:rsid w:val="00C06BD8"/>
    <w:pPr>
      <w:keepLines/>
      <w:pBdr>
        <w:bottom w:val="single" w:sz="6" w:space="1" w:color="918585"/>
      </w:pBdr>
      <w:spacing w:before="240"/>
    </w:pPr>
  </w:style>
  <w:style w:type="character" w:customStyle="1" w:styleId="HotSpot">
    <w:name w:val="HotSpot"/>
    <w:rsid w:val="00C06BD8"/>
    <w:rPr>
      <w:color w:val="0033CC"/>
      <w:u w:val="none"/>
    </w:rPr>
  </w:style>
  <w:style w:type="paragraph" w:customStyle="1" w:styleId="BodyTextRight">
    <w:name w:val="Body Text Right"/>
    <w:basedOn w:val="BodyText"/>
    <w:rsid w:val="00C06BD8"/>
    <w:pPr>
      <w:spacing w:before="0" w:after="0"/>
      <w:jc w:val="right"/>
    </w:pPr>
  </w:style>
  <w:style w:type="paragraph" w:styleId="Index3">
    <w:name w:val="index 3"/>
    <w:basedOn w:val="ListNumber2"/>
    <w:next w:val="Normal"/>
    <w:semiHidden/>
    <w:rsid w:val="00C06BD8"/>
    <w:pPr>
      <w:numPr>
        <w:numId w:val="0"/>
      </w:numPr>
      <w:tabs>
        <w:tab w:val="right" w:leader="dot" w:pos="4176"/>
      </w:tabs>
    </w:pPr>
  </w:style>
  <w:style w:type="paragraph" w:styleId="ListNumber2">
    <w:name w:val="List Number 2"/>
    <w:basedOn w:val="List2"/>
    <w:rsid w:val="00C06BD8"/>
    <w:pPr>
      <w:numPr>
        <w:numId w:val="10"/>
      </w:numPr>
      <w:tabs>
        <w:tab w:val="clear" w:pos="1060"/>
      </w:tabs>
    </w:pPr>
  </w:style>
  <w:style w:type="paragraph" w:customStyle="1" w:styleId="MarginNote">
    <w:name w:val="Margin Note"/>
    <w:basedOn w:val="BodyText"/>
    <w:rsid w:val="00C06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BD8"/>
    <w:rPr>
      <w:sz w:val="32"/>
    </w:rPr>
  </w:style>
  <w:style w:type="paragraph" w:customStyle="1" w:styleId="HeadingProcedure">
    <w:name w:val="Heading Procedure"/>
    <w:basedOn w:val="HeadingBase"/>
    <w:next w:val="Normal"/>
    <w:rsid w:val="00C06BD8"/>
    <w:pPr>
      <w:tabs>
        <w:tab w:val="left" w:pos="0"/>
      </w:tabs>
      <w:spacing w:before="120" w:after="60"/>
    </w:pPr>
    <w:rPr>
      <w:i/>
      <w:color w:val="918585"/>
      <w:sz w:val="22"/>
    </w:rPr>
  </w:style>
  <w:style w:type="paragraph" w:customStyle="1" w:styleId="TableBodyText">
    <w:name w:val="Table Body Text"/>
    <w:basedOn w:val="BodyText"/>
    <w:rsid w:val="00C06BD8"/>
    <w:pPr>
      <w:spacing w:before="60" w:after="60"/>
    </w:pPr>
  </w:style>
  <w:style w:type="paragraph" w:styleId="ListContinue">
    <w:name w:val="List Continue"/>
    <w:basedOn w:val="List"/>
    <w:rsid w:val="00C06BD8"/>
    <w:pPr>
      <w:ind w:firstLine="0"/>
    </w:pPr>
  </w:style>
  <w:style w:type="paragraph" w:customStyle="1" w:styleId="ListNote">
    <w:name w:val="List Note"/>
    <w:basedOn w:val="List"/>
    <w:rsid w:val="00C06BD8"/>
    <w:pPr>
      <w:pBdr>
        <w:top w:val="single" w:sz="6" w:space="2" w:color="918585"/>
        <w:bottom w:val="single" w:sz="6" w:space="2" w:color="918585"/>
      </w:pBdr>
      <w:tabs>
        <w:tab w:val="left" w:pos="1021"/>
      </w:tabs>
      <w:ind w:firstLine="0"/>
    </w:pPr>
  </w:style>
  <w:style w:type="paragraph" w:customStyle="1" w:styleId="Warning">
    <w:name w:val="Warning"/>
    <w:basedOn w:val="BodyText"/>
    <w:rsid w:val="00C06BD8"/>
    <w:pPr>
      <w:shd w:val="clear" w:color="auto" w:fill="D9D9D9"/>
      <w:tabs>
        <w:tab w:val="left" w:pos="992"/>
      </w:tabs>
      <w:ind w:left="119" w:right="119"/>
    </w:pPr>
    <w:rPr>
      <w:sz w:val="20"/>
    </w:rPr>
  </w:style>
  <w:style w:type="paragraph" w:customStyle="1" w:styleId="MarginIcons">
    <w:name w:val="Margin Icons"/>
    <w:basedOn w:val="BodyText"/>
    <w:rsid w:val="00C06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BD8"/>
    <w:rPr>
      <w:rFonts w:ascii="Courier New" w:hAnsi="Courier New"/>
    </w:rPr>
  </w:style>
  <w:style w:type="paragraph" w:customStyle="1" w:styleId="NoteBullet">
    <w:name w:val="Note Bullet"/>
    <w:basedOn w:val="Note"/>
    <w:rsid w:val="00C06BD8"/>
    <w:pPr>
      <w:tabs>
        <w:tab w:val="clear" w:pos="680"/>
      </w:tabs>
      <w:spacing w:before="60" w:after="60"/>
    </w:pPr>
  </w:style>
  <w:style w:type="paragraph" w:customStyle="1" w:styleId="SubHeading2">
    <w:name w:val="SubHeading2"/>
    <w:basedOn w:val="HeadingBase"/>
    <w:rsid w:val="00C06BD8"/>
    <w:pPr>
      <w:spacing w:before="240" w:after="60"/>
    </w:pPr>
    <w:rPr>
      <w:sz w:val="20"/>
    </w:rPr>
  </w:style>
  <w:style w:type="paragraph" w:customStyle="1" w:styleId="SubHeading1">
    <w:name w:val="SubHeading1"/>
    <w:basedOn w:val="HeadingBase"/>
    <w:rsid w:val="00C06BD8"/>
    <w:pPr>
      <w:spacing w:before="240" w:after="60"/>
    </w:pPr>
    <w:rPr>
      <w:color w:val="918585"/>
      <w:sz w:val="22"/>
    </w:rPr>
  </w:style>
  <w:style w:type="paragraph" w:customStyle="1" w:styleId="SideHeading">
    <w:name w:val="Side Heading"/>
    <w:basedOn w:val="HeadingBase"/>
    <w:rsid w:val="00C06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BD8"/>
    <w:pPr>
      <w:tabs>
        <w:tab w:val="num" w:pos="360"/>
      </w:tabs>
    </w:pPr>
  </w:style>
  <w:style w:type="paragraph" w:styleId="PlainText">
    <w:name w:val="Plain Text"/>
    <w:basedOn w:val="Normal"/>
    <w:link w:val="PlainTextChar"/>
    <w:rsid w:val="00C06BD8"/>
    <w:rPr>
      <w:sz w:val="20"/>
    </w:rPr>
  </w:style>
  <w:style w:type="character" w:customStyle="1" w:styleId="PlainTextChar">
    <w:name w:val="Plain Text Char"/>
    <w:basedOn w:val="DefaultParagraphFont"/>
    <w:link w:val="PlainText"/>
    <w:rsid w:val="00C06BD8"/>
    <w:rPr>
      <w:rFonts w:ascii="Courier New" w:eastAsia="Times New Roman" w:hAnsi="Courier New" w:cs="Times New Roman"/>
      <w:sz w:val="20"/>
      <w:szCs w:val="20"/>
      <w:lang w:eastAsia="en-US"/>
    </w:rPr>
  </w:style>
  <w:style w:type="character" w:customStyle="1" w:styleId="MenuOption">
    <w:name w:val="Menu Option"/>
    <w:basedOn w:val="DefaultParagraphFont"/>
    <w:rsid w:val="00C06BD8"/>
    <w:rPr>
      <w:b/>
      <w:smallCaps/>
    </w:rPr>
  </w:style>
  <w:style w:type="paragraph" w:customStyle="1" w:styleId="TableListNumber">
    <w:name w:val="Table List Number"/>
    <w:basedOn w:val="ListNumber"/>
    <w:rsid w:val="00C06BD8"/>
    <w:pPr>
      <w:numPr>
        <w:numId w:val="0"/>
      </w:numPr>
    </w:pPr>
  </w:style>
  <w:style w:type="paragraph" w:styleId="TOC4">
    <w:name w:val="toc 4"/>
    <w:basedOn w:val="TOCBase"/>
    <w:next w:val="Normal"/>
    <w:semiHidden/>
    <w:rsid w:val="00C06BD8"/>
    <w:pPr>
      <w:tabs>
        <w:tab w:val="right" w:leader="dot" w:pos="9071"/>
      </w:tabs>
      <w:ind w:left="1701"/>
    </w:pPr>
  </w:style>
  <w:style w:type="paragraph" w:customStyle="1" w:styleId="ListAlpha">
    <w:name w:val="List Alpha"/>
    <w:basedOn w:val="List"/>
    <w:rsid w:val="00C06BD8"/>
    <w:pPr>
      <w:numPr>
        <w:numId w:val="9"/>
      </w:numPr>
    </w:pPr>
  </w:style>
  <w:style w:type="paragraph" w:customStyle="1" w:styleId="ListAlpha2">
    <w:name w:val="List Alpha 2"/>
    <w:basedOn w:val="List2"/>
    <w:rsid w:val="00C06BD8"/>
    <w:pPr>
      <w:numPr>
        <w:numId w:val="8"/>
      </w:numPr>
    </w:pPr>
  </w:style>
  <w:style w:type="paragraph" w:styleId="List2">
    <w:name w:val="List 2"/>
    <w:basedOn w:val="BodyText"/>
    <w:rsid w:val="00C06BD8"/>
    <w:pPr>
      <w:tabs>
        <w:tab w:val="left" w:pos="680"/>
      </w:tabs>
      <w:spacing w:before="60" w:after="60"/>
      <w:ind w:left="680" w:hanging="340"/>
    </w:pPr>
  </w:style>
  <w:style w:type="paragraph" w:styleId="List3">
    <w:name w:val="List 3"/>
    <w:basedOn w:val="BodyText"/>
    <w:rsid w:val="00C06BD8"/>
    <w:pPr>
      <w:tabs>
        <w:tab w:val="left" w:pos="1021"/>
      </w:tabs>
      <w:spacing w:before="60" w:after="60"/>
      <w:ind w:left="1020" w:hanging="340"/>
    </w:pPr>
  </w:style>
  <w:style w:type="paragraph" w:styleId="List4">
    <w:name w:val="List 4"/>
    <w:basedOn w:val="BodyText"/>
    <w:rsid w:val="00C06BD8"/>
    <w:pPr>
      <w:tabs>
        <w:tab w:val="left" w:pos="1361"/>
      </w:tabs>
      <w:spacing w:before="60" w:after="60"/>
      <w:ind w:left="1361" w:hanging="340"/>
    </w:pPr>
  </w:style>
  <w:style w:type="paragraph" w:styleId="List5">
    <w:name w:val="List 5"/>
    <w:basedOn w:val="BodyText"/>
    <w:rsid w:val="00C06BD8"/>
    <w:pPr>
      <w:tabs>
        <w:tab w:val="left" w:pos="1701"/>
      </w:tabs>
      <w:spacing w:before="60" w:after="60"/>
      <w:ind w:left="1701" w:hanging="340"/>
    </w:pPr>
  </w:style>
  <w:style w:type="paragraph" w:styleId="ListBullet3">
    <w:name w:val="List Bullet 3"/>
    <w:basedOn w:val="List3"/>
    <w:rsid w:val="00C06BD8"/>
    <w:pPr>
      <w:numPr>
        <w:numId w:val="14"/>
      </w:numPr>
      <w:tabs>
        <w:tab w:val="clear" w:pos="1021"/>
      </w:tabs>
      <w:ind w:left="1037" w:hanging="357"/>
    </w:pPr>
  </w:style>
  <w:style w:type="paragraph" w:styleId="ListBullet4">
    <w:name w:val="List Bullet 4"/>
    <w:basedOn w:val="List4"/>
    <w:rsid w:val="00C06BD8"/>
    <w:pPr>
      <w:numPr>
        <w:numId w:val="3"/>
      </w:numPr>
      <w:tabs>
        <w:tab w:val="clear" w:pos="1361"/>
      </w:tabs>
    </w:pPr>
  </w:style>
  <w:style w:type="paragraph" w:styleId="ListBullet5">
    <w:name w:val="List Bullet 5"/>
    <w:basedOn w:val="List5"/>
    <w:rsid w:val="00C06BD8"/>
    <w:pPr>
      <w:numPr>
        <w:numId w:val="4"/>
      </w:numPr>
    </w:pPr>
  </w:style>
  <w:style w:type="paragraph" w:styleId="ListContinue2">
    <w:name w:val="List Continue 2"/>
    <w:basedOn w:val="List2"/>
    <w:rsid w:val="00C06BD8"/>
    <w:pPr>
      <w:ind w:firstLine="0"/>
    </w:pPr>
  </w:style>
  <w:style w:type="paragraph" w:styleId="ListContinue3">
    <w:name w:val="List Continue 3"/>
    <w:basedOn w:val="List3"/>
    <w:rsid w:val="00C06BD8"/>
    <w:pPr>
      <w:ind w:left="1021" w:firstLine="0"/>
    </w:pPr>
  </w:style>
  <w:style w:type="paragraph" w:styleId="ListContinue4">
    <w:name w:val="List Continue 4"/>
    <w:basedOn w:val="List4"/>
    <w:rsid w:val="00C06BD8"/>
    <w:pPr>
      <w:ind w:firstLine="0"/>
    </w:pPr>
  </w:style>
  <w:style w:type="paragraph" w:styleId="ListContinue5">
    <w:name w:val="List Continue 5"/>
    <w:basedOn w:val="List5"/>
    <w:rsid w:val="00C06BD8"/>
    <w:pPr>
      <w:ind w:firstLine="0"/>
    </w:pPr>
  </w:style>
  <w:style w:type="paragraph" w:styleId="ListNumber3">
    <w:name w:val="List Number 3"/>
    <w:basedOn w:val="List3"/>
    <w:rsid w:val="00C06BD8"/>
    <w:pPr>
      <w:numPr>
        <w:numId w:val="5"/>
      </w:numPr>
    </w:pPr>
  </w:style>
  <w:style w:type="paragraph" w:styleId="ListNumber4">
    <w:name w:val="List Number 4"/>
    <w:basedOn w:val="List4"/>
    <w:rsid w:val="00C06BD8"/>
    <w:pPr>
      <w:numPr>
        <w:numId w:val="6"/>
      </w:numPr>
    </w:pPr>
  </w:style>
  <w:style w:type="paragraph" w:styleId="ListNumber5">
    <w:name w:val="List Number 5"/>
    <w:basedOn w:val="List5"/>
    <w:rsid w:val="00C06BD8"/>
    <w:pPr>
      <w:numPr>
        <w:numId w:val="7"/>
      </w:numPr>
    </w:pPr>
  </w:style>
  <w:style w:type="paragraph" w:styleId="BlockText">
    <w:name w:val="Block Text"/>
    <w:basedOn w:val="Normal"/>
    <w:rsid w:val="00C06BD8"/>
    <w:pPr>
      <w:spacing w:after="120"/>
      <w:ind w:left="1440" w:right="1440"/>
    </w:pPr>
  </w:style>
  <w:style w:type="character" w:customStyle="1" w:styleId="Subscript">
    <w:name w:val="Subscript"/>
    <w:basedOn w:val="DefaultParagraphFont"/>
    <w:rsid w:val="00C06BD8"/>
    <w:rPr>
      <w:sz w:val="16"/>
      <w:vertAlign w:val="subscript"/>
    </w:rPr>
  </w:style>
  <w:style w:type="character" w:customStyle="1" w:styleId="Superscript">
    <w:name w:val="Superscript"/>
    <w:basedOn w:val="DefaultParagraphFont"/>
    <w:rsid w:val="00C06BD8"/>
    <w:rPr>
      <w:sz w:val="16"/>
      <w:vertAlign w:val="superscript"/>
    </w:rPr>
  </w:style>
  <w:style w:type="character" w:customStyle="1" w:styleId="Symbols">
    <w:name w:val="Symbols"/>
    <w:basedOn w:val="DefaultParagraphFont"/>
    <w:rsid w:val="00C06BD8"/>
    <w:rPr>
      <w:rFonts w:ascii="Symbol" w:hAnsi="Symbol"/>
    </w:rPr>
  </w:style>
  <w:style w:type="character" w:customStyle="1" w:styleId="MenuOptions">
    <w:name w:val="Menu Options"/>
    <w:basedOn w:val="DefaultParagraphFont"/>
    <w:rsid w:val="00C06BD8"/>
    <w:rPr>
      <w:rFonts w:ascii="Arial Narrow" w:hAnsi="Arial Narrow"/>
      <w:smallCaps/>
    </w:rPr>
  </w:style>
  <w:style w:type="character" w:customStyle="1" w:styleId="Buttons">
    <w:name w:val="Buttons"/>
    <w:basedOn w:val="DefaultParagraphFont"/>
    <w:rsid w:val="00C06BD8"/>
    <w:rPr>
      <w:b/>
    </w:rPr>
  </w:style>
  <w:style w:type="character" w:customStyle="1" w:styleId="Underlined">
    <w:name w:val="Underlined"/>
    <w:basedOn w:val="DefaultParagraphFont"/>
    <w:rsid w:val="00C06BD8"/>
    <w:rPr>
      <w:u w:val="single"/>
    </w:rPr>
  </w:style>
  <w:style w:type="paragraph" w:customStyle="1" w:styleId="TableBodyTextRight">
    <w:name w:val="Table Body Text Right"/>
    <w:basedOn w:val="TableBodyText"/>
    <w:rsid w:val="00C06BD8"/>
    <w:pPr>
      <w:widowControl w:val="0"/>
      <w:autoSpaceDE w:val="0"/>
      <w:autoSpaceDN w:val="0"/>
      <w:adjustRightInd w:val="0"/>
      <w:jc w:val="right"/>
    </w:pPr>
    <w:rPr>
      <w:rFonts w:cs="Arial"/>
      <w:szCs w:val="18"/>
    </w:rPr>
  </w:style>
  <w:style w:type="paragraph" w:customStyle="1" w:styleId="CopyrightText">
    <w:name w:val="Copyright Text"/>
    <w:basedOn w:val="BodyText"/>
    <w:rsid w:val="00C06BD8"/>
    <w:rPr>
      <w:sz w:val="18"/>
    </w:rPr>
  </w:style>
  <w:style w:type="paragraph" w:customStyle="1" w:styleId="BodySmallRight">
    <w:name w:val="Body Small Right"/>
    <w:basedOn w:val="BodyTextRight"/>
    <w:rsid w:val="00C06BD8"/>
    <w:rPr>
      <w:sz w:val="18"/>
      <w:szCs w:val="18"/>
    </w:rPr>
  </w:style>
  <w:style w:type="paragraph" w:customStyle="1" w:styleId="MarginEdition">
    <w:name w:val="Margin Edition"/>
    <w:basedOn w:val="MarginNote"/>
    <w:rsid w:val="00C06BD8"/>
    <w:pPr>
      <w:spacing w:before="0" w:after="0"/>
    </w:pPr>
    <w:rPr>
      <w:rFonts w:ascii="Times New Roman" w:hAnsi="Times New Roman"/>
      <w:color w:val="999999"/>
    </w:rPr>
  </w:style>
  <w:style w:type="paragraph" w:customStyle="1" w:styleId="Spacer">
    <w:name w:val="Spacer"/>
    <w:basedOn w:val="Normal"/>
    <w:rsid w:val="00C06BD8"/>
    <w:rPr>
      <w:sz w:val="2"/>
      <w:szCs w:val="2"/>
    </w:rPr>
  </w:style>
  <w:style w:type="character" w:customStyle="1" w:styleId="Small">
    <w:name w:val="Small"/>
    <w:basedOn w:val="DefaultParagraphFont"/>
    <w:rsid w:val="00C06BD8"/>
    <w:rPr>
      <w:sz w:val="16"/>
    </w:rPr>
  </w:style>
  <w:style w:type="paragraph" w:customStyle="1" w:styleId="WideTable">
    <w:name w:val="Wide Table"/>
    <w:basedOn w:val="Normal"/>
    <w:rsid w:val="00C06BD8"/>
    <w:pPr>
      <w:ind w:left="-1418"/>
    </w:pPr>
    <w:rPr>
      <w:sz w:val="2"/>
      <w:szCs w:val="2"/>
    </w:rPr>
  </w:style>
  <w:style w:type="character" w:styleId="PageNumber">
    <w:name w:val="page number"/>
    <w:basedOn w:val="DefaultParagraphFont"/>
    <w:rsid w:val="00C06BD8"/>
  </w:style>
  <w:style w:type="paragraph" w:styleId="Quote">
    <w:name w:val="Quote"/>
    <w:basedOn w:val="Heading1"/>
    <w:link w:val="QuoteChar"/>
    <w:qFormat/>
    <w:rsid w:val="00C06BD8"/>
    <w:rPr>
      <w:b w:val="0"/>
      <w:sz w:val="72"/>
      <w:szCs w:val="72"/>
      <w:lang w:val="en-NZ"/>
    </w:rPr>
  </w:style>
  <w:style w:type="character" w:customStyle="1" w:styleId="QuoteChar">
    <w:name w:val="Quote Char"/>
    <w:basedOn w:val="DefaultParagraphFont"/>
    <w:link w:val="Quote"/>
    <w:rsid w:val="00C06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BD8"/>
    <w:pPr>
      <w:pageBreakBefore/>
    </w:pPr>
  </w:style>
  <w:style w:type="paragraph" w:customStyle="1" w:styleId="Border">
    <w:name w:val="Border"/>
    <w:basedOn w:val="Normal"/>
    <w:qFormat/>
    <w:rsid w:val="00C06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BD8"/>
    <w:rPr>
      <w:b/>
      <w:bCs/>
      <w:i/>
      <w:iCs/>
      <w:color w:val="auto"/>
    </w:rPr>
  </w:style>
  <w:style w:type="paragraph" w:styleId="IntenseQuote">
    <w:name w:val="Intense Quote"/>
    <w:basedOn w:val="Normal"/>
    <w:next w:val="Normal"/>
    <w:link w:val="IntenseQuoteChar"/>
    <w:uiPriority w:val="30"/>
    <w:qFormat/>
    <w:rsid w:val="00C06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BD8"/>
    <w:rPr>
      <w:smallCaps/>
      <w:color w:val="auto"/>
      <w:u w:val="single"/>
    </w:rPr>
  </w:style>
  <w:style w:type="character" w:styleId="IntenseReference">
    <w:name w:val="Intense Reference"/>
    <w:basedOn w:val="DefaultParagraphFont"/>
    <w:uiPriority w:val="32"/>
    <w:qFormat/>
    <w:rsid w:val="00C06BD8"/>
    <w:rPr>
      <w:b/>
      <w:bCs/>
      <w:smallCaps/>
      <w:color w:val="auto"/>
      <w:spacing w:val="5"/>
      <w:u w:val="single"/>
    </w:rPr>
  </w:style>
  <w:style w:type="paragraph" w:customStyle="1" w:styleId="2ColumnHeading">
    <w:name w:val="2Column Heading"/>
    <w:basedOn w:val="BodyText"/>
    <w:qFormat/>
    <w:rsid w:val="00C06BD8"/>
    <w:pPr>
      <w:spacing w:after="60"/>
      <w:ind w:left="-2268"/>
    </w:pPr>
    <w:rPr>
      <w:b/>
    </w:rPr>
  </w:style>
  <w:style w:type="paragraph" w:customStyle="1" w:styleId="Heading1TOC">
    <w:name w:val="Heading1 TOC"/>
    <w:basedOn w:val="Normal"/>
    <w:qFormat/>
    <w:rsid w:val="00C06BD8"/>
    <w:pPr>
      <w:spacing w:before="240" w:after="120"/>
    </w:pPr>
    <w:rPr>
      <w:rFonts w:ascii="Times New Roman" w:hAnsi="Times New Roman"/>
      <w:b/>
      <w:sz w:val="32"/>
    </w:rPr>
  </w:style>
  <w:style w:type="paragraph" w:customStyle="1" w:styleId="Heading2TOC">
    <w:name w:val="Heading2 TOC"/>
    <w:basedOn w:val="Normal"/>
    <w:qFormat/>
    <w:rsid w:val="00C06BD8"/>
    <w:pPr>
      <w:spacing w:before="240" w:after="60"/>
    </w:pPr>
    <w:rPr>
      <w:rFonts w:ascii="Times New Roman" w:hAnsi="Times New Roman"/>
      <w:b/>
      <w:sz w:val="28"/>
    </w:rPr>
  </w:style>
  <w:style w:type="character" w:customStyle="1" w:styleId="Underline">
    <w:name w:val="Underline"/>
    <w:basedOn w:val="DefaultParagraphFont"/>
    <w:qFormat/>
    <w:rsid w:val="00C06BD8"/>
    <w:rPr>
      <w:u w:val="single"/>
    </w:rPr>
  </w:style>
  <w:style w:type="character" w:customStyle="1" w:styleId="BoldandItalics">
    <w:name w:val="Bold and Italics"/>
    <w:qFormat/>
    <w:rsid w:val="00C06BD8"/>
    <w:rPr>
      <w:b/>
      <w:i/>
      <w:u w:val="none"/>
    </w:rPr>
  </w:style>
  <w:style w:type="paragraph" w:styleId="BalloonText">
    <w:name w:val="Balloon Text"/>
    <w:basedOn w:val="Normal"/>
    <w:link w:val="BalloonTextChar"/>
    <w:rsid w:val="00C06BD8"/>
    <w:rPr>
      <w:rFonts w:ascii="Tahoma" w:hAnsi="Tahoma" w:cs="Tahoma"/>
      <w:sz w:val="16"/>
      <w:szCs w:val="16"/>
    </w:rPr>
  </w:style>
  <w:style w:type="character" w:customStyle="1" w:styleId="BalloonTextChar">
    <w:name w:val="Balloon Text Char"/>
    <w:basedOn w:val="DefaultParagraphFont"/>
    <w:link w:val="BalloonText"/>
    <w:rsid w:val="00C06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B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BD8"/>
    <w:rPr>
      <w:b/>
      <w:color w:val="660033"/>
      <w:spacing w:val="0"/>
    </w:rPr>
  </w:style>
  <w:style w:type="paragraph" w:customStyle="1" w:styleId="Nameditemlist">
    <w:name w:val="Named item list"/>
    <w:basedOn w:val="BodyText"/>
    <w:qFormat/>
    <w:rsid w:val="00C06BD8"/>
    <w:pPr>
      <w:tabs>
        <w:tab w:val="left" w:pos="2835"/>
      </w:tabs>
      <w:ind w:left="2835" w:hanging="2835"/>
    </w:pPr>
  </w:style>
  <w:style w:type="paragraph" w:customStyle="1" w:styleId="BodyTextnopadding">
    <w:name w:val="Body Text no padding"/>
    <w:basedOn w:val="BodyText"/>
    <w:qFormat/>
    <w:rsid w:val="00C06BD8"/>
    <w:pPr>
      <w:spacing w:before="0" w:after="0"/>
    </w:pPr>
  </w:style>
  <w:style w:type="paragraph" w:customStyle="1" w:styleId="BodyTextBold">
    <w:name w:val="Body Text Bold"/>
    <w:basedOn w:val="BodyText"/>
    <w:qFormat/>
    <w:rsid w:val="00C06BD8"/>
    <w:rPr>
      <w:b/>
    </w:rPr>
  </w:style>
  <w:style w:type="character" w:styleId="Hyperlink">
    <w:name w:val="Hyperlink"/>
    <w:basedOn w:val="DefaultParagraphFont"/>
    <w:uiPriority w:val="99"/>
    <w:unhideWhenUsed/>
    <w:rsid w:val="00C35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6056</Characters>
  <Application>Microsoft Office Word</Application>
  <DocSecurity>0</DocSecurity>
  <Lines>131</Lines>
  <Paragraphs>99</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UEERS0001 Assemble and wire internal electrical rail signalling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2022-12-20T04:28:00Z</dcterms:created>
  <dcterms:modified xsi:type="dcterms:W3CDTF">2022-12-20T04:28:00Z</dcterms:modified>
</cp:coreProperties>
</file>