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5AD" w:rsidP="006605AD">
      <w:pPr>
        <w:pStyle w:val="Title"/>
      </w:pPr>
      <w:r>
        <w:fldChar w:fldCharType="begin"/>
      </w:r>
      <w:r>
        <w:instrText xml:space="preserve"> TITLE   \* MERGEFORMAT </w:instrText>
      </w:r>
      <w:r>
        <w:fldChar w:fldCharType="separate"/>
      </w:r>
      <w:r>
        <w:t>UEERL0008 Disconnect-reconnect explosion-protected appliances and control devices connected to LV installation</w:t>
      </w:r>
      <w:r>
        <w:fldChar w:fldCharType="end"/>
      </w:r>
    </w:p>
    <w:p w:rsidR="006605AD" w:rsidP="006605AD">
      <w:pPr>
        <w:pStyle w:val="Version"/>
        <w:sectPr w:rsidSect="00FF7C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CDC" w:rsidP="00FF7CDC">
      <w:pPr>
        <w:pStyle w:val="SuperHeading"/>
      </w:pPr>
      <w:r w:rsidRPr="00FF7CDC">
        <w:t>UEERL0008 Disconnect-reconnect explosion-protected appliances and control devices connected to LV installation</w:t>
      </w:r>
    </w:p>
    <w:p w:rsidR="00000000" w:rsidRPr="00FF7CDC" w:rsidP="00FF7CDC">
      <w:pPr>
        <w:pStyle w:val="Heading1"/>
      </w:pPr>
      <w:bookmarkStart w:id="1" w:name="O_1101065"/>
      <w:bookmarkEnd w:id="1"/>
      <w:r w:rsidRPr="00FF7CDC">
        <w:t>Modification History</w:t>
      </w:r>
    </w:p>
    <w:tbl>
      <w:tblPr>
        <w:tblW w:w="9497" w:type="dxa"/>
        <w:tblLayout w:type="fixed"/>
        <w:tblCellMar>
          <w:left w:w="62" w:type="dxa"/>
          <w:right w:w="62" w:type="dxa"/>
        </w:tblCellMar>
        <w:tblLook w:val="0000"/>
      </w:tblPr>
      <w:tblGrid>
        <w:gridCol w:w="9497"/>
      </w:tblGrid>
      <w:tr w:rsidTr="00FF7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Release 1. This is the first release of this unit of competency in the UEE Electrotechnology Training Package.</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2" w:name="O_1101066"/>
      <w:bookmarkEnd w:id="2"/>
      <w:r w:rsidRPr="00FF7CDC">
        <w:t>Application</w:t>
      </w:r>
    </w:p>
    <w:tbl>
      <w:tblPr>
        <w:tblW w:w="9497" w:type="dxa"/>
        <w:tblLayout w:type="fixed"/>
        <w:tblCellMar>
          <w:left w:w="62" w:type="dxa"/>
          <w:right w:w="62" w:type="dxa"/>
        </w:tblCellMar>
        <w:tblLook w:val="0000"/>
      </w:tblPr>
      <w:tblGrid>
        <w:gridCol w:w="9497"/>
      </w:tblGrid>
      <w:tr w:rsidTr="00FF7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 xml:space="preserve">This unit involves the skills and knowledge required to disconnect and reconnect flameproof (Ex </w:t>
            </w:r>
            <w:r>
              <w:t>‘</w:t>
            </w:r>
            <w:r w:rsidRPr="00FF7CDC">
              <w:t>d</w:t>
            </w:r>
            <w:r>
              <w:t>’</w:t>
            </w:r>
            <w:r w:rsidRPr="00FF7CDC">
              <w:t xml:space="preserve">), increased </w:t>
            </w:r>
            <w:r w:rsidRPr="00FF7CDC">
              <w:t xml:space="preserve">safety (Ex </w:t>
            </w:r>
            <w:r>
              <w:t>‘</w:t>
            </w:r>
            <w:r w:rsidRPr="00FF7CDC">
              <w:t>e</w:t>
            </w:r>
            <w:r>
              <w:t>’</w:t>
            </w:r>
            <w:r w:rsidRPr="00FF7CDC">
              <w:t xml:space="preserve">) and intrinsic safety (Ex </w:t>
            </w:r>
            <w:r>
              <w:t>‘</w:t>
            </w:r>
            <w:r w:rsidRPr="00FF7CDC">
              <w:t>i</w:t>
            </w:r>
            <w:r>
              <w:t>’</w:t>
            </w:r>
            <w:r w:rsidRPr="00FF7CDC">
              <w:t xml:space="preserve">) electrical equipment to supply up to 1,000 volts (V) alternating current (a.c.) or 1,500 volts (V) direct current (d.c.). </w:t>
            </w:r>
          </w:p>
          <w:p w:rsidR="00000000" w:rsidRPr="00FF7CDC" w:rsidP="00FF7CDC">
            <w:pPr>
              <w:pStyle w:val="BodyText"/>
            </w:pPr>
            <w:r w:rsidRPr="00FF7CDC">
              <w:t>It includes working safely in hazardous areas, identifying supply arrangements, followi</w:t>
            </w:r>
            <w:r w:rsidRPr="00FF7CDC">
              <w:t>ng isolation procedures, handling explosion-protected equipment, selecting and using testing and measuring devices, terminating and connecting cables and conductors, safety testing, reporting electrical faults and providing status report/s.</w:t>
            </w:r>
          </w:p>
          <w:p w:rsidR="00000000" w:rsidRPr="00FF7CDC" w:rsidP="00FF7CDC">
            <w:pPr>
              <w:pStyle w:val="BodyText"/>
            </w:pPr>
            <w:r w:rsidRPr="00FF7CDC">
              <w:t xml:space="preserve">Hazardous area </w:t>
            </w:r>
            <w:r w:rsidRPr="00FF7CDC">
              <w:t>is one in which an explosive atmosphere is present, or may be expected to be present, in quantities such as to require special precautions for the construction, installation and use of equipment. In hazardous areas, precautions should be taken to reduce th</w:t>
            </w:r>
            <w:r w:rsidRPr="00FF7CDC">
              <w:t>e likelihood of installed electrical equipment causing an ignition.</w:t>
            </w:r>
          </w:p>
          <w:p w:rsidR="00000000" w:rsidRPr="00FF7CDC" w:rsidP="00FF7CDC">
            <w:pPr>
              <w:pStyle w:val="BodyText"/>
            </w:pPr>
            <w:r w:rsidRPr="00FF7CDC">
              <w:t>The skills and knowledge described in this unit require a licence or permit to practice in the workplace where work is carried out on electrical installations which are designed to operate</w:t>
            </w:r>
            <w:r w:rsidRPr="00FF7CDC">
              <w:t xml:space="preserve"> at voltages greater than 50 V a.c. or 120 V d.c. </w:t>
            </w:r>
          </w:p>
          <w:p w:rsidR="00000000" w:rsidRPr="00FF7CDC" w:rsidP="00FF7CDC">
            <w:pPr>
              <w:pStyle w:val="BodyText"/>
            </w:pPr>
            <w:r w:rsidRPr="00FF7CDC">
              <w:t>Competency development activities in this unit are subject to regulations directly related to licensing. Where a licence or permit to practice is not held, a relevant contract of training, such as an Austr</w:t>
            </w:r>
            <w:r w:rsidRPr="00FF7CDC">
              <w:t>alian Apprenticeship, may be required.</w:t>
            </w:r>
          </w:p>
          <w:p w:rsidR="00000000" w:rsidRPr="00FF7CDC" w:rsidP="00FF7CDC">
            <w:pPr>
              <w:pStyle w:val="BodyText"/>
            </w:pPr>
            <w:r w:rsidRPr="00FF7CDC">
              <w:t>Additional and/or other conditions may apply in some jurisdictions subject to regulations related to electrical work. Practice in the workplace and during training is also subject to work health and safety (WHS)/occup</w:t>
            </w:r>
            <w:r w:rsidRPr="00FF7CDC">
              <w:t>ational health and safety (OHS) regulations.</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3" w:name="O_1101067"/>
      <w:bookmarkEnd w:id="3"/>
      <w:r w:rsidRPr="00FF7CDC">
        <w:t>Pre-requisite Unit</w:t>
      </w:r>
    </w:p>
    <w:tbl>
      <w:tblPr>
        <w:tblW w:w="9497" w:type="dxa"/>
        <w:tblLayout w:type="fixed"/>
        <w:tblCellMar>
          <w:left w:w="62" w:type="dxa"/>
          <w:right w:w="62" w:type="dxa"/>
        </w:tblCellMar>
        <w:tblLook w:val="0000"/>
      </w:tblPr>
      <w:tblGrid>
        <w:gridCol w:w="9497"/>
      </w:tblGrid>
      <w:tr w:rsidTr="00FF7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UEECD0007 Apply work health and safety regulations, codes and practices in the workplace</w:t>
            </w:r>
          </w:p>
          <w:p w:rsidR="00000000" w:rsidRPr="00FF7CDC" w:rsidP="00FF7CDC">
            <w:pPr>
              <w:pStyle w:val="BodyText"/>
            </w:pPr>
            <w:r w:rsidRPr="00FF7CDC">
              <w:t xml:space="preserve">UEERL0004 Disconnect-reconnect electrical equipment connected to low voltage (LV) </w:t>
            </w:r>
            <w:r w:rsidRPr="00FF7CDC">
              <w:t>installation wiring</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4" w:name="O_1101068"/>
      <w:bookmarkEnd w:id="4"/>
      <w:r w:rsidRPr="00FF7CDC">
        <w:t>Competency Field</w:t>
      </w:r>
    </w:p>
    <w:tbl>
      <w:tblPr>
        <w:tblW w:w="9497" w:type="dxa"/>
        <w:tblLayout w:type="fixed"/>
        <w:tblCellMar>
          <w:left w:w="62" w:type="dxa"/>
          <w:right w:w="62" w:type="dxa"/>
        </w:tblCellMar>
        <w:tblLook w:val="0000"/>
      </w:tblPr>
      <w:tblGrid>
        <w:gridCol w:w="9497"/>
      </w:tblGrid>
      <w:tr w:rsidTr="00FF7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Restricted Licensing</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5" w:name="O_1101069"/>
      <w:bookmarkEnd w:id="5"/>
      <w:r w:rsidRPr="00FF7CDC">
        <w:t>Unit Sector</w:t>
      </w:r>
    </w:p>
    <w:tbl>
      <w:tblPr>
        <w:tblW w:w="9497" w:type="dxa"/>
        <w:tblLayout w:type="fixed"/>
        <w:tblCellMar>
          <w:left w:w="62" w:type="dxa"/>
          <w:right w:w="62" w:type="dxa"/>
        </w:tblCellMar>
        <w:tblLook w:val="0000"/>
      </w:tblPr>
      <w:tblGrid>
        <w:gridCol w:w="9497"/>
      </w:tblGrid>
      <w:tr w:rsidTr="00FF7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Electrotechnology</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6" w:name="O_1101070"/>
      <w:bookmarkEnd w:id="6"/>
      <w:r w:rsidRPr="00FF7C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F7C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PERFORMANCE CRITERIA</w:t>
            </w:r>
          </w:p>
        </w:tc>
      </w:tr>
      <w:tr w:rsidTr="00FF7C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Performance criteria describe the performance needed to demonstrate achievement of the element.</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Prepare to disconnect electrical equipment</w:t>
            </w: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Electrical equipment disconnection is planned to ensure WHS/OHS p</w:t>
            </w:r>
            <w:r w:rsidRPr="00FF7CDC">
              <w:t>olicies and workplace procedures are followed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 xml:space="preserve">Relevant person/s is consulted to ensure work is coordinated effectively with others </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Safety hazards which have not previously been identified are documented, risks assessed, and control measures determined and implemented in consultation with relevant person/s in accordance with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 xml:space="preserve">Point of isolation of electrical </w:t>
            </w:r>
            <w:r w:rsidRPr="00FF7CDC">
              <w:t>equipment to be disconnected is determined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Tools, equipment and testing devices required for electrical work are obtained in accordance with workplace procedures and checked for correct operation and safety</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Disconnect electrical equipment</w:t>
            </w: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WHS</w:t>
            </w:r>
            <w:r w:rsidRPr="00FF7CDC">
              <w:t>/OHS policies and procedures are followed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Electrical equipment is isolated in accordance with relevant electrical installations, industry standards and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Conductor connection sequence is recorded and labelled in accordance with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Visual inspections and checks of the electrical equipment and associated wiring are carried out in accordance with workplace procedures to detect any abno</w:t>
            </w:r>
            <w:r w:rsidRPr="00FF7CDC">
              <w:t>rmal or obvious damage or fault</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Isolated equipment is confirmed as de-energised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Electrical equipment is disconnected from fixed wiring without damage to other components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Approval is obtained in accordance with workplace procedures from relevant person/s before any contingencies are implemented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Disconnected conductors/cables are terminated in accordance with relevant industry standards to ensure they are safe and pre</w:t>
            </w:r>
            <w:r w:rsidRPr="00FF7CDC">
              <w:t>sent no potential hazard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Prepare to reconnect electrical equipment</w:t>
            </w: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Reconnection is planned to ensure WHS/OHS policies and workplace procedures are followed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 xml:space="preserve">Relevant person/s is consulted to ensure work is coordinated effectively with others </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Point of isolation of the circuit to which the electrical equipment is to be connected is determined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Replacement electrical equipment is selected on the basis of rating and specifications in accordance with designated electrical equipment and conditions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Relevant person/s is consulted in the event that replacement electrical equipment is not availab</w:t>
            </w:r>
            <w:r w:rsidRPr="00FF7CDC">
              <w:t>le</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Original and/or replacement electrical equipment is inspected and tested to ensure it is safe to connect to the electrical supply and use</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Tools, equipment and testing devices needed to carry out the electrical work are obtained in accordance with workplace procedures and checked for correct operation and safety</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Reconnect electrical equipment</w:t>
            </w: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WHS/OHS policies and procedures are followe</w:t>
            </w:r>
            <w:r w:rsidRPr="00FF7CDC">
              <w:t>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Measures are taken to ensure circuit to which electrical equipment is to be connected remains isolated and de-energised in accordance with relevant electrical installations, industry standards and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Continuity of the prot</w:t>
            </w:r>
            <w:r w:rsidRPr="00FF7CDC">
              <w:t>ective earthing conductor is tested to determine whether it is sufficiently low</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Resistance between the protective earthing conductor and the neutral conductor is inspected and tested to determine that it is in accordance with relevant industry stand</w:t>
            </w:r>
            <w:r w:rsidRPr="00FF7CDC">
              <w:t>ards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Insulation resistance of active conductors is inspected and tested to confirm that it is in accordance with relevant industry standards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 xml:space="preserve">Appropriate person/s is consulted to regarding any non-compliance condition identified during the earthing and resistance conductor inspection and testing </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Continuity between exposed conductive parts of the appliance and the main earth or metal swit</w:t>
            </w:r>
            <w:r w:rsidRPr="00FF7CDC">
              <w:t>chboard enclosure is confirmed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Electrical equipment is connected in accordance with relevant industry standards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Connections to the electrical equipment are checked to confirm they are correct</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Test the reconnected electrical equipment for safe operation</w:t>
            </w: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WHS/OHS policies and workplace procedures for the reinstatement of isolated circuits and electrical equipment are followed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Arrangements are made with relevant person/s to test the oper</w:t>
            </w:r>
            <w:r w:rsidRPr="00FF7CDC">
              <w:t>ation of the electrical equipment in accordance with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Operational non-conformances are identified and reported in accordance with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rPr>
                <w:rStyle w:val="SpecialBold"/>
              </w:rPr>
              <w:t>Identify and report faults</w:t>
            </w: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Electrical equipment is isolated in accordan</w:t>
            </w:r>
            <w:r w:rsidRPr="00FF7CDC">
              <w:t>ce with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WHS/OHS policies and procedures are followed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 xml:space="preserve">Visual inspection and checks of the electrical equipment to be disconnected and/or reconnected are carried out in accordance with workplace procedures </w:t>
            </w:r>
            <w:r w:rsidRPr="00FF7CDC">
              <w:t>to detect any abnormal or damage or fault</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Faults at point of disconnection and/or reconnection are identified and reported in accordance with workplace procedures</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Approval is obtained in accordance with workplace procedures from relevant pers</w:t>
            </w:r>
            <w:r w:rsidRPr="00FF7CDC">
              <w:t>on/s before any contingencies are implemented</w:t>
            </w:r>
          </w:p>
        </w:tc>
      </w:tr>
      <w:tr w:rsidTr="00FF7C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7C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Status report/s is completed and relevant person/s notified in accordance with workplace procedures</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7" w:name="O_1101071"/>
      <w:bookmarkEnd w:id="7"/>
      <w:r w:rsidRPr="00FF7CDC">
        <w:t>Foundation Skills</w:t>
      </w:r>
    </w:p>
    <w:tbl>
      <w:tblPr>
        <w:tblW w:w="9497" w:type="dxa"/>
        <w:tblLayout w:type="fixed"/>
        <w:tblCellMar>
          <w:left w:w="62" w:type="dxa"/>
          <w:right w:w="62" w:type="dxa"/>
        </w:tblCellMar>
        <w:tblLook w:val="0000"/>
      </w:tblPr>
      <w:tblGrid>
        <w:gridCol w:w="9497"/>
      </w:tblGrid>
      <w:tr w:rsidTr="00FF7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Foundation skills essential to performance are explicit in the performance criteria of this unit of competency.</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8" w:name="O_1101072"/>
      <w:bookmarkEnd w:id="8"/>
      <w:r w:rsidRPr="00FF7CDC">
        <w:t>Range of Conditions</w:t>
      </w:r>
    </w:p>
    <w:tbl>
      <w:tblPr>
        <w:tblW w:w="9497" w:type="dxa"/>
        <w:tblLayout w:type="fixed"/>
        <w:tblCellMar>
          <w:left w:w="62" w:type="dxa"/>
          <w:right w:w="62" w:type="dxa"/>
        </w:tblCellMar>
        <w:tblLook w:val="0000"/>
      </w:tblPr>
      <w:tblGrid>
        <w:gridCol w:w="4693"/>
        <w:gridCol w:w="4804"/>
      </w:tblGrid>
      <w:tr w:rsidTr="00FF7CD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Range is restricted to essential operating conditions and any other variables es</w:t>
            </w:r>
            <w:r w:rsidRPr="00FF7CDC">
              <w:t>sential to the work environment.</w:t>
            </w:r>
          </w:p>
          <w:p w:rsidR="00000000" w:rsidP="00FF7CDC">
            <w:pPr>
              <w:pStyle w:val="BodyText"/>
              <w:rPr>
                <w:lang w:val="en-NZ"/>
              </w:rPr>
            </w:pPr>
            <w:r w:rsidRPr="00FF7CDC">
              <w:t>Non-essential conditions may be found in the UEE Electrotechnology Training Package Companion Volume Implementation Guide.</w:t>
            </w:r>
          </w:p>
        </w:tc>
      </w:tr>
      <w:tr w:rsidTr="00FF7CD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F7CDC">
            <w:pPr>
              <w:pStyle w:val="BodyText"/>
              <w:rPr>
                <w:lang w:val="en-NZ"/>
              </w:rPr>
            </w:pPr>
            <w:r w:rsidRPr="00FF7CDC">
              <w:t xml:space="preserve">Disconnecting and reconnecting equipment connected to supplies up to 1,000 V a.c. or 1,500 V d.c. explosion-protection techniques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FF7CDC" w:rsidP="00FF7CDC">
            <w:pPr>
              <w:pStyle w:val="ListBullet"/>
            </w:pPr>
            <w:r w:rsidRPr="00FF7CDC">
              <w:t xml:space="preserve">flameproof (Ex </w:t>
            </w:r>
            <w:r>
              <w:t>‘</w:t>
            </w:r>
            <w:r w:rsidRPr="00FF7CDC">
              <w:t>d</w:t>
            </w:r>
            <w:r>
              <w:t>’</w:t>
            </w:r>
            <w:r w:rsidRPr="00FF7CDC">
              <w:t>)</w:t>
            </w:r>
          </w:p>
          <w:p w:rsidR="00000000" w:rsidRPr="00FF7CDC" w:rsidP="00FF7CDC">
            <w:pPr>
              <w:pStyle w:val="ListBullet"/>
            </w:pPr>
            <w:r w:rsidRPr="00FF7CDC">
              <w:t xml:space="preserve">increased safety (Ex </w:t>
            </w:r>
            <w:r>
              <w:t>‘</w:t>
            </w:r>
            <w:r w:rsidRPr="00FF7CDC">
              <w:t>e</w:t>
            </w:r>
            <w:r>
              <w:t>’</w:t>
            </w:r>
            <w:r w:rsidRPr="00FF7CDC">
              <w:t>)</w:t>
            </w:r>
          </w:p>
          <w:p w:rsidR="00000000" w:rsidRPr="00FF7CDC" w:rsidP="00FF7CDC">
            <w:pPr>
              <w:pStyle w:val="ListBullet"/>
            </w:pPr>
            <w:r w:rsidRPr="00FF7CDC">
              <w:t>intrinsic safety (Ex ‘i’)</w:t>
            </w:r>
          </w:p>
          <w:p w:rsidR="00000000" w:rsidP="00FF7CDC">
            <w:pPr>
              <w:pStyle w:val="BodyText"/>
              <w:rPr>
                <w:lang w:val="en-NZ"/>
              </w:rPr>
            </w:pPr>
          </w:p>
        </w:tc>
      </w:tr>
      <w:tr w:rsidTr="00FF7CD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MUST NOT INCLUDE</w:t>
            </w:r>
          </w:p>
          <w:p w:rsidR="00000000" w:rsidP="00FF7CDC">
            <w:pPr>
              <w:pStyle w:val="BodyText"/>
              <w:rPr>
                <w:lang w:val="en-NZ"/>
              </w:rPr>
            </w:pPr>
            <w:r w:rsidRPr="00FF7CDC">
              <w:t>Disco</w:t>
            </w:r>
            <w:r w:rsidRPr="00FF7CDC">
              <w:t xml:space="preserve">nnecting and reconnecting equipment connected to supplies up to 1,000 V a.c. or 1,500 V d.c. explosion-protection techniques must not include the following: </w:t>
            </w:r>
          </w:p>
        </w:tc>
        <w:tc>
          <w:tcPr>
            <w:tcW w:w="4804" w:type="dxa"/>
            <w:tcBorders>
              <w:top w:val="nil"/>
              <w:left w:val="nil"/>
              <w:bottom w:val="nil"/>
              <w:right w:val="nil"/>
            </w:tcBorders>
            <w:tcMar>
              <w:top w:w="0" w:type="dxa"/>
              <w:left w:w="62" w:type="dxa"/>
              <w:bottom w:w="0" w:type="dxa"/>
              <w:right w:w="62" w:type="dxa"/>
            </w:tcMar>
          </w:tcPr>
          <w:p w:rsidR="00000000" w:rsidRPr="00FF7CDC" w:rsidP="00FF7CDC">
            <w:pPr>
              <w:pStyle w:val="ListBullet"/>
            </w:pPr>
            <w:r w:rsidRPr="00FF7CDC">
              <w:t>comprised of complex electrical apparatus and circuits:</w:t>
            </w:r>
          </w:p>
          <w:p w:rsidR="00000000" w:rsidRPr="00FF7CDC" w:rsidP="00FF7CDC">
            <w:pPr>
              <w:pStyle w:val="ListBullet2"/>
            </w:pPr>
            <w:r w:rsidRPr="00FF7CDC">
              <w:t xml:space="preserve">associated with fixed wiring, including </w:t>
            </w:r>
            <w:r w:rsidRPr="00FF7CDC">
              <w:t>locating and rectifying faults of circuits at a switchboard or to general electrical accessories (including switches, socket outlets, circuit protective devices); or</w:t>
            </w:r>
          </w:p>
          <w:p w:rsidR="00000000" w:rsidRPr="00FF7CDC" w:rsidP="00FF7CDC">
            <w:pPr>
              <w:pStyle w:val="ListBullet2"/>
            </w:pPr>
            <w:r w:rsidRPr="00FF7CDC">
              <w:t>installa</w:t>
            </w:r>
            <w:r w:rsidRPr="00FF7CDC">
              <w:t>tion of or alteration to any part of the fixed electrical wiring system (defined as electrical installing work)</w:t>
            </w:r>
          </w:p>
          <w:p w:rsidR="00000000" w:rsidRPr="00FF7CDC" w:rsidP="00FF7CDC">
            <w:pPr>
              <w:pStyle w:val="ListBullet"/>
            </w:pPr>
            <w:r w:rsidRPr="00FF7CDC">
              <w:t>where high fault currents are possible</w:t>
            </w:r>
          </w:p>
          <w:p w:rsidR="00000000" w:rsidRPr="00FF7CDC" w:rsidP="00FF7CDC">
            <w:pPr>
              <w:pStyle w:val="ListBullet"/>
            </w:pPr>
            <w:r w:rsidRPr="00FF7CDC">
              <w:t>which are luminaries</w:t>
            </w:r>
          </w:p>
          <w:p w:rsidR="00000000" w:rsidRPr="00FF7CDC" w:rsidP="00FF7CDC">
            <w:pPr>
              <w:pStyle w:val="ListBullet"/>
            </w:pPr>
            <w:r w:rsidRPr="00FF7CDC">
              <w:t>in hazardous areas or on electrical equipment that is part of an explosion-protecti</w:t>
            </w:r>
            <w:r w:rsidRPr="00FF7CDC">
              <w:t>on technique</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9" w:name="O_1101073"/>
      <w:bookmarkEnd w:id="9"/>
      <w:r w:rsidRPr="00FF7CDC">
        <w:t>Unit Mapping Information</w:t>
      </w:r>
    </w:p>
    <w:tbl>
      <w:tblPr>
        <w:tblW w:w="9497" w:type="dxa"/>
        <w:tblLayout w:type="fixed"/>
        <w:tblCellMar>
          <w:left w:w="62" w:type="dxa"/>
          <w:right w:w="62" w:type="dxa"/>
        </w:tblCellMar>
        <w:tblLook w:val="0000"/>
      </w:tblPr>
      <w:tblGrid>
        <w:gridCol w:w="9497"/>
      </w:tblGrid>
      <w:tr w:rsidTr="00FF7C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DC" w:rsidP="00FF7CDC">
            <w:pPr>
              <w:pStyle w:val="BodyText"/>
            </w:pPr>
            <w:r w:rsidRPr="00FF7CDC">
              <w:t>This unit replaces and is equivalent to UEENEEP021A Disconnect - reconnect explosion-protected appliances and control devices connected to low voltage installation wiring.</w:t>
            </w:r>
          </w:p>
        </w:tc>
      </w:tr>
    </w:tbl>
    <w:p w:rsidR="00000000" w:rsidRPr="00FF7CDC" w:rsidP="00FF7CDC">
      <w:pPr>
        <w:pStyle w:val="NoPaddingFontSize1"/>
      </w:pPr>
    </w:p>
    <w:p w:rsidR="00000000" w:rsidRPr="00FF7CDC" w:rsidP="00FF7CDC">
      <w:pPr>
        <w:pStyle w:val="AllowPageBreak"/>
      </w:pPr>
    </w:p>
    <w:p w:rsidR="00000000" w:rsidRPr="00FF7CDC" w:rsidP="00FF7CDC">
      <w:pPr>
        <w:pStyle w:val="Heading1"/>
      </w:pPr>
      <w:bookmarkStart w:id="10" w:name="O_1101080"/>
      <w:bookmarkEnd w:id="10"/>
      <w:r w:rsidRPr="00FF7CDC">
        <w:t>Links</w:t>
      </w:r>
    </w:p>
    <w:p w:rsidR="00000000" w:rsidRPr="00FF7CDC" w:rsidP="006605AD">
      <w:pPr>
        <w:pStyle w:val="BodyText"/>
      </w:pPr>
      <w:r w:rsidRPr="00FF7CD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42892">
        <w:rPr>
          <w:rStyle w:val="Hyperlink"/>
        </w:rPr>
        <w:t>https://vetnet.gov.au/Pages/TrainingDocs.aspx?q=b8a8f136-5421-4ce1-92e0-2b50341431b6</w:t>
      </w:r>
      <w:r>
        <w:fldChar w:fldCharType="end"/>
      </w:r>
    </w:p>
    <w:p w:rsidR="00000000" w:rsidRPr="00FF7CDC" w:rsidP="00FF7CDC"/>
    <w:sectPr w:rsidSect="00FF7C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DC" w:rsidRPr="006605AD" w:rsidP="00660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AD" w:rsidP="00FF7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05AD" w:rsidP="00FF7C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05AD" w:rsidP="00FF7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CDC" w:rsidRPr="006605AD" w:rsidP="00660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AD" w:rsidRPr="002D2AF8" w:rsidP="00FF7CDC">
    <w:pPr>
      <w:pStyle w:val="Header"/>
      <w:framePr w:wrap="around"/>
    </w:pPr>
    <w:r>
      <w:fldChar w:fldCharType="begin"/>
    </w:r>
    <w:r>
      <w:instrText xml:space="preserve"> TITLE   \* MERGEFORMAT </w:instrText>
    </w:r>
    <w:r>
      <w:fldChar w:fldCharType="separate"/>
    </w:r>
    <w:r>
      <w:t>UEERL0008 Disconnect-reconnect explosion-protected appliances and control devices connected to LV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605AD" w:rsidP="00FF7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85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5A8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CB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CDC"/>
    <w:pPr>
      <w:spacing w:before="360" w:after="60"/>
      <w:outlineLvl w:val="0"/>
    </w:pPr>
    <w:rPr>
      <w:sz w:val="32"/>
    </w:rPr>
  </w:style>
  <w:style w:type="paragraph" w:styleId="Heading2">
    <w:name w:val="heading 2"/>
    <w:basedOn w:val="HeadingBase"/>
    <w:next w:val="BodyText"/>
    <w:link w:val="Heading2Char"/>
    <w:qFormat/>
    <w:rsid w:val="00FF7CDC"/>
    <w:pPr>
      <w:keepLines/>
      <w:spacing w:before="240" w:after="120"/>
      <w:outlineLvl w:val="1"/>
    </w:pPr>
    <w:rPr>
      <w:sz w:val="28"/>
      <w:szCs w:val="40"/>
    </w:rPr>
  </w:style>
  <w:style w:type="paragraph" w:styleId="Heading3">
    <w:name w:val="heading 3"/>
    <w:basedOn w:val="HeadingBase"/>
    <w:next w:val="BodyText"/>
    <w:link w:val="Heading3Char"/>
    <w:qFormat/>
    <w:rsid w:val="00FF7CDC"/>
    <w:pPr>
      <w:spacing w:before="180" w:after="120"/>
      <w:outlineLvl w:val="2"/>
    </w:pPr>
    <w:rPr>
      <w:spacing w:val="-10"/>
      <w:kern w:val="32"/>
    </w:rPr>
  </w:style>
  <w:style w:type="paragraph" w:styleId="Heading4">
    <w:name w:val="heading 4"/>
    <w:basedOn w:val="HeadingBase"/>
    <w:next w:val="BodyText"/>
    <w:link w:val="Heading4Char"/>
    <w:qFormat/>
    <w:rsid w:val="00FF7CDC"/>
    <w:pPr>
      <w:spacing w:before="160" w:after="120"/>
      <w:outlineLvl w:val="3"/>
    </w:pPr>
    <w:rPr>
      <w:sz w:val="22"/>
    </w:rPr>
  </w:style>
  <w:style w:type="paragraph" w:styleId="Heading5">
    <w:name w:val="heading 5"/>
    <w:basedOn w:val="HeadingBase"/>
    <w:next w:val="Normal"/>
    <w:link w:val="Heading5Char"/>
    <w:qFormat/>
    <w:rsid w:val="00FF7CDC"/>
    <w:pPr>
      <w:spacing w:before="80"/>
      <w:outlineLvl w:val="4"/>
    </w:pPr>
    <w:rPr>
      <w:color w:val="918585"/>
      <w:sz w:val="20"/>
    </w:rPr>
  </w:style>
  <w:style w:type="paragraph" w:styleId="Heading6">
    <w:name w:val="heading 6"/>
    <w:basedOn w:val="HeadingBase"/>
    <w:next w:val="Normal"/>
    <w:link w:val="Heading6Char"/>
    <w:qFormat/>
    <w:rsid w:val="00FF7CDC"/>
    <w:pPr>
      <w:spacing w:before="60"/>
      <w:outlineLvl w:val="5"/>
    </w:pPr>
    <w:rPr>
      <w:color w:val="918585"/>
      <w:sz w:val="20"/>
    </w:rPr>
  </w:style>
  <w:style w:type="paragraph" w:styleId="Heading7">
    <w:name w:val="heading 7"/>
    <w:basedOn w:val="Normal"/>
    <w:next w:val="Normal"/>
    <w:link w:val="Heading7Char"/>
    <w:qFormat/>
    <w:rsid w:val="00FF7CDC"/>
    <w:pPr>
      <w:ind w:left="720"/>
      <w:outlineLvl w:val="6"/>
    </w:pPr>
    <w:rPr>
      <w:i/>
    </w:rPr>
  </w:style>
  <w:style w:type="paragraph" w:styleId="Heading8">
    <w:name w:val="heading 8"/>
    <w:basedOn w:val="Normal"/>
    <w:next w:val="Normal"/>
    <w:link w:val="Heading8Char"/>
    <w:qFormat/>
    <w:rsid w:val="00FF7CDC"/>
    <w:pPr>
      <w:ind w:left="720"/>
      <w:outlineLvl w:val="7"/>
    </w:pPr>
    <w:rPr>
      <w:i/>
    </w:rPr>
  </w:style>
  <w:style w:type="paragraph" w:styleId="Heading9">
    <w:name w:val="heading 9"/>
    <w:basedOn w:val="Normal"/>
    <w:next w:val="Normal"/>
    <w:link w:val="Heading9Char"/>
    <w:qFormat/>
    <w:rsid w:val="00FF7CDC"/>
    <w:pPr>
      <w:ind w:left="720"/>
      <w:outlineLvl w:val="8"/>
    </w:pPr>
    <w:rPr>
      <w:i/>
    </w:rPr>
  </w:style>
  <w:style w:type="character" w:default="1" w:styleId="DefaultParagraphFont">
    <w:name w:val="Default Paragraph Font"/>
    <w:uiPriority w:val="1"/>
    <w:unhideWhenUsed/>
    <w:rsid w:val="00FF7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CDC"/>
  </w:style>
  <w:style w:type="character" w:customStyle="1" w:styleId="Heading1Char">
    <w:name w:val="Heading 1 Char"/>
    <w:basedOn w:val="DefaultParagraphFont"/>
    <w:link w:val="Heading1"/>
    <w:rsid w:val="00FF7CDC"/>
    <w:rPr>
      <w:rFonts w:ascii="Times New Roman" w:eastAsia="Times New Roman" w:hAnsi="Times New Roman" w:cs="Times New Roman"/>
      <w:b/>
      <w:sz w:val="32"/>
      <w:szCs w:val="20"/>
      <w:lang w:eastAsia="en-US"/>
    </w:rPr>
  </w:style>
  <w:style w:type="paragraph" w:styleId="BodyText">
    <w:name w:val="Body Text"/>
    <w:basedOn w:val="Normal"/>
    <w:link w:val="BodyTextChar"/>
    <w:rsid w:val="00FF7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CDC"/>
    <w:rPr>
      <w:rFonts w:ascii="Times New Roman" w:eastAsia="Times New Roman" w:hAnsi="Times New Roman" w:cs="Times New Roman"/>
      <w:sz w:val="24"/>
      <w:lang w:eastAsia="en-US"/>
    </w:rPr>
  </w:style>
  <w:style w:type="paragraph" w:styleId="ListBullet">
    <w:name w:val="List Bullet"/>
    <w:basedOn w:val="List"/>
    <w:rsid w:val="00FF7CDC"/>
    <w:pPr>
      <w:numPr>
        <w:numId w:val="12"/>
      </w:numPr>
      <w:tabs>
        <w:tab w:val="clear" w:pos="340"/>
      </w:tabs>
      <w:spacing w:before="40" w:after="40"/>
    </w:pPr>
  </w:style>
  <w:style w:type="character" w:customStyle="1" w:styleId="SpecialBold">
    <w:name w:val="Special Bold"/>
    <w:basedOn w:val="DefaultParagraphFont"/>
    <w:rsid w:val="00FF7CDC"/>
    <w:rPr>
      <w:b/>
      <w:spacing w:val="0"/>
    </w:rPr>
  </w:style>
  <w:style w:type="paragraph" w:styleId="ListBullet2">
    <w:name w:val="List Bullet 2"/>
    <w:basedOn w:val="List2"/>
    <w:rsid w:val="00FF7CDC"/>
    <w:pPr>
      <w:numPr>
        <w:numId w:val="13"/>
      </w:numPr>
      <w:tabs>
        <w:tab w:val="clear" w:pos="680"/>
      </w:tabs>
    </w:pPr>
  </w:style>
  <w:style w:type="paragraph" w:customStyle="1" w:styleId="SuperHeading">
    <w:name w:val="SuperHeading"/>
    <w:basedOn w:val="Normal"/>
    <w:rsid w:val="00FF7CDC"/>
    <w:pPr>
      <w:spacing w:before="240" w:after="120"/>
      <w:outlineLvl w:val="0"/>
    </w:pPr>
    <w:rPr>
      <w:rFonts w:ascii="Times New Roman" w:hAnsi="Times New Roman"/>
      <w:b/>
      <w:sz w:val="32"/>
    </w:rPr>
  </w:style>
  <w:style w:type="paragraph" w:customStyle="1" w:styleId="AllowPageBreak">
    <w:name w:val="AllowPageBreak"/>
    <w:rsid w:val="00FF7C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7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CDC"/>
    <w:rPr>
      <w:rFonts w:ascii="Courier New" w:eastAsia="Times New Roman" w:hAnsi="Courier New" w:cs="Times New Roman"/>
      <w:i/>
      <w:szCs w:val="20"/>
      <w:lang w:eastAsia="en-US"/>
    </w:rPr>
  </w:style>
  <w:style w:type="paragraph" w:customStyle="1" w:styleId="HeadingBase">
    <w:name w:val="Heading Base"/>
    <w:rsid w:val="00FF7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CDC"/>
    <w:pPr>
      <w:tabs>
        <w:tab w:val="right" w:leader="dot" w:pos="9072"/>
      </w:tabs>
      <w:ind w:left="567"/>
    </w:pPr>
    <w:rPr>
      <w:szCs w:val="22"/>
    </w:rPr>
  </w:style>
  <w:style w:type="paragraph" w:customStyle="1" w:styleId="TOCBase">
    <w:name w:val="TOC Base"/>
    <w:rsid w:val="00FF7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CDC"/>
    <w:pPr>
      <w:tabs>
        <w:tab w:val="right" w:leader="dot" w:pos="9072"/>
      </w:tabs>
      <w:spacing w:before="40" w:after="40"/>
      <w:ind w:left="284"/>
    </w:pPr>
    <w:rPr>
      <w:rFonts w:ascii="Times New Roman" w:hAnsi="Times New Roman"/>
    </w:rPr>
  </w:style>
  <w:style w:type="paragraph" w:styleId="TOC1">
    <w:name w:val="toc 1"/>
    <w:basedOn w:val="TOCBase"/>
    <w:next w:val="Normal"/>
    <w:rsid w:val="00FF7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CDC"/>
    <w:rPr>
      <w:rFonts w:ascii="Times New Roman" w:eastAsia="Times New Roman" w:hAnsi="Times New Roman" w:cs="Times New Roman"/>
      <w:sz w:val="16"/>
      <w:lang w:eastAsia="en-US"/>
    </w:rPr>
  </w:style>
  <w:style w:type="paragraph" w:styleId="Title">
    <w:name w:val="Title"/>
    <w:basedOn w:val="HeadingBase"/>
    <w:link w:val="TitleChar"/>
    <w:qFormat/>
    <w:rsid w:val="00FF7CDC"/>
    <w:pPr>
      <w:spacing w:before="5040"/>
      <w:jc w:val="center"/>
    </w:pPr>
    <w:rPr>
      <w:sz w:val="48"/>
      <w:szCs w:val="72"/>
      <w:lang w:val="en-US"/>
    </w:rPr>
  </w:style>
  <w:style w:type="character" w:customStyle="1" w:styleId="TitleChar">
    <w:name w:val="Title Char"/>
    <w:basedOn w:val="DefaultParagraphFont"/>
    <w:link w:val="Title"/>
    <w:rsid w:val="00FF7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CDC"/>
    <w:pPr>
      <w:tabs>
        <w:tab w:val="left" w:pos="3600"/>
        <w:tab w:val="left" w:pos="3958"/>
      </w:tabs>
    </w:pPr>
  </w:style>
  <w:style w:type="paragraph" w:styleId="List">
    <w:name w:val="List"/>
    <w:basedOn w:val="BodyText"/>
    <w:next w:val="BodyText"/>
    <w:rsid w:val="00FF7CDC"/>
    <w:pPr>
      <w:tabs>
        <w:tab w:val="left" w:pos="340"/>
      </w:tabs>
      <w:spacing w:before="60" w:after="60"/>
      <w:ind w:left="340" w:hanging="340"/>
    </w:pPr>
  </w:style>
  <w:style w:type="paragraph" w:customStyle="1" w:styleId="Note">
    <w:name w:val="Note"/>
    <w:basedOn w:val="BodyText"/>
    <w:rsid w:val="00FF7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CDC"/>
    <w:pPr>
      <w:framePr w:wrap="auto" w:hAnchor="text" w:y="6049"/>
    </w:pPr>
    <w:rPr>
      <w:color w:val="000000"/>
      <w:sz w:val="40"/>
    </w:rPr>
  </w:style>
  <w:style w:type="paragraph" w:customStyle="1" w:styleId="TOCTitle">
    <w:name w:val="TOCTitle"/>
    <w:basedOn w:val="Heading1"/>
    <w:rsid w:val="00FF7CDC"/>
    <w:pPr>
      <w:spacing w:after="240"/>
      <w:jc w:val="center"/>
      <w:outlineLvl w:val="9"/>
    </w:pPr>
    <w:rPr>
      <w:caps/>
    </w:rPr>
  </w:style>
  <w:style w:type="paragraph" w:customStyle="1" w:styleId="Version">
    <w:name w:val="Version"/>
    <w:rsid w:val="00FF7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CDC"/>
    <w:pPr>
      <w:keepNext w:val="0"/>
      <w:tabs>
        <w:tab w:val="right" w:pos="4176"/>
      </w:tabs>
      <w:ind w:left="198" w:hanging="198"/>
    </w:pPr>
    <w:rPr>
      <w:rFonts w:ascii="Garamond" w:hAnsi="Garamond"/>
    </w:rPr>
  </w:style>
  <w:style w:type="paragraph" w:styleId="IndexHeading">
    <w:name w:val="index heading"/>
    <w:basedOn w:val="Normal"/>
    <w:next w:val="Index1"/>
    <w:semiHidden/>
    <w:rsid w:val="00FF7CDC"/>
    <w:pPr>
      <w:spacing w:before="120" w:after="120"/>
    </w:pPr>
    <w:rPr>
      <w:rFonts w:ascii="Arial" w:hAnsi="Arial"/>
      <w:b/>
      <w:color w:val="918585"/>
      <w:sz w:val="24"/>
    </w:rPr>
  </w:style>
  <w:style w:type="paragraph" w:styleId="Header">
    <w:name w:val="header"/>
    <w:basedOn w:val="Normal"/>
    <w:link w:val="HeaderChar"/>
    <w:rsid w:val="00FF7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CDC"/>
    <w:rPr>
      <w:rFonts w:ascii="Times New Roman" w:eastAsia="Times New Roman" w:hAnsi="Times New Roman" w:cs="Times New Roman"/>
      <w:sz w:val="16"/>
      <w:szCs w:val="20"/>
      <w:lang w:val="en-GB" w:eastAsia="en-US"/>
    </w:rPr>
  </w:style>
  <w:style w:type="paragraph" w:customStyle="1" w:styleId="Chapter">
    <w:name w:val="Chapter"/>
    <w:basedOn w:val="Normal"/>
    <w:rsid w:val="00FF7CDC"/>
    <w:pPr>
      <w:spacing w:before="240"/>
    </w:pPr>
    <w:rPr>
      <w:rFonts w:ascii="Times New Roman" w:hAnsi="Times New Roman"/>
      <w:smallCaps/>
      <w:spacing w:val="80"/>
      <w:sz w:val="28"/>
    </w:rPr>
  </w:style>
  <w:style w:type="paragraph" w:customStyle="1" w:styleId="InChapter">
    <w:name w:val="InChapter"/>
    <w:basedOn w:val="Heading3"/>
    <w:rsid w:val="00FF7CDC"/>
    <w:pPr>
      <w:spacing w:after="240"/>
      <w:outlineLvl w:val="9"/>
    </w:pPr>
    <w:rPr>
      <w:noProof/>
    </w:rPr>
  </w:style>
  <w:style w:type="paragraph" w:styleId="Index2">
    <w:name w:val="index 2"/>
    <w:basedOn w:val="Normal"/>
    <w:next w:val="Normal"/>
    <w:semiHidden/>
    <w:rsid w:val="00FF7CDC"/>
    <w:pPr>
      <w:tabs>
        <w:tab w:val="right" w:pos="4176"/>
      </w:tabs>
      <w:ind w:left="568" w:hanging="284"/>
    </w:pPr>
    <w:rPr>
      <w:rFonts w:ascii="Garamond" w:hAnsi="Garamond"/>
    </w:rPr>
  </w:style>
  <w:style w:type="paragraph" w:customStyle="1" w:styleId="Byline">
    <w:name w:val="Byline"/>
    <w:rsid w:val="00FF7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CDC"/>
    <w:pPr>
      <w:tabs>
        <w:tab w:val="clear" w:pos="3600"/>
        <w:tab w:val="clear" w:pos="3958"/>
      </w:tabs>
      <w:jc w:val="right"/>
    </w:pPr>
  </w:style>
  <w:style w:type="character" w:styleId="Emphasis">
    <w:name w:val="Emphasis"/>
    <w:basedOn w:val="DefaultParagraphFont"/>
    <w:qFormat/>
    <w:rsid w:val="00FF7CDC"/>
    <w:rPr>
      <w:i/>
    </w:rPr>
  </w:style>
  <w:style w:type="paragraph" w:styleId="Caption">
    <w:name w:val="caption"/>
    <w:basedOn w:val="BodyText"/>
    <w:next w:val="Normal"/>
    <w:qFormat/>
    <w:rsid w:val="00FF7CDC"/>
    <w:pPr>
      <w:framePr w:w="2268" w:hSpace="181" w:vSpace="181" w:wrap="around" w:vAnchor="text" w:hAnchor="page" w:x="1135" w:y="285" w:anchorLock="1"/>
    </w:pPr>
    <w:rPr>
      <w:i/>
    </w:rPr>
  </w:style>
  <w:style w:type="paragraph" w:customStyle="1" w:styleId="MiniTOCTitle">
    <w:name w:val="MiniTOCTitle"/>
    <w:basedOn w:val="Heading4"/>
    <w:rsid w:val="00FF7CDC"/>
    <w:pPr>
      <w:spacing w:before="240"/>
      <w:outlineLvl w:val="9"/>
    </w:pPr>
    <w:rPr>
      <w:noProof/>
      <w:sz w:val="24"/>
    </w:rPr>
  </w:style>
  <w:style w:type="paragraph" w:customStyle="1" w:styleId="MiniTOCItem">
    <w:name w:val="MiniTOCItem"/>
    <w:basedOn w:val="ListBullet"/>
    <w:rsid w:val="00FF7CDC"/>
    <w:pPr>
      <w:numPr>
        <w:numId w:val="0"/>
      </w:numPr>
      <w:tabs>
        <w:tab w:val="right" w:leader="dot" w:pos="6521"/>
      </w:tabs>
      <w:spacing w:before="0" w:after="0"/>
    </w:pPr>
  </w:style>
  <w:style w:type="paragraph" w:customStyle="1" w:styleId="TOFTitle">
    <w:name w:val="TOFTitle"/>
    <w:basedOn w:val="TOCTitle"/>
    <w:rsid w:val="00FF7CDC"/>
  </w:style>
  <w:style w:type="paragraph" w:styleId="TableofFigures">
    <w:name w:val="table of figures"/>
    <w:basedOn w:val="Normal"/>
    <w:next w:val="Normal"/>
    <w:semiHidden/>
    <w:rsid w:val="00FF7CDC"/>
    <w:pPr>
      <w:tabs>
        <w:tab w:val="right" w:leader="dot" w:pos="9072"/>
      </w:tabs>
      <w:ind w:left="970" w:hanging="403"/>
    </w:pPr>
    <w:rPr>
      <w:rFonts w:ascii="Times New Roman" w:hAnsi="Times New Roman"/>
      <w:b/>
    </w:rPr>
  </w:style>
  <w:style w:type="paragraph" w:styleId="ListNumber">
    <w:name w:val="List Number"/>
    <w:basedOn w:val="List"/>
    <w:rsid w:val="00FF7CDC"/>
    <w:pPr>
      <w:numPr>
        <w:numId w:val="15"/>
      </w:numPr>
      <w:tabs>
        <w:tab w:val="clear" w:pos="340"/>
      </w:tabs>
    </w:pPr>
  </w:style>
  <w:style w:type="character" w:customStyle="1" w:styleId="WingdingSymbols">
    <w:name w:val="Wingding Symbols"/>
    <w:rsid w:val="00FF7CDC"/>
    <w:rPr>
      <w:rFonts w:ascii="Wingdings" w:hAnsi="Wingdings"/>
    </w:rPr>
  </w:style>
  <w:style w:type="paragraph" w:customStyle="1" w:styleId="TableHeading">
    <w:name w:val="Table Heading"/>
    <w:basedOn w:val="HeadingBase"/>
    <w:rsid w:val="00FF7CDC"/>
    <w:pPr>
      <w:keepLines/>
      <w:pBdr>
        <w:bottom w:val="single" w:sz="6" w:space="1" w:color="918585"/>
      </w:pBdr>
      <w:spacing w:before="240"/>
    </w:pPr>
  </w:style>
  <w:style w:type="character" w:customStyle="1" w:styleId="HotSpot">
    <w:name w:val="HotSpot"/>
    <w:rsid w:val="00FF7CDC"/>
    <w:rPr>
      <w:color w:val="0033CC"/>
      <w:u w:val="none"/>
    </w:rPr>
  </w:style>
  <w:style w:type="paragraph" w:customStyle="1" w:styleId="BodyTextRight">
    <w:name w:val="Body Text Right"/>
    <w:basedOn w:val="BodyText"/>
    <w:rsid w:val="00FF7CDC"/>
    <w:pPr>
      <w:spacing w:before="0" w:after="0"/>
      <w:jc w:val="right"/>
    </w:pPr>
  </w:style>
  <w:style w:type="paragraph" w:styleId="Index3">
    <w:name w:val="index 3"/>
    <w:basedOn w:val="ListNumber2"/>
    <w:next w:val="Normal"/>
    <w:semiHidden/>
    <w:rsid w:val="00FF7CDC"/>
    <w:pPr>
      <w:numPr>
        <w:numId w:val="0"/>
      </w:numPr>
      <w:tabs>
        <w:tab w:val="right" w:leader="dot" w:pos="4176"/>
      </w:tabs>
    </w:pPr>
  </w:style>
  <w:style w:type="paragraph" w:styleId="ListNumber2">
    <w:name w:val="List Number 2"/>
    <w:basedOn w:val="List2"/>
    <w:rsid w:val="00FF7CDC"/>
    <w:pPr>
      <w:numPr>
        <w:numId w:val="10"/>
      </w:numPr>
      <w:tabs>
        <w:tab w:val="clear" w:pos="1060"/>
      </w:tabs>
    </w:pPr>
  </w:style>
  <w:style w:type="paragraph" w:customStyle="1" w:styleId="MarginNote">
    <w:name w:val="Margin Note"/>
    <w:basedOn w:val="BodyText"/>
    <w:rsid w:val="00FF7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CDC"/>
    <w:rPr>
      <w:sz w:val="32"/>
    </w:rPr>
  </w:style>
  <w:style w:type="paragraph" w:customStyle="1" w:styleId="HeadingProcedure">
    <w:name w:val="Heading Procedure"/>
    <w:basedOn w:val="HeadingBase"/>
    <w:next w:val="Normal"/>
    <w:rsid w:val="00FF7CDC"/>
    <w:pPr>
      <w:tabs>
        <w:tab w:val="left" w:pos="0"/>
      </w:tabs>
      <w:spacing w:before="120" w:after="60"/>
    </w:pPr>
    <w:rPr>
      <w:i/>
      <w:color w:val="918585"/>
      <w:sz w:val="22"/>
    </w:rPr>
  </w:style>
  <w:style w:type="paragraph" w:customStyle="1" w:styleId="TableBodyText">
    <w:name w:val="Table Body Text"/>
    <w:basedOn w:val="BodyText"/>
    <w:rsid w:val="00FF7CDC"/>
    <w:pPr>
      <w:spacing w:before="60" w:after="60"/>
    </w:pPr>
  </w:style>
  <w:style w:type="paragraph" w:styleId="ListContinue">
    <w:name w:val="List Continue"/>
    <w:basedOn w:val="List"/>
    <w:rsid w:val="00FF7CDC"/>
    <w:pPr>
      <w:ind w:firstLine="0"/>
    </w:pPr>
  </w:style>
  <w:style w:type="paragraph" w:customStyle="1" w:styleId="ListNote">
    <w:name w:val="List Note"/>
    <w:basedOn w:val="List"/>
    <w:rsid w:val="00FF7CDC"/>
    <w:pPr>
      <w:pBdr>
        <w:top w:val="single" w:sz="6" w:space="2" w:color="918585"/>
        <w:bottom w:val="single" w:sz="6" w:space="2" w:color="918585"/>
      </w:pBdr>
      <w:tabs>
        <w:tab w:val="left" w:pos="1021"/>
      </w:tabs>
      <w:ind w:firstLine="0"/>
    </w:pPr>
  </w:style>
  <w:style w:type="paragraph" w:customStyle="1" w:styleId="Warning">
    <w:name w:val="Warning"/>
    <w:basedOn w:val="BodyText"/>
    <w:rsid w:val="00FF7CDC"/>
    <w:pPr>
      <w:shd w:val="clear" w:color="auto" w:fill="D9D9D9"/>
      <w:tabs>
        <w:tab w:val="left" w:pos="992"/>
      </w:tabs>
      <w:ind w:left="119" w:right="119"/>
    </w:pPr>
    <w:rPr>
      <w:sz w:val="20"/>
    </w:rPr>
  </w:style>
  <w:style w:type="paragraph" w:customStyle="1" w:styleId="MarginIcons">
    <w:name w:val="Margin Icons"/>
    <w:basedOn w:val="BodyText"/>
    <w:rsid w:val="00FF7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CDC"/>
    <w:rPr>
      <w:rFonts w:ascii="Courier New" w:hAnsi="Courier New"/>
    </w:rPr>
  </w:style>
  <w:style w:type="paragraph" w:customStyle="1" w:styleId="NoteBullet">
    <w:name w:val="Note Bullet"/>
    <w:basedOn w:val="Note"/>
    <w:rsid w:val="00FF7CDC"/>
    <w:pPr>
      <w:tabs>
        <w:tab w:val="clear" w:pos="680"/>
      </w:tabs>
      <w:spacing w:before="60" w:after="60"/>
    </w:pPr>
  </w:style>
  <w:style w:type="paragraph" w:customStyle="1" w:styleId="SubHeading2">
    <w:name w:val="SubHeading2"/>
    <w:basedOn w:val="HeadingBase"/>
    <w:rsid w:val="00FF7CDC"/>
    <w:pPr>
      <w:spacing w:before="240" w:after="60"/>
    </w:pPr>
    <w:rPr>
      <w:sz w:val="20"/>
    </w:rPr>
  </w:style>
  <w:style w:type="paragraph" w:customStyle="1" w:styleId="SubHeading1">
    <w:name w:val="SubHeading1"/>
    <w:basedOn w:val="HeadingBase"/>
    <w:rsid w:val="00FF7CDC"/>
    <w:pPr>
      <w:spacing w:before="240" w:after="60"/>
    </w:pPr>
    <w:rPr>
      <w:color w:val="918585"/>
      <w:sz w:val="22"/>
    </w:rPr>
  </w:style>
  <w:style w:type="paragraph" w:customStyle="1" w:styleId="SideHeading">
    <w:name w:val="Side Heading"/>
    <w:basedOn w:val="HeadingBase"/>
    <w:rsid w:val="00FF7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CDC"/>
    <w:pPr>
      <w:tabs>
        <w:tab w:val="num" w:pos="360"/>
      </w:tabs>
    </w:pPr>
  </w:style>
  <w:style w:type="paragraph" w:styleId="PlainText">
    <w:name w:val="Plain Text"/>
    <w:basedOn w:val="Normal"/>
    <w:link w:val="PlainTextChar"/>
    <w:rsid w:val="00FF7CDC"/>
    <w:rPr>
      <w:sz w:val="20"/>
    </w:rPr>
  </w:style>
  <w:style w:type="character" w:customStyle="1" w:styleId="PlainTextChar">
    <w:name w:val="Plain Text Char"/>
    <w:basedOn w:val="DefaultParagraphFont"/>
    <w:link w:val="PlainText"/>
    <w:rsid w:val="00FF7CDC"/>
    <w:rPr>
      <w:rFonts w:ascii="Courier New" w:eastAsia="Times New Roman" w:hAnsi="Courier New" w:cs="Times New Roman"/>
      <w:sz w:val="20"/>
      <w:szCs w:val="20"/>
      <w:lang w:eastAsia="en-US"/>
    </w:rPr>
  </w:style>
  <w:style w:type="character" w:customStyle="1" w:styleId="MenuOption">
    <w:name w:val="Menu Option"/>
    <w:basedOn w:val="DefaultParagraphFont"/>
    <w:rsid w:val="00FF7CDC"/>
    <w:rPr>
      <w:b/>
      <w:smallCaps/>
    </w:rPr>
  </w:style>
  <w:style w:type="paragraph" w:customStyle="1" w:styleId="TableListNumber">
    <w:name w:val="Table List Number"/>
    <w:basedOn w:val="ListNumber"/>
    <w:rsid w:val="00FF7CDC"/>
    <w:pPr>
      <w:numPr>
        <w:numId w:val="0"/>
      </w:numPr>
    </w:pPr>
  </w:style>
  <w:style w:type="paragraph" w:styleId="TOC4">
    <w:name w:val="toc 4"/>
    <w:basedOn w:val="TOCBase"/>
    <w:next w:val="Normal"/>
    <w:semiHidden/>
    <w:rsid w:val="00FF7CDC"/>
    <w:pPr>
      <w:tabs>
        <w:tab w:val="right" w:leader="dot" w:pos="9071"/>
      </w:tabs>
      <w:ind w:left="1701"/>
    </w:pPr>
  </w:style>
  <w:style w:type="paragraph" w:customStyle="1" w:styleId="ListAlpha">
    <w:name w:val="List Alpha"/>
    <w:basedOn w:val="List"/>
    <w:rsid w:val="00FF7CDC"/>
    <w:pPr>
      <w:numPr>
        <w:numId w:val="9"/>
      </w:numPr>
    </w:pPr>
  </w:style>
  <w:style w:type="paragraph" w:customStyle="1" w:styleId="ListAlpha2">
    <w:name w:val="List Alpha 2"/>
    <w:basedOn w:val="List2"/>
    <w:rsid w:val="00FF7CDC"/>
    <w:pPr>
      <w:numPr>
        <w:numId w:val="8"/>
      </w:numPr>
    </w:pPr>
  </w:style>
  <w:style w:type="paragraph" w:styleId="List2">
    <w:name w:val="List 2"/>
    <w:basedOn w:val="BodyText"/>
    <w:rsid w:val="00FF7CDC"/>
    <w:pPr>
      <w:tabs>
        <w:tab w:val="left" w:pos="680"/>
      </w:tabs>
      <w:spacing w:before="60" w:after="60"/>
      <w:ind w:left="680" w:hanging="340"/>
    </w:pPr>
  </w:style>
  <w:style w:type="paragraph" w:styleId="List3">
    <w:name w:val="List 3"/>
    <w:basedOn w:val="BodyText"/>
    <w:rsid w:val="00FF7CDC"/>
    <w:pPr>
      <w:tabs>
        <w:tab w:val="left" w:pos="1021"/>
      </w:tabs>
      <w:spacing w:before="60" w:after="60"/>
      <w:ind w:left="1020" w:hanging="340"/>
    </w:pPr>
  </w:style>
  <w:style w:type="paragraph" w:styleId="List4">
    <w:name w:val="List 4"/>
    <w:basedOn w:val="BodyText"/>
    <w:rsid w:val="00FF7CDC"/>
    <w:pPr>
      <w:tabs>
        <w:tab w:val="left" w:pos="1361"/>
      </w:tabs>
      <w:spacing w:before="60" w:after="60"/>
      <w:ind w:left="1361" w:hanging="340"/>
    </w:pPr>
  </w:style>
  <w:style w:type="paragraph" w:styleId="List5">
    <w:name w:val="List 5"/>
    <w:basedOn w:val="BodyText"/>
    <w:rsid w:val="00FF7CDC"/>
    <w:pPr>
      <w:tabs>
        <w:tab w:val="left" w:pos="1701"/>
      </w:tabs>
      <w:spacing w:before="60" w:after="60"/>
      <w:ind w:left="1701" w:hanging="340"/>
    </w:pPr>
  </w:style>
  <w:style w:type="paragraph" w:styleId="ListBullet3">
    <w:name w:val="List Bullet 3"/>
    <w:basedOn w:val="List3"/>
    <w:rsid w:val="00FF7CDC"/>
    <w:pPr>
      <w:numPr>
        <w:numId w:val="14"/>
      </w:numPr>
      <w:tabs>
        <w:tab w:val="clear" w:pos="1021"/>
      </w:tabs>
      <w:ind w:left="1037" w:hanging="357"/>
    </w:pPr>
  </w:style>
  <w:style w:type="paragraph" w:styleId="ListBullet4">
    <w:name w:val="List Bullet 4"/>
    <w:basedOn w:val="List4"/>
    <w:rsid w:val="00FF7CDC"/>
    <w:pPr>
      <w:numPr>
        <w:numId w:val="3"/>
      </w:numPr>
      <w:tabs>
        <w:tab w:val="clear" w:pos="1361"/>
      </w:tabs>
    </w:pPr>
  </w:style>
  <w:style w:type="paragraph" w:styleId="ListBullet5">
    <w:name w:val="List Bullet 5"/>
    <w:basedOn w:val="List5"/>
    <w:rsid w:val="00FF7CDC"/>
    <w:pPr>
      <w:numPr>
        <w:numId w:val="4"/>
      </w:numPr>
    </w:pPr>
  </w:style>
  <w:style w:type="paragraph" w:styleId="ListContinue2">
    <w:name w:val="List Continue 2"/>
    <w:basedOn w:val="List2"/>
    <w:rsid w:val="00FF7CDC"/>
    <w:pPr>
      <w:ind w:firstLine="0"/>
    </w:pPr>
  </w:style>
  <w:style w:type="paragraph" w:styleId="ListContinue3">
    <w:name w:val="List Continue 3"/>
    <w:basedOn w:val="List3"/>
    <w:rsid w:val="00FF7CDC"/>
    <w:pPr>
      <w:ind w:left="1021" w:firstLine="0"/>
    </w:pPr>
  </w:style>
  <w:style w:type="paragraph" w:styleId="ListContinue4">
    <w:name w:val="List Continue 4"/>
    <w:basedOn w:val="List4"/>
    <w:rsid w:val="00FF7CDC"/>
    <w:pPr>
      <w:ind w:firstLine="0"/>
    </w:pPr>
  </w:style>
  <w:style w:type="paragraph" w:styleId="ListContinue5">
    <w:name w:val="List Continue 5"/>
    <w:basedOn w:val="List5"/>
    <w:rsid w:val="00FF7CDC"/>
    <w:pPr>
      <w:ind w:firstLine="0"/>
    </w:pPr>
  </w:style>
  <w:style w:type="paragraph" w:styleId="ListNumber3">
    <w:name w:val="List Number 3"/>
    <w:basedOn w:val="List3"/>
    <w:rsid w:val="00FF7CDC"/>
    <w:pPr>
      <w:numPr>
        <w:numId w:val="5"/>
      </w:numPr>
    </w:pPr>
  </w:style>
  <w:style w:type="paragraph" w:styleId="ListNumber4">
    <w:name w:val="List Number 4"/>
    <w:basedOn w:val="List4"/>
    <w:rsid w:val="00FF7CDC"/>
    <w:pPr>
      <w:numPr>
        <w:numId w:val="6"/>
      </w:numPr>
    </w:pPr>
  </w:style>
  <w:style w:type="paragraph" w:styleId="ListNumber5">
    <w:name w:val="List Number 5"/>
    <w:basedOn w:val="List5"/>
    <w:rsid w:val="00FF7CDC"/>
    <w:pPr>
      <w:numPr>
        <w:numId w:val="7"/>
      </w:numPr>
    </w:pPr>
  </w:style>
  <w:style w:type="paragraph" w:styleId="BlockText">
    <w:name w:val="Block Text"/>
    <w:basedOn w:val="Normal"/>
    <w:rsid w:val="00FF7CDC"/>
    <w:pPr>
      <w:spacing w:after="120"/>
      <w:ind w:left="1440" w:right="1440"/>
    </w:pPr>
  </w:style>
  <w:style w:type="character" w:customStyle="1" w:styleId="Subscript">
    <w:name w:val="Subscript"/>
    <w:basedOn w:val="DefaultParagraphFont"/>
    <w:rsid w:val="00FF7CDC"/>
    <w:rPr>
      <w:sz w:val="16"/>
      <w:vertAlign w:val="subscript"/>
    </w:rPr>
  </w:style>
  <w:style w:type="character" w:customStyle="1" w:styleId="Superscript">
    <w:name w:val="Superscript"/>
    <w:basedOn w:val="DefaultParagraphFont"/>
    <w:rsid w:val="00FF7CDC"/>
    <w:rPr>
      <w:sz w:val="16"/>
      <w:vertAlign w:val="superscript"/>
    </w:rPr>
  </w:style>
  <w:style w:type="character" w:customStyle="1" w:styleId="Symbols">
    <w:name w:val="Symbols"/>
    <w:basedOn w:val="DefaultParagraphFont"/>
    <w:rsid w:val="00FF7CDC"/>
    <w:rPr>
      <w:rFonts w:ascii="Symbol" w:hAnsi="Symbol"/>
    </w:rPr>
  </w:style>
  <w:style w:type="character" w:customStyle="1" w:styleId="MenuOptions">
    <w:name w:val="Menu Options"/>
    <w:basedOn w:val="DefaultParagraphFont"/>
    <w:rsid w:val="00FF7CDC"/>
    <w:rPr>
      <w:rFonts w:ascii="Arial Narrow" w:hAnsi="Arial Narrow"/>
      <w:smallCaps/>
    </w:rPr>
  </w:style>
  <w:style w:type="character" w:customStyle="1" w:styleId="Buttons">
    <w:name w:val="Buttons"/>
    <w:basedOn w:val="DefaultParagraphFont"/>
    <w:rsid w:val="00FF7CDC"/>
    <w:rPr>
      <w:b/>
    </w:rPr>
  </w:style>
  <w:style w:type="character" w:customStyle="1" w:styleId="Underlined">
    <w:name w:val="Underlined"/>
    <w:basedOn w:val="DefaultParagraphFont"/>
    <w:rsid w:val="00FF7CDC"/>
    <w:rPr>
      <w:u w:val="single"/>
    </w:rPr>
  </w:style>
  <w:style w:type="paragraph" w:customStyle="1" w:styleId="TableBodyTextRight">
    <w:name w:val="Table Body Text Right"/>
    <w:basedOn w:val="TableBodyText"/>
    <w:rsid w:val="00FF7CDC"/>
    <w:pPr>
      <w:widowControl w:val="0"/>
      <w:autoSpaceDE w:val="0"/>
      <w:autoSpaceDN w:val="0"/>
      <w:adjustRightInd w:val="0"/>
      <w:jc w:val="right"/>
    </w:pPr>
    <w:rPr>
      <w:rFonts w:cs="Arial"/>
      <w:szCs w:val="18"/>
    </w:rPr>
  </w:style>
  <w:style w:type="paragraph" w:customStyle="1" w:styleId="CopyrightText">
    <w:name w:val="Copyright Text"/>
    <w:basedOn w:val="BodyText"/>
    <w:rsid w:val="00FF7CDC"/>
    <w:rPr>
      <w:sz w:val="18"/>
    </w:rPr>
  </w:style>
  <w:style w:type="paragraph" w:customStyle="1" w:styleId="BodySmallRight">
    <w:name w:val="Body Small Right"/>
    <w:basedOn w:val="BodyTextRight"/>
    <w:rsid w:val="00FF7CDC"/>
    <w:rPr>
      <w:sz w:val="18"/>
      <w:szCs w:val="18"/>
    </w:rPr>
  </w:style>
  <w:style w:type="paragraph" w:customStyle="1" w:styleId="MarginEdition">
    <w:name w:val="Margin Edition"/>
    <w:basedOn w:val="MarginNote"/>
    <w:rsid w:val="00FF7CDC"/>
    <w:pPr>
      <w:spacing w:before="0" w:after="0"/>
    </w:pPr>
    <w:rPr>
      <w:rFonts w:ascii="Times New Roman" w:hAnsi="Times New Roman"/>
      <w:color w:val="999999"/>
    </w:rPr>
  </w:style>
  <w:style w:type="paragraph" w:customStyle="1" w:styleId="Spacer">
    <w:name w:val="Spacer"/>
    <w:basedOn w:val="Normal"/>
    <w:rsid w:val="00FF7CDC"/>
    <w:rPr>
      <w:sz w:val="2"/>
      <w:szCs w:val="2"/>
    </w:rPr>
  </w:style>
  <w:style w:type="character" w:customStyle="1" w:styleId="Small">
    <w:name w:val="Small"/>
    <w:basedOn w:val="DefaultParagraphFont"/>
    <w:rsid w:val="00FF7CDC"/>
    <w:rPr>
      <w:sz w:val="16"/>
    </w:rPr>
  </w:style>
  <w:style w:type="paragraph" w:customStyle="1" w:styleId="WideTable">
    <w:name w:val="Wide Table"/>
    <w:basedOn w:val="Normal"/>
    <w:rsid w:val="00FF7CDC"/>
    <w:pPr>
      <w:ind w:left="-1418"/>
    </w:pPr>
    <w:rPr>
      <w:sz w:val="2"/>
      <w:szCs w:val="2"/>
    </w:rPr>
  </w:style>
  <w:style w:type="character" w:styleId="PageNumber">
    <w:name w:val="page number"/>
    <w:basedOn w:val="DefaultParagraphFont"/>
    <w:rsid w:val="00FF7CDC"/>
  </w:style>
  <w:style w:type="paragraph" w:styleId="Quote">
    <w:name w:val="Quote"/>
    <w:basedOn w:val="Heading1"/>
    <w:link w:val="QuoteChar"/>
    <w:qFormat/>
    <w:rsid w:val="00FF7CDC"/>
    <w:rPr>
      <w:b w:val="0"/>
      <w:sz w:val="72"/>
      <w:szCs w:val="72"/>
      <w:lang w:val="en-NZ"/>
    </w:rPr>
  </w:style>
  <w:style w:type="character" w:customStyle="1" w:styleId="QuoteChar">
    <w:name w:val="Quote Char"/>
    <w:basedOn w:val="DefaultParagraphFont"/>
    <w:link w:val="Quote"/>
    <w:rsid w:val="00FF7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CDC"/>
    <w:pPr>
      <w:pageBreakBefore/>
    </w:pPr>
  </w:style>
  <w:style w:type="paragraph" w:customStyle="1" w:styleId="Border">
    <w:name w:val="Border"/>
    <w:basedOn w:val="Normal"/>
    <w:qFormat/>
    <w:rsid w:val="00FF7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CDC"/>
    <w:rPr>
      <w:b/>
      <w:bCs/>
      <w:i/>
      <w:iCs/>
      <w:color w:val="auto"/>
    </w:rPr>
  </w:style>
  <w:style w:type="paragraph" w:styleId="IntenseQuote">
    <w:name w:val="Intense Quote"/>
    <w:basedOn w:val="Normal"/>
    <w:next w:val="Normal"/>
    <w:link w:val="IntenseQuoteChar"/>
    <w:uiPriority w:val="30"/>
    <w:qFormat/>
    <w:rsid w:val="00FF7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CDC"/>
    <w:rPr>
      <w:smallCaps/>
      <w:color w:val="auto"/>
      <w:u w:val="single"/>
    </w:rPr>
  </w:style>
  <w:style w:type="character" w:styleId="IntenseReference">
    <w:name w:val="Intense Reference"/>
    <w:basedOn w:val="DefaultParagraphFont"/>
    <w:uiPriority w:val="32"/>
    <w:qFormat/>
    <w:rsid w:val="00FF7CDC"/>
    <w:rPr>
      <w:b/>
      <w:bCs/>
      <w:smallCaps/>
      <w:color w:val="auto"/>
      <w:spacing w:val="5"/>
      <w:u w:val="single"/>
    </w:rPr>
  </w:style>
  <w:style w:type="paragraph" w:customStyle="1" w:styleId="2ColumnHeading">
    <w:name w:val="2Column Heading"/>
    <w:basedOn w:val="BodyText"/>
    <w:qFormat/>
    <w:rsid w:val="00FF7CDC"/>
    <w:pPr>
      <w:spacing w:after="60"/>
      <w:ind w:left="-2268"/>
    </w:pPr>
    <w:rPr>
      <w:b/>
    </w:rPr>
  </w:style>
  <w:style w:type="paragraph" w:customStyle="1" w:styleId="Heading1TOC">
    <w:name w:val="Heading1 TOC"/>
    <w:basedOn w:val="Normal"/>
    <w:qFormat/>
    <w:rsid w:val="00FF7CDC"/>
    <w:pPr>
      <w:spacing w:before="240" w:after="120"/>
    </w:pPr>
    <w:rPr>
      <w:rFonts w:ascii="Times New Roman" w:hAnsi="Times New Roman"/>
      <w:b/>
      <w:sz w:val="32"/>
    </w:rPr>
  </w:style>
  <w:style w:type="paragraph" w:customStyle="1" w:styleId="Heading2TOC">
    <w:name w:val="Heading2 TOC"/>
    <w:basedOn w:val="Normal"/>
    <w:qFormat/>
    <w:rsid w:val="00FF7CDC"/>
    <w:pPr>
      <w:spacing w:before="240" w:after="60"/>
    </w:pPr>
    <w:rPr>
      <w:rFonts w:ascii="Times New Roman" w:hAnsi="Times New Roman"/>
      <w:b/>
      <w:sz w:val="28"/>
    </w:rPr>
  </w:style>
  <w:style w:type="character" w:customStyle="1" w:styleId="Underline">
    <w:name w:val="Underline"/>
    <w:basedOn w:val="DefaultParagraphFont"/>
    <w:qFormat/>
    <w:rsid w:val="00FF7CDC"/>
    <w:rPr>
      <w:u w:val="single"/>
    </w:rPr>
  </w:style>
  <w:style w:type="character" w:customStyle="1" w:styleId="BoldandItalics">
    <w:name w:val="Bold and Italics"/>
    <w:qFormat/>
    <w:rsid w:val="00FF7CDC"/>
    <w:rPr>
      <w:b/>
      <w:i/>
      <w:u w:val="none"/>
    </w:rPr>
  </w:style>
  <w:style w:type="paragraph" w:styleId="BalloonText">
    <w:name w:val="Balloon Text"/>
    <w:basedOn w:val="Normal"/>
    <w:link w:val="BalloonTextChar"/>
    <w:rsid w:val="00FF7CDC"/>
    <w:rPr>
      <w:rFonts w:ascii="Tahoma" w:hAnsi="Tahoma" w:cs="Tahoma"/>
      <w:sz w:val="16"/>
      <w:szCs w:val="16"/>
    </w:rPr>
  </w:style>
  <w:style w:type="character" w:customStyle="1" w:styleId="BalloonTextChar">
    <w:name w:val="Balloon Text Char"/>
    <w:basedOn w:val="DefaultParagraphFont"/>
    <w:link w:val="BalloonText"/>
    <w:rsid w:val="00FF7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CDC"/>
    <w:rPr>
      <w:b/>
      <w:color w:val="660033"/>
      <w:spacing w:val="0"/>
    </w:rPr>
  </w:style>
  <w:style w:type="paragraph" w:customStyle="1" w:styleId="Nameditemlist">
    <w:name w:val="Named item list"/>
    <w:basedOn w:val="BodyText"/>
    <w:qFormat/>
    <w:rsid w:val="00FF7CDC"/>
    <w:pPr>
      <w:tabs>
        <w:tab w:val="left" w:pos="2835"/>
      </w:tabs>
      <w:ind w:left="2835" w:hanging="2835"/>
    </w:pPr>
  </w:style>
  <w:style w:type="paragraph" w:customStyle="1" w:styleId="BodyTextnopadding">
    <w:name w:val="Body Text no padding"/>
    <w:basedOn w:val="BodyText"/>
    <w:qFormat/>
    <w:rsid w:val="00FF7CDC"/>
    <w:pPr>
      <w:spacing w:before="0" w:after="0"/>
    </w:pPr>
  </w:style>
  <w:style w:type="paragraph" w:customStyle="1" w:styleId="BodyTextBold">
    <w:name w:val="Body Text Bold"/>
    <w:basedOn w:val="BodyText"/>
    <w:qFormat/>
    <w:rsid w:val="00FF7CDC"/>
    <w:rPr>
      <w:b/>
    </w:rPr>
  </w:style>
  <w:style w:type="character" w:styleId="Hyperlink">
    <w:name w:val="Hyperlink"/>
    <w:basedOn w:val="DefaultParagraphFont"/>
    <w:uiPriority w:val="99"/>
    <w:unhideWhenUsed/>
    <w:rsid w:val="00660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1304</Words>
  <Characters>8128</Characters>
  <Application>Microsoft Office Word</Application>
  <DocSecurity>0</DocSecurity>
  <Lines>338</Lines>
  <Paragraphs>157</Paragraphs>
  <ScaleCrop>false</ScaleCrop>
  <Company>Author-it Software Corporation Ltd.</Company>
  <LinksUpToDate>false</LinksUpToDate>
  <CharactersWithSpaces>9275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UEERL0008 Disconnect-reconnect explosion-protected appliances and control devices connected to LV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2024-11-29T00:47:00Z</dcterms:modified>
</cp:coreProperties>
</file>