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46D" w:rsidP="009D4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UEERL0006 Attach HV flexible cables and plugs</w:t>
      </w:r>
      <w:r>
        <w:fldChar w:fldCharType="end"/>
      </w:r>
    </w:p>
    <w:p w:rsidR="009D446D" w:rsidP="009D446D">
      <w:pPr>
        <w:pStyle w:val="Version"/>
        <w:sectPr w:rsidSect="00814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7BC" w:rsidP="008147BC">
      <w:pPr>
        <w:pStyle w:val="SuperHeading"/>
      </w:pPr>
      <w:r w:rsidRPr="008147BC">
        <w:t>UEERL0006 Attach HV flexible cables and plugs</w:t>
      </w:r>
    </w:p>
    <w:p w:rsidR="00000000" w:rsidRPr="008147BC" w:rsidP="008147BC">
      <w:pPr>
        <w:pStyle w:val="Heading1"/>
      </w:pPr>
      <w:bookmarkStart w:id="1" w:name="O_1101027"/>
      <w:bookmarkEnd w:id="1"/>
      <w:r w:rsidRPr="008147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Release 1. This is the first release of this unit of competency in the UEE Electrotechnology Training Package.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2" w:name="O_1101028"/>
      <w:bookmarkEnd w:id="2"/>
      <w:r w:rsidRPr="008147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This unit involves the skills and knowledge required to attach flexible cords, cab</w:t>
            </w:r>
            <w:r w:rsidRPr="008147BC">
              <w:t>les and plugs, including trailing and feeder cables, to high voltage (HV) electrical equipment connected to a supply exceeding 1,000 volts (V) alternating current (a.c). or 1,500 volts (V) direct current (d.c.).</w:t>
            </w:r>
          </w:p>
          <w:p w:rsidR="00000000" w:rsidRPr="008147BC" w:rsidP="008147BC">
            <w:pPr>
              <w:pStyle w:val="BodyText"/>
            </w:pPr>
            <w:r w:rsidRPr="008147BC">
              <w:t>It includes working safely; identifying plug</w:t>
            </w:r>
            <w:r w:rsidRPr="008147BC">
              <w:t xml:space="preserve"> configurations; selecting and using inspecting, testing and measuring devices; terminating and connecting HV flexible cables, plugs and conductors; safety testing and reporting.</w:t>
            </w:r>
          </w:p>
          <w:p w:rsidR="00000000" w:rsidRPr="008147BC" w:rsidP="008147BC">
            <w:pPr>
              <w:pStyle w:val="BodyText"/>
            </w:pPr>
            <w:r w:rsidRPr="008147BC">
              <w:t>The skills and knowledge described in this unit require a licence or permit t</w:t>
            </w:r>
            <w:r w:rsidRPr="008147BC">
              <w:t xml:space="preserve">o practice in the workplace where work is carried out on electrical installations which are designed to operate at voltages greater than 50 V a.c. or 120 V d.c. </w:t>
            </w:r>
          </w:p>
          <w:p w:rsidR="00000000" w:rsidRPr="008147BC" w:rsidP="008147BC">
            <w:pPr>
              <w:pStyle w:val="BodyText"/>
            </w:pPr>
            <w:r w:rsidRPr="008147BC">
              <w:t xml:space="preserve">Competency development activities in this unit are subject to regulations directly related to </w:t>
            </w:r>
            <w:r w:rsidRPr="008147BC">
              <w:t>licensing. Where a licence or permit to practice is not held, a relevant contract of training, such as an Australian Apprenticeship, may be required.</w:t>
            </w:r>
          </w:p>
          <w:p w:rsidR="00000000" w:rsidRPr="008147BC" w:rsidP="008147BC">
            <w:pPr>
              <w:pStyle w:val="BodyText"/>
            </w:pPr>
            <w:r w:rsidRPr="008147BC">
              <w:t>Additional and/or other conditions may apply in some jurisdictions subject to regulations related to elect</w:t>
            </w:r>
            <w:r w:rsidRPr="008147BC">
              <w:t>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3" w:name="O_1101029"/>
      <w:bookmarkEnd w:id="3"/>
      <w:r w:rsidRPr="008147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UEECD0007 Apply work health and safety regulations, codes an</w:t>
            </w:r>
            <w:r w:rsidRPr="008147BC">
              <w:t>d practices in the workplace</w:t>
            </w:r>
          </w:p>
          <w:p w:rsidR="00000000" w:rsidRPr="008147BC" w:rsidP="008147BC">
            <w:pPr>
              <w:pStyle w:val="BodyText"/>
            </w:pPr>
            <w:r w:rsidRPr="008147BC">
              <w:t>UEERL0001 Attach cords and plugs to electrical equipment for connection to a single phase 230 volt supply</w:t>
            </w:r>
          </w:p>
          <w:p w:rsidR="00000000" w:rsidRPr="008147BC" w:rsidP="008147BC">
            <w:pPr>
              <w:pStyle w:val="BodyText"/>
            </w:pPr>
            <w:r w:rsidRPr="008147BC">
              <w:t>UEERL0002 Attach cords, cables and plugs to electrical equipment for connection to 1,000 V a.c. or 1500 V d.c. supply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4" w:name="O_1101030"/>
      <w:bookmarkEnd w:id="4"/>
      <w:r w:rsidRPr="008147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Restricted Licensing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5" w:name="O_1101031"/>
      <w:bookmarkEnd w:id="5"/>
      <w:r w:rsidRPr="008147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Electrotechnology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6" w:name="O_1101032"/>
      <w:bookmarkEnd w:id="6"/>
      <w:r w:rsidRPr="008147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PERFORMANCE CRITERIA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Performance criteria describe the performance needed to demonstrate achievement of the element.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Plan to attach flexible 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 xml:space="preserve">Work is planned, sequenced and prepared in accordance with WHS/OHS requirements and workplace procedures 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1</w:t>
            </w:r>
            <w:r w:rsidRPr="008147BC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Condition and ratings of cables and plugs are determined from relevant industry standards and work instructions from relevant person/s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Flexible cables and plugs are selected in accordance with relevant industry standards and workplace procedure for condition and rating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Materials necessary to complete work are obtained in accordance with workplace procedures and checked against work</w:t>
            </w:r>
            <w:r w:rsidRPr="008147BC">
              <w:t xml:space="preserve"> instruction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Tools, equipment and testing devices needed to carry out work are obtained in accordance with workplace procedures and checked for correct operation and safety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Attach flexible 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 xml:space="preserve">WHS/OHS policies and procedures are </w:t>
            </w:r>
            <w:r w:rsidRPr="008147BC">
              <w:t>followed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Flexible cables and plugs are prepared without damage to insulation and conductors and in accordance with relevant industry standards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Equipment is earthed in accordance with relevant industry standards and confirmed de-energised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Visual inspection and checks of the electrical equipment and associated wiring are conducted in accordance with workplace procedures to detect any abnormal damage or fault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Approval is obtained in accordance with workplace procedures from relevan</w:t>
            </w:r>
            <w:r w:rsidRPr="008147BC">
              <w:t>t person/s before any contingencies are implemented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Insulated equipment is inspected and maintained in accordance with relevant industry standards and workplace procedures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Conductors are connected to terminals ensuring the required polarity is in accordance with relevant industry standards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rPr>
                <w:rStyle w:val="SpecialBold"/>
              </w:rPr>
              <w:t>Inspect and test equipment for operation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HV electrical installation and operation of cables and plugs connected to equi</w:t>
            </w:r>
            <w:r w:rsidRPr="008147BC">
              <w:t xml:space="preserve">pment are inspected and tested in accordance with relevant industry standards, work instructions and workplace procedures 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Approval is obtained from relevant person/s to confirm completion of work is in accordance with workplace procedures before su</w:t>
            </w:r>
            <w:r w:rsidRPr="008147BC">
              <w:t>pply is connected</w:t>
            </w:r>
          </w:p>
        </w:tc>
      </w:tr>
      <w:tr w:rsidTr="008147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Status reports are completed in accordance with established procedures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7" w:name="O_1101033"/>
      <w:bookmarkEnd w:id="7"/>
      <w:r w:rsidRPr="008147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Foundation skills essential to performance are explicit in the performance criteria of this unit of competency.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8" w:name="O_1101034"/>
      <w:bookmarkEnd w:id="8"/>
      <w:r w:rsidRPr="008147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Range is restricted to essential operating conditions and any other variables essential to the work environment.</w:t>
            </w:r>
          </w:p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Non-essential conditions may be found in the UEE Electrotechnology Training Package Companion Volume Impl</w:t>
            </w:r>
            <w:r w:rsidRPr="008147BC">
              <w:t>ementation Guide.</w:t>
            </w:r>
          </w:p>
        </w:tc>
      </w:tr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BC">
            <w:pPr>
              <w:pStyle w:val="BodyText"/>
              <w:rPr>
                <w:lang w:val="en-NZ"/>
              </w:rPr>
            </w:pPr>
            <w:r w:rsidRPr="008147BC">
              <w:t>Flexible cables and plugs for connecting equipment intended to operate at HV must not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ListBullet"/>
            </w:pPr>
            <w:r w:rsidRPr="008147BC">
              <w:t>where high fault currents are possible</w:t>
            </w:r>
          </w:p>
          <w:p w:rsidR="00000000" w:rsidRPr="008147BC" w:rsidP="008147BC">
            <w:pPr>
              <w:pStyle w:val="ListBullet"/>
            </w:pPr>
            <w:r w:rsidRPr="008147BC">
              <w:t>on complex electrical work</w:t>
            </w:r>
          </w:p>
          <w:p w:rsidR="00000000" w:rsidRPr="008147BC" w:rsidP="008147BC">
            <w:pPr>
              <w:pStyle w:val="ListBullet"/>
            </w:pPr>
            <w:r w:rsidRPr="008147BC">
              <w:t>competencies associated with fixed wiring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9" w:name="O_1101035"/>
      <w:bookmarkEnd w:id="9"/>
      <w:r w:rsidRPr="008147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7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BC" w:rsidP="008147BC">
            <w:pPr>
              <w:pStyle w:val="BodyText"/>
            </w:pPr>
            <w:r w:rsidRPr="008147BC">
              <w:t>This unit replaces and is equivalent to UEENEEP023A HV Flexible Cables and Plugs.</w:t>
            </w:r>
          </w:p>
        </w:tc>
      </w:tr>
    </w:tbl>
    <w:p w:rsidR="00000000" w:rsidRPr="008147BC" w:rsidP="008147BC">
      <w:pPr>
        <w:pStyle w:val="NoPaddingFontSize1"/>
      </w:pPr>
    </w:p>
    <w:p w:rsidR="00000000" w:rsidRPr="008147BC" w:rsidP="008147BC">
      <w:pPr>
        <w:pStyle w:val="AllowPageBreak"/>
      </w:pPr>
    </w:p>
    <w:p w:rsidR="00000000" w:rsidRPr="008147BC" w:rsidP="008147BC">
      <w:pPr>
        <w:pStyle w:val="Heading1"/>
      </w:pPr>
      <w:bookmarkStart w:id="10" w:name="O_1101042"/>
      <w:bookmarkEnd w:id="10"/>
      <w:r w:rsidRPr="008147BC">
        <w:t>Links</w:t>
      </w:r>
    </w:p>
    <w:p w:rsidR="00000000" w:rsidRPr="008147BC" w:rsidP="009D446D">
      <w:pPr>
        <w:pStyle w:val="BodyText"/>
      </w:pPr>
      <w:r w:rsidRPr="008147B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6BD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147BC" w:rsidP="008147BC"/>
    <w:sectPr w:rsidSect="00814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BC" w:rsidRPr="009D446D" w:rsidP="009D4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6D" w:rsidP="00814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46D" w:rsidP="00814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D446D" w:rsidP="00814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7BC" w:rsidRPr="009D446D" w:rsidP="009D4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6D" w:rsidRPr="002D2AF8" w:rsidP="00814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UEERL0006 Attach HV flexible cables and plugs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D446D" w:rsidP="00814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0F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D27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7BC"/>
  </w:style>
  <w:style w:type="character" w:customStyle="1" w:styleId="Heading1Char">
    <w:name w:val="Heading 1 Char"/>
    <w:basedOn w:val="DefaultParagraphFont"/>
    <w:link w:val="Heading1"/>
    <w:rsid w:val="00814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7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7BC"/>
    <w:rPr>
      <w:b/>
      <w:spacing w:val="0"/>
    </w:rPr>
  </w:style>
  <w:style w:type="paragraph" w:customStyle="1" w:styleId="SuperHeading">
    <w:name w:val="SuperHeading"/>
    <w:basedOn w:val="Normal"/>
    <w:rsid w:val="00814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4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7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7BC"/>
    <w:rPr>
      <w:i/>
    </w:rPr>
  </w:style>
  <w:style w:type="paragraph" w:styleId="Caption">
    <w:name w:val="caption"/>
    <w:basedOn w:val="BodyText"/>
    <w:next w:val="Normal"/>
    <w:qFormat/>
    <w:rsid w:val="00814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7BC"/>
  </w:style>
  <w:style w:type="paragraph" w:styleId="TableofFigures">
    <w:name w:val="table of figures"/>
    <w:basedOn w:val="Normal"/>
    <w:next w:val="Normal"/>
    <w:semiHidden/>
    <w:rsid w:val="00814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7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7BC"/>
    <w:rPr>
      <w:rFonts w:ascii="Wingdings" w:hAnsi="Wingdings"/>
    </w:rPr>
  </w:style>
  <w:style w:type="paragraph" w:customStyle="1" w:styleId="TableHeading">
    <w:name w:val="Table Heading"/>
    <w:basedOn w:val="HeadingBase"/>
    <w:rsid w:val="00814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7BC"/>
    <w:rPr>
      <w:color w:val="0033CC"/>
      <w:u w:val="none"/>
    </w:rPr>
  </w:style>
  <w:style w:type="paragraph" w:customStyle="1" w:styleId="BodyTextRight">
    <w:name w:val="Body Text Right"/>
    <w:basedOn w:val="BodyText"/>
    <w:rsid w:val="00814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7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7BC"/>
    <w:rPr>
      <w:sz w:val="32"/>
    </w:rPr>
  </w:style>
  <w:style w:type="paragraph" w:customStyle="1" w:styleId="HeadingProcedure">
    <w:name w:val="Heading Procedure"/>
    <w:basedOn w:val="HeadingBase"/>
    <w:next w:val="Normal"/>
    <w:rsid w:val="00814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7BC"/>
    <w:pPr>
      <w:spacing w:before="60" w:after="60"/>
    </w:pPr>
  </w:style>
  <w:style w:type="paragraph" w:styleId="ListContinue">
    <w:name w:val="List Continue"/>
    <w:basedOn w:val="List"/>
    <w:rsid w:val="008147BC"/>
    <w:pPr>
      <w:ind w:firstLine="0"/>
    </w:pPr>
  </w:style>
  <w:style w:type="paragraph" w:customStyle="1" w:styleId="ListNote">
    <w:name w:val="List Note"/>
    <w:basedOn w:val="List"/>
    <w:rsid w:val="00814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7BC"/>
    <w:rPr>
      <w:rFonts w:ascii="Courier New" w:hAnsi="Courier New"/>
    </w:rPr>
  </w:style>
  <w:style w:type="paragraph" w:customStyle="1" w:styleId="NoteBullet">
    <w:name w:val="Note Bullet"/>
    <w:basedOn w:val="Note"/>
    <w:rsid w:val="00814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7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7BC"/>
    <w:rPr>
      <w:b/>
      <w:smallCaps/>
    </w:rPr>
  </w:style>
  <w:style w:type="paragraph" w:customStyle="1" w:styleId="TableListNumber">
    <w:name w:val="Table List Number"/>
    <w:basedOn w:val="ListNumber"/>
    <w:rsid w:val="00814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7BC"/>
    <w:pPr>
      <w:numPr>
        <w:numId w:val="8"/>
      </w:numPr>
    </w:pPr>
  </w:style>
  <w:style w:type="paragraph" w:customStyle="1" w:styleId="ListAlpha2">
    <w:name w:val="List Alpha 2"/>
    <w:basedOn w:val="List2"/>
    <w:rsid w:val="008147BC"/>
    <w:pPr>
      <w:numPr>
        <w:numId w:val="7"/>
      </w:numPr>
    </w:pPr>
  </w:style>
  <w:style w:type="paragraph" w:styleId="List2">
    <w:name w:val="List 2"/>
    <w:basedOn w:val="BodyText"/>
    <w:rsid w:val="00814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7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7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7BC"/>
    <w:pPr>
      <w:numPr>
        <w:numId w:val="3"/>
      </w:numPr>
    </w:pPr>
  </w:style>
  <w:style w:type="paragraph" w:styleId="ListContinue2">
    <w:name w:val="List Continue 2"/>
    <w:basedOn w:val="List2"/>
    <w:rsid w:val="008147BC"/>
    <w:pPr>
      <w:ind w:firstLine="0"/>
    </w:pPr>
  </w:style>
  <w:style w:type="paragraph" w:styleId="ListContinue3">
    <w:name w:val="List Continue 3"/>
    <w:basedOn w:val="List3"/>
    <w:rsid w:val="008147BC"/>
    <w:pPr>
      <w:ind w:left="1021" w:firstLine="0"/>
    </w:pPr>
  </w:style>
  <w:style w:type="paragraph" w:styleId="ListContinue4">
    <w:name w:val="List Continue 4"/>
    <w:basedOn w:val="List4"/>
    <w:rsid w:val="008147BC"/>
    <w:pPr>
      <w:ind w:firstLine="0"/>
    </w:pPr>
  </w:style>
  <w:style w:type="paragraph" w:styleId="ListContinue5">
    <w:name w:val="List Continue 5"/>
    <w:basedOn w:val="List5"/>
    <w:rsid w:val="008147BC"/>
    <w:pPr>
      <w:ind w:firstLine="0"/>
    </w:pPr>
  </w:style>
  <w:style w:type="paragraph" w:styleId="ListNumber3">
    <w:name w:val="List Number 3"/>
    <w:basedOn w:val="List3"/>
    <w:rsid w:val="008147BC"/>
    <w:pPr>
      <w:numPr>
        <w:numId w:val="4"/>
      </w:numPr>
    </w:pPr>
  </w:style>
  <w:style w:type="paragraph" w:styleId="ListNumber4">
    <w:name w:val="List Number 4"/>
    <w:basedOn w:val="List4"/>
    <w:rsid w:val="008147BC"/>
    <w:pPr>
      <w:numPr>
        <w:numId w:val="5"/>
      </w:numPr>
    </w:pPr>
  </w:style>
  <w:style w:type="paragraph" w:styleId="ListNumber5">
    <w:name w:val="List Number 5"/>
    <w:basedOn w:val="List5"/>
    <w:rsid w:val="008147BC"/>
    <w:pPr>
      <w:numPr>
        <w:numId w:val="6"/>
      </w:numPr>
    </w:pPr>
  </w:style>
  <w:style w:type="paragraph" w:styleId="BlockText">
    <w:name w:val="Block Text"/>
    <w:basedOn w:val="Normal"/>
    <w:rsid w:val="00814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7BC"/>
    <w:rPr>
      <w:sz w:val="16"/>
      <w:vertAlign w:val="superscript"/>
    </w:rPr>
  </w:style>
  <w:style w:type="character" w:customStyle="1" w:styleId="Symbols">
    <w:name w:val="Symbols"/>
    <w:basedOn w:val="DefaultParagraphFont"/>
    <w:rsid w:val="008147BC"/>
    <w:rPr>
      <w:rFonts w:ascii="Symbol" w:hAnsi="Symbol"/>
    </w:rPr>
  </w:style>
  <w:style w:type="character" w:customStyle="1" w:styleId="MenuOptions">
    <w:name w:val="Menu Options"/>
    <w:basedOn w:val="DefaultParagraphFont"/>
    <w:rsid w:val="00814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7BC"/>
    <w:rPr>
      <w:b/>
    </w:rPr>
  </w:style>
  <w:style w:type="character" w:customStyle="1" w:styleId="Underlined">
    <w:name w:val="Underlined"/>
    <w:basedOn w:val="DefaultParagraphFont"/>
    <w:rsid w:val="008147BC"/>
    <w:rPr>
      <w:u w:val="single"/>
    </w:rPr>
  </w:style>
  <w:style w:type="paragraph" w:customStyle="1" w:styleId="TableBodyTextRight">
    <w:name w:val="Table Body Text Right"/>
    <w:basedOn w:val="TableBodyText"/>
    <w:rsid w:val="00814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7BC"/>
    <w:rPr>
      <w:sz w:val="18"/>
    </w:rPr>
  </w:style>
  <w:style w:type="paragraph" w:customStyle="1" w:styleId="BodySmallRight">
    <w:name w:val="Body Small Right"/>
    <w:basedOn w:val="BodyTextRight"/>
    <w:rsid w:val="008147BC"/>
    <w:rPr>
      <w:sz w:val="18"/>
      <w:szCs w:val="18"/>
    </w:rPr>
  </w:style>
  <w:style w:type="paragraph" w:customStyle="1" w:styleId="MarginEdition">
    <w:name w:val="Margin Edition"/>
    <w:basedOn w:val="MarginNote"/>
    <w:rsid w:val="00814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7BC"/>
    <w:rPr>
      <w:sz w:val="2"/>
      <w:szCs w:val="2"/>
    </w:rPr>
  </w:style>
  <w:style w:type="character" w:customStyle="1" w:styleId="Small">
    <w:name w:val="Small"/>
    <w:basedOn w:val="DefaultParagraphFont"/>
    <w:rsid w:val="008147BC"/>
    <w:rPr>
      <w:sz w:val="16"/>
    </w:rPr>
  </w:style>
  <w:style w:type="paragraph" w:customStyle="1" w:styleId="WideTable">
    <w:name w:val="Wide Table"/>
    <w:basedOn w:val="Normal"/>
    <w:rsid w:val="00814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7BC"/>
  </w:style>
  <w:style w:type="paragraph" w:styleId="Quote">
    <w:name w:val="Quote"/>
    <w:basedOn w:val="Heading1"/>
    <w:link w:val="QuoteChar"/>
    <w:qFormat/>
    <w:rsid w:val="00814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7BC"/>
    <w:pPr>
      <w:pageBreakBefore/>
    </w:pPr>
  </w:style>
  <w:style w:type="paragraph" w:customStyle="1" w:styleId="Border">
    <w:name w:val="Border"/>
    <w:basedOn w:val="Normal"/>
    <w:qFormat/>
    <w:rsid w:val="00814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7BC"/>
    <w:rPr>
      <w:u w:val="single"/>
    </w:rPr>
  </w:style>
  <w:style w:type="character" w:customStyle="1" w:styleId="BoldandItalics">
    <w:name w:val="Bold and Italics"/>
    <w:qFormat/>
    <w:rsid w:val="008147BC"/>
    <w:rPr>
      <w:b/>
      <w:i/>
      <w:u w:val="none"/>
    </w:rPr>
  </w:style>
  <w:style w:type="paragraph" w:styleId="BalloonText">
    <w:name w:val="Balloon Text"/>
    <w:basedOn w:val="Normal"/>
    <w:link w:val="BalloonTextChar"/>
    <w:rsid w:val="00814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7BC"/>
    <w:pPr>
      <w:spacing w:before="0" w:after="0"/>
    </w:pPr>
  </w:style>
  <w:style w:type="paragraph" w:customStyle="1" w:styleId="BodyTextBold">
    <w:name w:val="Body Text Bold"/>
    <w:basedOn w:val="BodyText"/>
    <w:qFormat/>
    <w:rsid w:val="008147BC"/>
    <w:rPr>
      <w:b/>
    </w:rPr>
  </w:style>
  <w:style w:type="character" w:styleId="Hyperlink">
    <w:name w:val="Hyperlink"/>
    <w:basedOn w:val="DefaultParagraphFont"/>
    <w:uiPriority w:val="99"/>
    <w:unhideWhenUsed/>
    <w:rsid w:val="009D4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4533</Characters>
  <Application>Microsoft Office Word</Application>
  <DocSecurity>0</DocSecurity>
  <Lines>181</Lines>
  <Paragraphs>88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UEERL0006 Attach HV flexible cables and plugs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