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7E5" w:rsidP="00CE57E5">
      <w:pPr>
        <w:pStyle w:val="Title"/>
      </w:pPr>
      <w:r>
        <w:fldChar w:fldCharType="begin"/>
      </w:r>
      <w:r>
        <w:instrText xml:space="preserve"> TITLE   \* MERGEFORMAT </w:instrText>
      </w:r>
      <w:r>
        <w:fldChar w:fldCharType="separate"/>
      </w:r>
      <w:r>
        <w:t>UEERL0004 Disconnect - reconnect electrical equipment connected to low voltage (LV) installation wiring</w:t>
      </w:r>
      <w:r>
        <w:fldChar w:fldCharType="end"/>
      </w:r>
    </w:p>
    <w:p w:rsidR="00CE57E5" w:rsidP="00CE57E5">
      <w:pPr>
        <w:pStyle w:val="Version"/>
        <w:sectPr w:rsidSect="00C00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F0A" w:rsidP="00C00F0A">
      <w:pPr>
        <w:pStyle w:val="SuperHeading"/>
      </w:pPr>
      <w:r w:rsidRPr="00C00F0A">
        <w:t>UEERL0004 Disconnect - reconnect electrical equipment connected to low voltage (LV) installation wiring</w:t>
      </w:r>
    </w:p>
    <w:p w:rsidR="00000000" w:rsidRPr="00C00F0A" w:rsidP="00C00F0A">
      <w:pPr>
        <w:pStyle w:val="Heading1"/>
      </w:pPr>
      <w:bookmarkStart w:id="1" w:name="O_1075727"/>
      <w:bookmarkEnd w:id="1"/>
      <w:r w:rsidRPr="00C00F0A">
        <w:t>Modification History</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Release 1. This is the first release of this unit of competency in the UEE Electrotechnology Training Package.</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2" w:name="O_1075728"/>
      <w:bookmarkEnd w:id="2"/>
      <w:r w:rsidRPr="00C00F0A">
        <w:t>Application</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This unit involves the skills and knowledge required to disconnect and reconnect electrical equipment connected to low voltage (LV) installation wiring.</w:t>
            </w:r>
          </w:p>
          <w:p w:rsidR="00000000" w:rsidRPr="00C00F0A" w:rsidP="00C00F0A">
            <w:pPr>
              <w:pStyle w:val="BodyText"/>
            </w:pPr>
            <w:r w:rsidRPr="00C00F0A">
              <w:t>It includes preparing electrical equipment for disconnecting and then r</w:t>
            </w:r>
            <w:r w:rsidRPr="00C00F0A">
              <w:t>econnecting equipment connected to LV installation wiring. It also includes inspecting and testing the reconnected electrical equipment for safe operation, identifying and reporting electrical faults and providing status reports. This must be incidental to</w:t>
            </w:r>
            <w:r w:rsidRPr="00C00F0A">
              <w:t xml:space="preserve"> a primary or regular function of the workplace.</w:t>
            </w:r>
          </w:p>
          <w:p w:rsidR="00000000" w:rsidRPr="00C00F0A" w:rsidP="00C00F0A">
            <w:pPr>
              <w:pStyle w:val="BodyText"/>
            </w:pPr>
            <w:r w:rsidRPr="00C00F0A">
              <w:t>The unit excludes disconnecting or reconnecting circuits at a switchboard or to general electrical accessories (including switches, socket outlets and circuit protective devices), or installation of or alter</w:t>
            </w:r>
            <w:r w:rsidRPr="00C00F0A">
              <w:t>ation to any part of the fixed electrical wiring system (defined as electrical installation work).</w:t>
            </w:r>
          </w:p>
          <w:p w:rsidR="00000000" w:rsidRPr="00C00F0A" w:rsidP="00C00F0A">
            <w:pPr>
              <w:pStyle w:val="BodyText"/>
            </w:pPr>
            <w:r w:rsidRPr="00C00F0A">
              <w:t>The skills and knowledge described in this unit require a licence or permit to practice in the workplace where work is carried out on electrical installation</w:t>
            </w:r>
            <w:r w:rsidRPr="00C00F0A">
              <w:t>s which are designed to operate at voltages greater than 50 volt (V) alternating current (a.c.) or 120 V direct current (d.c.).</w:t>
            </w:r>
          </w:p>
          <w:p w:rsidR="00000000" w:rsidRPr="00C00F0A" w:rsidP="00C00F0A">
            <w:pPr>
              <w:pStyle w:val="BodyText"/>
            </w:pPr>
            <w:r w:rsidRPr="00C00F0A">
              <w:t>The skills and knowledge described in this unit may require a license to practice in the workplace where plant and equipment ope</w:t>
            </w:r>
            <w:r w:rsidRPr="00C00F0A">
              <w:t>rate at voltage above 50 V a.c. or 120 V d.c. However other conditions may apply in some jurisdictions subject to regulations related to electrical work. Practice in the workplace and during training is also subject to regulations directly related to occup</w:t>
            </w:r>
            <w:r w:rsidRPr="00C00F0A">
              <w:t>ational health and safety and where applicable contracts of training such as apprenticeships.</w:t>
            </w:r>
          </w:p>
          <w:p w:rsidR="00000000" w:rsidRPr="00C00F0A" w:rsidP="00C00F0A">
            <w:pPr>
              <w:pStyle w:val="BodyText"/>
            </w:pPr>
            <w:r w:rsidRPr="00C00F0A">
              <w:t xml:space="preserve">Additional and/or other conditions may also apply under State and Territory legislation and regulations related to licencing, electrical work and work health and </w:t>
            </w:r>
            <w:r w:rsidRPr="00C00F0A">
              <w:t>safety (WHS)/occupational health and safety (OHS) regulations, which must be confirmed prior to commencing this unit.</w:t>
            </w:r>
          </w:p>
          <w:p w:rsidR="00000000" w:rsidRPr="00C00F0A" w:rsidP="00C00F0A">
            <w:pPr>
              <w:pStyle w:val="BodyText"/>
            </w:pPr>
            <w:r w:rsidRPr="00C00F0A">
              <w:t xml:space="preserve">In some jurisdictions additional information related to licencing may be required on certification documentation. Further guidance can be </w:t>
            </w:r>
            <w:r w:rsidRPr="00C00F0A">
              <w:t>found in the UEE Electrotechnology Training Package Companion Volume Implementation Guide.</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3" w:name="O_1075729"/>
      <w:bookmarkEnd w:id="3"/>
      <w:r w:rsidRPr="00C00F0A">
        <w:t>Pre-requisite Unit</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UEECD0007 Apply work health and safety regulations, codes and practices in the workplace</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4" w:name="O_1075731"/>
      <w:bookmarkEnd w:id="4"/>
      <w:r w:rsidRPr="00C00F0A">
        <w:t>Competency Field</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Restricted Licensing</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5" w:name="O_1075733"/>
      <w:bookmarkEnd w:id="5"/>
      <w:r w:rsidRPr="00C00F0A">
        <w:t>Unit Sector</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Electrotechnology</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6" w:name="O_1075735"/>
      <w:bookmarkEnd w:id="6"/>
      <w:r w:rsidRPr="00C00F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00F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PERFORMANCE CRITERIA</w:t>
            </w:r>
          </w:p>
        </w:tc>
      </w:tr>
      <w:tr w:rsidTr="00C00F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Performance criteria describe the performance needed to demonstrate achievement of the element.</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Prepare to 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Electrical equipment disconnection is planned to ensure WHS/OHS policies and procedures are followed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Relevant person/s is consulted to ensure work is coordinated effectively with others involved at the worksite</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Safety hazards which have not previously been identified are documented, risks assessed, and control measures determined and implemented in consultation with relevant person/s and in accordance with workplace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Point of isolation of electri</w:t>
            </w:r>
            <w:r w:rsidRPr="00C00F0A">
              <w:t>cal equipment to be disconnected is determined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Tools, equipment and testing devices needed to carry out electrical work are obtained in accordance with workplace procedures and checked for correct operation and safety</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Disconnect electrical equipm</w:t>
            </w:r>
            <w:r w:rsidRPr="00C00F0A">
              <w:rPr>
                <w:rStyle w:val="SpecialBold"/>
              </w:rPr>
              <w:t>ent</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WHS/OHS policies and workplace procedures are followed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 xml:space="preserve">Electrical equipment is isolated in accordance with relevant electrical installation industry standards and workplace procedures </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Isolated equipment is confirmed as de-energised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Conductor connection sequence is recorded and labelled in accordance with workplace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Visual inspection and checks of the electrical equipment and associated wiring are carried out in accordance with workplace procedures to detect any</w:t>
            </w:r>
            <w:r w:rsidRPr="00C00F0A">
              <w:t xml:space="preserve"> abnormal or obvious damage or fault</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Electrical equipment is disconnected from fixed wiring without damage to other components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Disconnected conductors/cables are terminated in accordance with relevant industry standards to ensure they are safe and present no potential hazard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Approval is obtained in accordance with workplace procedures from relevant person/s before any conti</w:t>
            </w:r>
            <w:r w:rsidRPr="00C00F0A">
              <w:t>ngencies are implemented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Prepare to reconnect electrical equipment</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Reconnection is planned to ensure WHS/OHS policies and workplace procedures are followed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Relevant person/s is consulted to ensure work is coordinated effectively with others i</w:t>
            </w:r>
            <w:r w:rsidRPr="00C00F0A">
              <w:t>nvolved in the work site</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Point of isolation of the circuit to which the electrical equipment to be connected is determined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Replacement electrical equipment is selected on the basis of rating and specifications being the same as that of the</w:t>
            </w:r>
            <w:r w:rsidRPr="00C00F0A">
              <w:t xml:space="preserve"> original electrical equipment</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Appropriate person/s is consulted in the event that replacement electrical equipment is not available</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Original and/or replacement electrical equipment is inspected and tested to ensure it is safe to connect to t</w:t>
            </w:r>
            <w:r w:rsidRPr="00C00F0A">
              <w:t>he electrical supply and use</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Tools, equipment and testing devices needed to carry out electrical work, are obtained in accordance with workplace procedures and checked for correct operation and safety</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Reconnect electrical equipment</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WHS/OHS policies and procedures are followed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Measures are taken to ensure circuit to which electrical equipment is to be connected remains isolated and de-energised in accordance with relevant electrical installation industry standards and workplace</w:t>
            </w:r>
            <w:r w:rsidRPr="00C00F0A">
              <w:t xml:space="preserv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Earth continuity of the equipment is tested to determine whether it is in accordance with relevant industry standards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Insulation resistance of the equipment is tested to confirm that it is in accordance with relevant industry stan</w:t>
            </w:r>
            <w:r w:rsidRPr="00C00F0A">
              <w:t>dards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 xml:space="preserve">Appropriate person/s is consulted regarding any non-compliant conditions identified during testing </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Electrical equipment is connected in accordance with previously recorded conductor connection sequence and relevant industry standards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Connections to the equipment are checked to confirm they are correct</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Continuity between exposed conductive parts of the equipment and the main earth or metal switchboard enclosure is confirmed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Test the reconnected electrical equipment for s</w:t>
            </w:r>
            <w:r w:rsidRPr="00C00F0A">
              <w:rPr>
                <w:rStyle w:val="SpecialBold"/>
              </w:rPr>
              <w:t>afe operation</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WHS/OHS policies and workplace procedures for the reinstatement of isolated circuits and electrical equipment is followed</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Supply is reinstated to equipment and checked in accordance with established procedures and industry requirements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Arrangements are made with relevant person/s to test the operation of the electrical equipment in accordance with workplace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Operational non-conformances are identified and reported in accordance with workplace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rPr>
                <w:rStyle w:val="SpecialBold"/>
              </w:rPr>
              <w:t>Complete compliance documentation</w:t>
            </w: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Equipment status report/s are completed and relevant person/s notified in accordance with task requirements and</w:t>
            </w:r>
            <w:r w:rsidRPr="00C00F0A">
              <w:t xml:space="preserve"> workplace procedures</w:t>
            </w:r>
          </w:p>
        </w:tc>
      </w:tr>
      <w:tr w:rsidTr="00C00F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0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Complete compliance documentation in accordance with industry standards and regulatory requirements</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7" w:name="O_1075737"/>
      <w:bookmarkEnd w:id="7"/>
      <w:r w:rsidRPr="00C00F0A">
        <w:t>Foundation Skills</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Foundation skills essential to performance are explicit in the performance criteria of this unit of competency.</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8" w:name="O_1075739"/>
      <w:bookmarkEnd w:id="8"/>
      <w:r w:rsidRPr="00C00F0A">
        <w:t>Range of Conditions</w:t>
      </w:r>
    </w:p>
    <w:tbl>
      <w:tblPr>
        <w:tblW w:w="9497" w:type="dxa"/>
        <w:tblLayout w:type="fixed"/>
        <w:tblCellMar>
          <w:left w:w="62" w:type="dxa"/>
          <w:right w:w="62" w:type="dxa"/>
        </w:tblCellMar>
        <w:tblLook w:val="0000"/>
      </w:tblPr>
      <w:tblGrid>
        <w:gridCol w:w="4693"/>
        <w:gridCol w:w="4804"/>
      </w:tblGrid>
      <w:tr w:rsidTr="00C00F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Range is restricted to essential operating conditions and any other variables essential to the work env</w:t>
            </w:r>
            <w:r w:rsidRPr="00C00F0A">
              <w:t>ironment.</w:t>
            </w:r>
          </w:p>
          <w:p w:rsidR="00000000" w:rsidP="00C00F0A">
            <w:pPr>
              <w:pStyle w:val="BodyText"/>
              <w:rPr>
                <w:lang w:val="en-NZ"/>
              </w:rPr>
            </w:pPr>
            <w:r w:rsidRPr="00C00F0A">
              <w:t xml:space="preserve">Non-essential conditions may be found in the UEE Electrotechnology Training Package Companion Volume Implementation Guide. </w:t>
            </w:r>
          </w:p>
        </w:tc>
      </w:tr>
      <w:tr w:rsidTr="00C00F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00F0A">
            <w:pPr>
              <w:pStyle w:val="BodyText"/>
              <w:rPr>
                <w:lang w:val="en-NZ"/>
              </w:rPr>
            </w:pPr>
            <w:r w:rsidRPr="00C00F0A">
              <w:t>Disconnection and reconnection of electrical equipment must include at least one of the following, and must be selected to align with the candidates</w:t>
            </w:r>
            <w:r>
              <w:t>’</w:t>
            </w:r>
            <w:r w:rsidRPr="00C00F0A">
              <w:t xml:space="preserve"> primary trade or work function:</w:t>
            </w:r>
          </w:p>
        </w:tc>
        <w:tc>
          <w:tcPr>
            <w:tcW w:w="4804" w:type="dxa"/>
            <w:tcBorders>
              <w:top w:val="nil"/>
              <w:left w:val="nil"/>
              <w:bottom w:val="nil"/>
              <w:right w:val="nil"/>
            </w:tcBorders>
            <w:tcMar>
              <w:top w:w="0" w:type="dxa"/>
              <w:left w:w="62" w:type="dxa"/>
              <w:bottom w:w="0" w:type="dxa"/>
              <w:right w:w="62" w:type="dxa"/>
            </w:tcMar>
          </w:tcPr>
          <w:p w:rsidR="00000000" w:rsidRPr="00C00F0A" w:rsidP="00C00F0A">
            <w:pPr>
              <w:pStyle w:val="ListBullet"/>
            </w:pPr>
            <w:r w:rsidRPr="00C00F0A">
              <w:t>air conditioning/refrigeration equipment</w:t>
            </w:r>
          </w:p>
          <w:p w:rsidR="00000000" w:rsidRPr="00C00F0A" w:rsidP="00C00F0A">
            <w:pPr>
              <w:pStyle w:val="ListBullet"/>
            </w:pPr>
            <w:r w:rsidRPr="00C00F0A">
              <w:t>instrumentation equipment</w:t>
            </w:r>
          </w:p>
          <w:p w:rsidR="00000000" w:rsidRPr="00C00F0A" w:rsidP="00C00F0A">
            <w:pPr>
              <w:pStyle w:val="ListBullet"/>
            </w:pPr>
            <w:r w:rsidRPr="00C00F0A">
              <w:t>electr</w:t>
            </w:r>
            <w:r w:rsidRPr="00C00F0A">
              <w:t>onic equipment</w:t>
            </w:r>
          </w:p>
          <w:p w:rsidR="00000000" w:rsidRPr="00C00F0A" w:rsidP="00C00F0A">
            <w:pPr>
              <w:pStyle w:val="ListBullet"/>
            </w:pPr>
            <w:r w:rsidRPr="00C00F0A">
              <w:t>electrical equipment</w:t>
            </w:r>
          </w:p>
          <w:p w:rsidR="00000000" w:rsidRPr="00C00F0A" w:rsidP="00C00F0A">
            <w:pPr>
              <w:pStyle w:val="ListBullet"/>
            </w:pPr>
            <w:r w:rsidRPr="00C00F0A">
              <w:t>neon signs</w:t>
            </w:r>
          </w:p>
          <w:p w:rsidR="00000000" w:rsidRPr="00C00F0A" w:rsidP="00C00F0A">
            <w:pPr>
              <w:pStyle w:val="ListBullet"/>
            </w:pPr>
            <w:r w:rsidRPr="00C00F0A">
              <w:t>composite equipment</w:t>
            </w:r>
          </w:p>
          <w:p w:rsidR="00000000" w:rsidRPr="00C00F0A" w:rsidP="00C00F0A">
            <w:pPr>
              <w:pStyle w:val="ListBullet"/>
            </w:pPr>
            <w:r w:rsidRPr="00C00F0A">
              <w:t>control devices</w:t>
            </w:r>
          </w:p>
          <w:p w:rsidR="00000000" w:rsidRPr="00C00F0A" w:rsidP="00C00F0A">
            <w:pPr>
              <w:pStyle w:val="ListBullet"/>
            </w:pPr>
            <w:r w:rsidRPr="00C00F0A">
              <w:t>water heaters</w:t>
            </w:r>
          </w:p>
          <w:p w:rsidR="00000000" w:rsidRPr="00C00F0A" w:rsidP="00C00F0A">
            <w:pPr>
              <w:pStyle w:val="ListBullet"/>
            </w:pPr>
            <w:r w:rsidRPr="00C00F0A">
              <w:t>motors</w:t>
            </w:r>
          </w:p>
          <w:p w:rsidR="00000000" w:rsidP="00C00F0A">
            <w:pPr>
              <w:pStyle w:val="ListBullet"/>
              <w:rPr>
                <w:lang w:val="en-NZ"/>
              </w:rPr>
            </w:pPr>
            <w:r w:rsidRPr="00C00F0A">
              <w:t>gas appliances</w:t>
            </w:r>
          </w:p>
        </w:tc>
      </w:tr>
      <w:tr w:rsidTr="00C00F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MUST NOT INCLUDE:</w:t>
            </w:r>
          </w:p>
          <w:p w:rsidR="00000000" w:rsidP="00C00F0A">
            <w:pPr>
              <w:pStyle w:val="BodyText"/>
              <w:rPr>
                <w:lang w:val="en-NZ"/>
              </w:rPr>
            </w:pPr>
            <w:r w:rsidRPr="00C00F0A">
              <w:t>disconnect/reconnect electrical equipment connected to supplies up to 1,000 volts (V) al</w:t>
            </w:r>
            <w:r w:rsidRPr="00C00F0A">
              <w:t>ternating current (a.c.) or 1,500 V direct current (d.c.) must not include the following:</w:t>
            </w:r>
          </w:p>
        </w:tc>
        <w:tc>
          <w:tcPr>
            <w:tcW w:w="4804" w:type="dxa"/>
            <w:tcBorders>
              <w:top w:val="nil"/>
              <w:left w:val="nil"/>
              <w:bottom w:val="nil"/>
              <w:right w:val="nil"/>
            </w:tcBorders>
            <w:tcMar>
              <w:top w:w="0" w:type="dxa"/>
              <w:left w:w="62" w:type="dxa"/>
              <w:bottom w:w="0" w:type="dxa"/>
              <w:right w:w="62" w:type="dxa"/>
            </w:tcMar>
          </w:tcPr>
          <w:p w:rsidR="00000000" w:rsidRPr="00C00F0A" w:rsidP="00C00F0A">
            <w:pPr>
              <w:pStyle w:val="ListBullet"/>
            </w:pPr>
            <w:r w:rsidRPr="00C00F0A">
              <w:t>electrical work associated with fixed wiring, circuits at a switchboard or to general electrical equipment, including switches, socket outlets, circuit protective de</w:t>
            </w:r>
            <w:r w:rsidRPr="00C00F0A">
              <w:t>vices etc</w:t>
            </w:r>
          </w:p>
          <w:p w:rsidR="00000000" w:rsidRPr="00C00F0A" w:rsidP="00C00F0A">
            <w:pPr>
              <w:pStyle w:val="ListBullet"/>
            </w:pPr>
            <w:r w:rsidRPr="00C00F0A">
              <w:t>in hazardous areas or on electrical equipment that is part of an explosion-protection technique</w:t>
            </w:r>
          </w:p>
          <w:p w:rsidR="00000000" w:rsidRPr="00C00F0A" w:rsidP="00C00F0A">
            <w:pPr>
              <w:pStyle w:val="ListBullet"/>
            </w:pPr>
            <w:r w:rsidRPr="00C00F0A">
              <w:t>where high fault currents are possible</w:t>
            </w:r>
          </w:p>
          <w:p w:rsidR="00000000" w:rsidRPr="00C00F0A" w:rsidP="00C00F0A">
            <w:pPr>
              <w:pStyle w:val="ListBullet"/>
            </w:pPr>
            <w:r w:rsidRPr="00C00F0A">
              <w:t>which are luminaires</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9" w:name="O_1075740"/>
      <w:bookmarkEnd w:id="9"/>
      <w:r w:rsidRPr="00C00F0A">
        <w:t>Unit Mapping Information</w:t>
      </w:r>
    </w:p>
    <w:tbl>
      <w:tblPr>
        <w:tblW w:w="9497" w:type="dxa"/>
        <w:tblLayout w:type="fixed"/>
        <w:tblCellMar>
          <w:left w:w="62" w:type="dxa"/>
          <w:right w:w="62" w:type="dxa"/>
        </w:tblCellMar>
        <w:tblLook w:val="0000"/>
      </w:tblPr>
      <w:tblGrid>
        <w:gridCol w:w="9497"/>
      </w:tblGrid>
      <w:tr w:rsidTr="00C00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0A" w:rsidP="00C00F0A">
            <w:pPr>
              <w:pStyle w:val="BodyText"/>
            </w:pPr>
            <w:r w:rsidRPr="00C00F0A">
              <w:t>No equivalent unit</w:t>
            </w:r>
          </w:p>
        </w:tc>
      </w:tr>
    </w:tbl>
    <w:p w:rsidR="00000000" w:rsidRPr="00C00F0A" w:rsidP="00C00F0A">
      <w:pPr>
        <w:pStyle w:val="NoPaddingFontSize1"/>
      </w:pPr>
    </w:p>
    <w:p w:rsidR="00000000" w:rsidRPr="00C00F0A" w:rsidP="00C00F0A">
      <w:pPr>
        <w:pStyle w:val="AllowPageBreak"/>
      </w:pPr>
    </w:p>
    <w:p w:rsidR="00000000" w:rsidRPr="00C00F0A" w:rsidP="00C00F0A">
      <w:pPr>
        <w:pStyle w:val="Heading1"/>
      </w:pPr>
      <w:bookmarkStart w:id="10" w:name="O_1075759"/>
      <w:bookmarkEnd w:id="10"/>
      <w:r w:rsidRPr="00C00F0A">
        <w:t>Links</w:t>
      </w:r>
    </w:p>
    <w:p w:rsidR="00000000" w:rsidRPr="00C00F0A" w:rsidP="00CE57E5">
      <w:pPr>
        <w:pStyle w:val="BodyText"/>
      </w:pPr>
      <w:r w:rsidRPr="00C00F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F29F0">
        <w:rPr>
          <w:rStyle w:val="Hyperlink"/>
        </w:rPr>
        <w:t>https://vetnet.gov.au/Pages/TrainingDocs.aspx?q=b8a8f136-5421-4ce1-92e0-2b50341431b6</w:t>
      </w:r>
      <w:r>
        <w:fldChar w:fldCharType="end"/>
      </w:r>
    </w:p>
    <w:p w:rsidR="00000000" w:rsidRPr="00C00F0A" w:rsidP="00C00F0A"/>
    <w:sectPr w:rsidSect="00C00F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0A" w:rsidRPr="00CE57E5" w:rsidP="00CE5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E5" w:rsidP="00C00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7E5" w:rsidP="00C00F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57E5" w:rsidP="00C00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F0A" w:rsidRPr="00CE57E5" w:rsidP="00CE5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E5" w:rsidRPr="002D2AF8" w:rsidP="00C00F0A">
    <w:pPr>
      <w:pStyle w:val="Header"/>
      <w:framePr w:wrap="around"/>
    </w:pPr>
    <w:r>
      <w:fldChar w:fldCharType="begin"/>
    </w:r>
    <w:r>
      <w:instrText xml:space="preserve"> TITLE   \* MERGEFORMAT </w:instrText>
    </w:r>
    <w:r>
      <w:fldChar w:fldCharType="separate"/>
    </w:r>
    <w:r>
      <w:t>UEERL0004 Disconnect - reconnect electrical equipment connected to low voltage (LV)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E57E5" w:rsidP="00C00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005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C9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F0A"/>
    <w:pPr>
      <w:spacing w:before="360" w:after="60"/>
      <w:outlineLvl w:val="0"/>
    </w:pPr>
    <w:rPr>
      <w:sz w:val="32"/>
    </w:rPr>
  </w:style>
  <w:style w:type="paragraph" w:styleId="Heading2">
    <w:name w:val="heading 2"/>
    <w:basedOn w:val="HeadingBase"/>
    <w:next w:val="BodyText"/>
    <w:link w:val="Heading2Char"/>
    <w:qFormat/>
    <w:rsid w:val="00C00F0A"/>
    <w:pPr>
      <w:keepLines/>
      <w:spacing w:before="240" w:after="120"/>
      <w:outlineLvl w:val="1"/>
    </w:pPr>
    <w:rPr>
      <w:sz w:val="28"/>
      <w:szCs w:val="40"/>
    </w:rPr>
  </w:style>
  <w:style w:type="paragraph" w:styleId="Heading3">
    <w:name w:val="heading 3"/>
    <w:basedOn w:val="HeadingBase"/>
    <w:next w:val="BodyText"/>
    <w:link w:val="Heading3Char"/>
    <w:qFormat/>
    <w:rsid w:val="00C00F0A"/>
    <w:pPr>
      <w:spacing w:before="180" w:after="120"/>
      <w:outlineLvl w:val="2"/>
    </w:pPr>
    <w:rPr>
      <w:spacing w:val="-10"/>
      <w:kern w:val="32"/>
    </w:rPr>
  </w:style>
  <w:style w:type="paragraph" w:styleId="Heading4">
    <w:name w:val="heading 4"/>
    <w:basedOn w:val="HeadingBase"/>
    <w:next w:val="BodyText"/>
    <w:link w:val="Heading4Char"/>
    <w:qFormat/>
    <w:rsid w:val="00C00F0A"/>
    <w:pPr>
      <w:spacing w:before="160" w:after="120"/>
      <w:outlineLvl w:val="3"/>
    </w:pPr>
    <w:rPr>
      <w:sz w:val="22"/>
    </w:rPr>
  </w:style>
  <w:style w:type="paragraph" w:styleId="Heading5">
    <w:name w:val="heading 5"/>
    <w:basedOn w:val="HeadingBase"/>
    <w:next w:val="Normal"/>
    <w:link w:val="Heading5Char"/>
    <w:qFormat/>
    <w:rsid w:val="00C00F0A"/>
    <w:pPr>
      <w:spacing w:before="80"/>
      <w:outlineLvl w:val="4"/>
    </w:pPr>
    <w:rPr>
      <w:color w:val="918585"/>
      <w:sz w:val="20"/>
    </w:rPr>
  </w:style>
  <w:style w:type="paragraph" w:styleId="Heading6">
    <w:name w:val="heading 6"/>
    <w:basedOn w:val="HeadingBase"/>
    <w:next w:val="Normal"/>
    <w:link w:val="Heading6Char"/>
    <w:qFormat/>
    <w:rsid w:val="00C00F0A"/>
    <w:pPr>
      <w:spacing w:before="60"/>
      <w:outlineLvl w:val="5"/>
    </w:pPr>
    <w:rPr>
      <w:color w:val="918585"/>
      <w:sz w:val="20"/>
    </w:rPr>
  </w:style>
  <w:style w:type="paragraph" w:styleId="Heading7">
    <w:name w:val="heading 7"/>
    <w:basedOn w:val="Normal"/>
    <w:next w:val="Normal"/>
    <w:link w:val="Heading7Char"/>
    <w:qFormat/>
    <w:rsid w:val="00C00F0A"/>
    <w:pPr>
      <w:ind w:left="720"/>
      <w:outlineLvl w:val="6"/>
    </w:pPr>
    <w:rPr>
      <w:i/>
    </w:rPr>
  </w:style>
  <w:style w:type="paragraph" w:styleId="Heading8">
    <w:name w:val="heading 8"/>
    <w:basedOn w:val="Normal"/>
    <w:next w:val="Normal"/>
    <w:link w:val="Heading8Char"/>
    <w:qFormat/>
    <w:rsid w:val="00C00F0A"/>
    <w:pPr>
      <w:ind w:left="720"/>
      <w:outlineLvl w:val="7"/>
    </w:pPr>
    <w:rPr>
      <w:i/>
    </w:rPr>
  </w:style>
  <w:style w:type="paragraph" w:styleId="Heading9">
    <w:name w:val="heading 9"/>
    <w:basedOn w:val="Normal"/>
    <w:next w:val="Normal"/>
    <w:link w:val="Heading9Char"/>
    <w:qFormat/>
    <w:rsid w:val="00C00F0A"/>
    <w:pPr>
      <w:ind w:left="720"/>
      <w:outlineLvl w:val="8"/>
    </w:pPr>
    <w:rPr>
      <w:i/>
    </w:rPr>
  </w:style>
  <w:style w:type="character" w:default="1" w:styleId="DefaultParagraphFont">
    <w:name w:val="Default Paragraph Font"/>
    <w:uiPriority w:val="1"/>
    <w:unhideWhenUsed/>
    <w:rsid w:val="00C00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F0A"/>
  </w:style>
  <w:style w:type="character" w:customStyle="1" w:styleId="Heading1Char">
    <w:name w:val="Heading 1 Char"/>
    <w:basedOn w:val="DefaultParagraphFont"/>
    <w:link w:val="Heading1"/>
    <w:rsid w:val="00C00F0A"/>
    <w:rPr>
      <w:rFonts w:ascii="Times New Roman" w:eastAsia="Times New Roman" w:hAnsi="Times New Roman" w:cs="Times New Roman"/>
      <w:b/>
      <w:sz w:val="32"/>
      <w:szCs w:val="20"/>
      <w:lang w:eastAsia="en-US"/>
    </w:rPr>
  </w:style>
  <w:style w:type="paragraph" w:styleId="BodyText">
    <w:name w:val="Body Text"/>
    <w:basedOn w:val="Normal"/>
    <w:link w:val="BodyTextChar"/>
    <w:rsid w:val="00C00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F0A"/>
    <w:rPr>
      <w:rFonts w:ascii="Times New Roman" w:eastAsia="Times New Roman" w:hAnsi="Times New Roman" w:cs="Times New Roman"/>
      <w:sz w:val="24"/>
      <w:lang w:eastAsia="en-US"/>
    </w:rPr>
  </w:style>
  <w:style w:type="paragraph" w:styleId="ListBullet">
    <w:name w:val="List Bullet"/>
    <w:basedOn w:val="List"/>
    <w:rsid w:val="00C00F0A"/>
    <w:pPr>
      <w:numPr>
        <w:numId w:val="11"/>
      </w:numPr>
      <w:tabs>
        <w:tab w:val="clear" w:pos="340"/>
      </w:tabs>
      <w:spacing w:before="40" w:after="40"/>
    </w:pPr>
  </w:style>
  <w:style w:type="character" w:customStyle="1" w:styleId="SpecialBold">
    <w:name w:val="Special Bold"/>
    <w:basedOn w:val="DefaultParagraphFont"/>
    <w:rsid w:val="00C00F0A"/>
    <w:rPr>
      <w:b/>
      <w:spacing w:val="0"/>
    </w:rPr>
  </w:style>
  <w:style w:type="paragraph" w:customStyle="1" w:styleId="SuperHeading">
    <w:name w:val="SuperHeading"/>
    <w:basedOn w:val="Normal"/>
    <w:rsid w:val="00C00F0A"/>
    <w:pPr>
      <w:spacing w:before="240" w:after="120"/>
      <w:outlineLvl w:val="0"/>
    </w:pPr>
    <w:rPr>
      <w:rFonts w:ascii="Times New Roman" w:hAnsi="Times New Roman"/>
      <w:b/>
      <w:sz w:val="32"/>
    </w:rPr>
  </w:style>
  <w:style w:type="paragraph" w:customStyle="1" w:styleId="AllowPageBreak">
    <w:name w:val="AllowPageBreak"/>
    <w:rsid w:val="00C00F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F0A"/>
    <w:rPr>
      <w:rFonts w:ascii="Courier New" w:eastAsia="Times New Roman" w:hAnsi="Courier New" w:cs="Times New Roman"/>
      <w:i/>
      <w:szCs w:val="20"/>
      <w:lang w:eastAsia="en-US"/>
    </w:rPr>
  </w:style>
  <w:style w:type="paragraph" w:customStyle="1" w:styleId="HeadingBase">
    <w:name w:val="Heading Base"/>
    <w:rsid w:val="00C00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F0A"/>
    <w:pPr>
      <w:tabs>
        <w:tab w:val="right" w:leader="dot" w:pos="9072"/>
      </w:tabs>
      <w:ind w:left="567"/>
    </w:pPr>
    <w:rPr>
      <w:szCs w:val="22"/>
    </w:rPr>
  </w:style>
  <w:style w:type="paragraph" w:customStyle="1" w:styleId="TOCBase">
    <w:name w:val="TOC Base"/>
    <w:rsid w:val="00C00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F0A"/>
    <w:pPr>
      <w:tabs>
        <w:tab w:val="right" w:leader="dot" w:pos="9072"/>
      </w:tabs>
      <w:spacing w:before="40" w:after="40"/>
      <w:ind w:left="284"/>
    </w:pPr>
    <w:rPr>
      <w:rFonts w:ascii="Times New Roman" w:hAnsi="Times New Roman"/>
    </w:rPr>
  </w:style>
  <w:style w:type="paragraph" w:styleId="TOC1">
    <w:name w:val="toc 1"/>
    <w:basedOn w:val="TOCBase"/>
    <w:next w:val="Normal"/>
    <w:rsid w:val="00C00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F0A"/>
    <w:rPr>
      <w:rFonts w:ascii="Times New Roman" w:eastAsia="Times New Roman" w:hAnsi="Times New Roman" w:cs="Times New Roman"/>
      <w:sz w:val="16"/>
      <w:lang w:eastAsia="en-US"/>
    </w:rPr>
  </w:style>
  <w:style w:type="paragraph" w:styleId="Title">
    <w:name w:val="Title"/>
    <w:basedOn w:val="HeadingBase"/>
    <w:link w:val="TitleChar"/>
    <w:qFormat/>
    <w:rsid w:val="00C00F0A"/>
    <w:pPr>
      <w:spacing w:before="5040"/>
      <w:jc w:val="center"/>
    </w:pPr>
    <w:rPr>
      <w:sz w:val="48"/>
      <w:szCs w:val="72"/>
      <w:lang w:val="en-US"/>
    </w:rPr>
  </w:style>
  <w:style w:type="character" w:customStyle="1" w:styleId="TitleChar">
    <w:name w:val="Title Char"/>
    <w:basedOn w:val="DefaultParagraphFont"/>
    <w:link w:val="Title"/>
    <w:rsid w:val="00C00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F0A"/>
    <w:pPr>
      <w:tabs>
        <w:tab w:val="left" w:pos="3600"/>
        <w:tab w:val="left" w:pos="3958"/>
      </w:tabs>
    </w:pPr>
  </w:style>
  <w:style w:type="paragraph" w:styleId="List">
    <w:name w:val="List"/>
    <w:basedOn w:val="BodyText"/>
    <w:next w:val="BodyText"/>
    <w:rsid w:val="00C00F0A"/>
    <w:pPr>
      <w:tabs>
        <w:tab w:val="left" w:pos="340"/>
      </w:tabs>
      <w:spacing w:before="60" w:after="60"/>
      <w:ind w:left="340" w:hanging="340"/>
    </w:pPr>
  </w:style>
  <w:style w:type="paragraph" w:customStyle="1" w:styleId="Note">
    <w:name w:val="Note"/>
    <w:basedOn w:val="BodyText"/>
    <w:rsid w:val="00C00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F0A"/>
    <w:pPr>
      <w:framePr w:wrap="auto" w:hAnchor="text" w:y="6049"/>
    </w:pPr>
    <w:rPr>
      <w:color w:val="000000"/>
      <w:sz w:val="40"/>
    </w:rPr>
  </w:style>
  <w:style w:type="paragraph" w:customStyle="1" w:styleId="TOCTitle">
    <w:name w:val="TOCTitle"/>
    <w:basedOn w:val="Heading1"/>
    <w:rsid w:val="00C00F0A"/>
    <w:pPr>
      <w:spacing w:after="240"/>
      <w:jc w:val="center"/>
      <w:outlineLvl w:val="9"/>
    </w:pPr>
    <w:rPr>
      <w:caps/>
    </w:rPr>
  </w:style>
  <w:style w:type="paragraph" w:customStyle="1" w:styleId="Version">
    <w:name w:val="Version"/>
    <w:rsid w:val="00C00F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F0A"/>
    <w:pPr>
      <w:numPr>
        <w:numId w:val="12"/>
      </w:numPr>
      <w:tabs>
        <w:tab w:val="clear" w:pos="680"/>
      </w:tabs>
    </w:pPr>
  </w:style>
  <w:style w:type="paragraph" w:styleId="Index1">
    <w:name w:val="index 1"/>
    <w:basedOn w:val="Normal"/>
    <w:next w:val="Normal"/>
    <w:semiHidden/>
    <w:rsid w:val="00C00F0A"/>
    <w:pPr>
      <w:keepNext w:val="0"/>
      <w:tabs>
        <w:tab w:val="right" w:pos="4176"/>
      </w:tabs>
      <w:ind w:left="198" w:hanging="198"/>
    </w:pPr>
    <w:rPr>
      <w:rFonts w:ascii="Garamond" w:hAnsi="Garamond"/>
    </w:rPr>
  </w:style>
  <w:style w:type="paragraph" w:styleId="IndexHeading">
    <w:name w:val="index heading"/>
    <w:basedOn w:val="Normal"/>
    <w:next w:val="Index1"/>
    <w:semiHidden/>
    <w:rsid w:val="00C00F0A"/>
    <w:pPr>
      <w:spacing w:before="120" w:after="120"/>
    </w:pPr>
    <w:rPr>
      <w:rFonts w:ascii="Arial" w:hAnsi="Arial"/>
      <w:b/>
      <w:color w:val="918585"/>
      <w:sz w:val="24"/>
    </w:rPr>
  </w:style>
  <w:style w:type="paragraph" w:styleId="Header">
    <w:name w:val="header"/>
    <w:basedOn w:val="Normal"/>
    <w:link w:val="HeaderChar"/>
    <w:rsid w:val="00C00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F0A"/>
    <w:rPr>
      <w:rFonts w:ascii="Times New Roman" w:eastAsia="Times New Roman" w:hAnsi="Times New Roman" w:cs="Times New Roman"/>
      <w:sz w:val="16"/>
      <w:szCs w:val="20"/>
      <w:lang w:val="en-GB" w:eastAsia="en-US"/>
    </w:rPr>
  </w:style>
  <w:style w:type="paragraph" w:customStyle="1" w:styleId="Chapter">
    <w:name w:val="Chapter"/>
    <w:basedOn w:val="Normal"/>
    <w:rsid w:val="00C00F0A"/>
    <w:pPr>
      <w:spacing w:before="240"/>
    </w:pPr>
    <w:rPr>
      <w:rFonts w:ascii="Times New Roman" w:hAnsi="Times New Roman"/>
      <w:smallCaps/>
      <w:spacing w:val="80"/>
      <w:sz w:val="28"/>
    </w:rPr>
  </w:style>
  <w:style w:type="paragraph" w:customStyle="1" w:styleId="InChapter">
    <w:name w:val="InChapter"/>
    <w:basedOn w:val="Heading3"/>
    <w:rsid w:val="00C00F0A"/>
    <w:pPr>
      <w:spacing w:after="240"/>
      <w:outlineLvl w:val="9"/>
    </w:pPr>
    <w:rPr>
      <w:noProof/>
    </w:rPr>
  </w:style>
  <w:style w:type="paragraph" w:styleId="Index2">
    <w:name w:val="index 2"/>
    <w:basedOn w:val="Normal"/>
    <w:next w:val="Normal"/>
    <w:semiHidden/>
    <w:rsid w:val="00C00F0A"/>
    <w:pPr>
      <w:tabs>
        <w:tab w:val="right" w:pos="4176"/>
      </w:tabs>
      <w:ind w:left="568" w:hanging="284"/>
    </w:pPr>
    <w:rPr>
      <w:rFonts w:ascii="Garamond" w:hAnsi="Garamond"/>
    </w:rPr>
  </w:style>
  <w:style w:type="paragraph" w:customStyle="1" w:styleId="Byline">
    <w:name w:val="Byline"/>
    <w:rsid w:val="00C00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F0A"/>
    <w:pPr>
      <w:tabs>
        <w:tab w:val="clear" w:pos="3600"/>
        <w:tab w:val="clear" w:pos="3958"/>
      </w:tabs>
      <w:jc w:val="right"/>
    </w:pPr>
  </w:style>
  <w:style w:type="character" w:styleId="Emphasis">
    <w:name w:val="Emphasis"/>
    <w:basedOn w:val="DefaultParagraphFont"/>
    <w:qFormat/>
    <w:rsid w:val="00C00F0A"/>
    <w:rPr>
      <w:i/>
    </w:rPr>
  </w:style>
  <w:style w:type="paragraph" w:styleId="Caption">
    <w:name w:val="caption"/>
    <w:basedOn w:val="BodyText"/>
    <w:next w:val="Normal"/>
    <w:qFormat/>
    <w:rsid w:val="00C00F0A"/>
    <w:pPr>
      <w:framePr w:w="2268" w:hSpace="181" w:vSpace="181" w:wrap="around" w:vAnchor="text" w:hAnchor="page" w:x="1135" w:y="285" w:anchorLock="1"/>
    </w:pPr>
    <w:rPr>
      <w:i/>
    </w:rPr>
  </w:style>
  <w:style w:type="paragraph" w:customStyle="1" w:styleId="MiniTOCTitle">
    <w:name w:val="MiniTOCTitle"/>
    <w:basedOn w:val="Heading4"/>
    <w:rsid w:val="00C00F0A"/>
    <w:pPr>
      <w:spacing w:before="240"/>
      <w:outlineLvl w:val="9"/>
    </w:pPr>
    <w:rPr>
      <w:noProof/>
      <w:sz w:val="24"/>
    </w:rPr>
  </w:style>
  <w:style w:type="paragraph" w:customStyle="1" w:styleId="MiniTOCItem">
    <w:name w:val="MiniTOCItem"/>
    <w:basedOn w:val="ListBullet"/>
    <w:rsid w:val="00C00F0A"/>
    <w:pPr>
      <w:numPr>
        <w:numId w:val="0"/>
      </w:numPr>
      <w:tabs>
        <w:tab w:val="right" w:leader="dot" w:pos="6521"/>
      </w:tabs>
      <w:spacing w:before="0" w:after="0"/>
    </w:pPr>
  </w:style>
  <w:style w:type="paragraph" w:customStyle="1" w:styleId="TOFTitle">
    <w:name w:val="TOFTitle"/>
    <w:basedOn w:val="TOCTitle"/>
    <w:rsid w:val="00C00F0A"/>
  </w:style>
  <w:style w:type="paragraph" w:styleId="TableofFigures">
    <w:name w:val="table of figures"/>
    <w:basedOn w:val="Normal"/>
    <w:next w:val="Normal"/>
    <w:semiHidden/>
    <w:rsid w:val="00C00F0A"/>
    <w:pPr>
      <w:tabs>
        <w:tab w:val="right" w:leader="dot" w:pos="9072"/>
      </w:tabs>
      <w:ind w:left="970" w:hanging="403"/>
    </w:pPr>
    <w:rPr>
      <w:rFonts w:ascii="Times New Roman" w:hAnsi="Times New Roman"/>
      <w:b/>
    </w:rPr>
  </w:style>
  <w:style w:type="paragraph" w:styleId="ListNumber">
    <w:name w:val="List Number"/>
    <w:basedOn w:val="List"/>
    <w:rsid w:val="00C00F0A"/>
    <w:pPr>
      <w:numPr>
        <w:numId w:val="14"/>
      </w:numPr>
      <w:tabs>
        <w:tab w:val="clear" w:pos="340"/>
      </w:tabs>
    </w:pPr>
  </w:style>
  <w:style w:type="character" w:customStyle="1" w:styleId="WingdingSymbols">
    <w:name w:val="Wingding Symbols"/>
    <w:rsid w:val="00C00F0A"/>
    <w:rPr>
      <w:rFonts w:ascii="Wingdings" w:hAnsi="Wingdings"/>
    </w:rPr>
  </w:style>
  <w:style w:type="paragraph" w:customStyle="1" w:styleId="TableHeading">
    <w:name w:val="Table Heading"/>
    <w:basedOn w:val="HeadingBase"/>
    <w:rsid w:val="00C00F0A"/>
    <w:pPr>
      <w:keepLines/>
      <w:pBdr>
        <w:bottom w:val="single" w:sz="6" w:space="1" w:color="918585"/>
      </w:pBdr>
      <w:spacing w:before="240"/>
    </w:pPr>
  </w:style>
  <w:style w:type="character" w:customStyle="1" w:styleId="HotSpot">
    <w:name w:val="HotSpot"/>
    <w:rsid w:val="00C00F0A"/>
    <w:rPr>
      <w:color w:val="0033CC"/>
      <w:u w:val="none"/>
    </w:rPr>
  </w:style>
  <w:style w:type="paragraph" w:customStyle="1" w:styleId="BodyTextRight">
    <w:name w:val="Body Text Right"/>
    <w:basedOn w:val="BodyText"/>
    <w:rsid w:val="00C00F0A"/>
    <w:pPr>
      <w:spacing w:before="0" w:after="0"/>
      <w:jc w:val="right"/>
    </w:pPr>
  </w:style>
  <w:style w:type="paragraph" w:styleId="Index3">
    <w:name w:val="index 3"/>
    <w:basedOn w:val="ListNumber2"/>
    <w:next w:val="Normal"/>
    <w:semiHidden/>
    <w:rsid w:val="00C00F0A"/>
    <w:pPr>
      <w:numPr>
        <w:numId w:val="0"/>
      </w:numPr>
      <w:tabs>
        <w:tab w:val="right" w:leader="dot" w:pos="4176"/>
      </w:tabs>
    </w:pPr>
  </w:style>
  <w:style w:type="paragraph" w:styleId="ListNumber2">
    <w:name w:val="List Number 2"/>
    <w:basedOn w:val="List2"/>
    <w:rsid w:val="00C00F0A"/>
    <w:pPr>
      <w:numPr>
        <w:numId w:val="9"/>
      </w:numPr>
      <w:tabs>
        <w:tab w:val="clear" w:pos="1060"/>
      </w:tabs>
    </w:pPr>
  </w:style>
  <w:style w:type="paragraph" w:customStyle="1" w:styleId="MarginNote">
    <w:name w:val="Margin Note"/>
    <w:basedOn w:val="BodyText"/>
    <w:rsid w:val="00C00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F0A"/>
    <w:rPr>
      <w:sz w:val="32"/>
    </w:rPr>
  </w:style>
  <w:style w:type="paragraph" w:customStyle="1" w:styleId="HeadingProcedure">
    <w:name w:val="Heading Procedure"/>
    <w:basedOn w:val="HeadingBase"/>
    <w:next w:val="Normal"/>
    <w:rsid w:val="00C00F0A"/>
    <w:pPr>
      <w:tabs>
        <w:tab w:val="left" w:pos="0"/>
      </w:tabs>
      <w:spacing w:before="120" w:after="60"/>
    </w:pPr>
    <w:rPr>
      <w:i/>
      <w:color w:val="918585"/>
      <w:sz w:val="22"/>
    </w:rPr>
  </w:style>
  <w:style w:type="paragraph" w:customStyle="1" w:styleId="TableBodyText">
    <w:name w:val="Table Body Text"/>
    <w:basedOn w:val="BodyText"/>
    <w:rsid w:val="00C00F0A"/>
    <w:pPr>
      <w:spacing w:before="60" w:after="60"/>
    </w:pPr>
  </w:style>
  <w:style w:type="paragraph" w:styleId="ListContinue">
    <w:name w:val="List Continue"/>
    <w:basedOn w:val="List"/>
    <w:rsid w:val="00C00F0A"/>
    <w:pPr>
      <w:ind w:firstLine="0"/>
    </w:pPr>
  </w:style>
  <w:style w:type="paragraph" w:customStyle="1" w:styleId="ListNote">
    <w:name w:val="List Note"/>
    <w:basedOn w:val="List"/>
    <w:rsid w:val="00C00F0A"/>
    <w:pPr>
      <w:pBdr>
        <w:top w:val="single" w:sz="6" w:space="2" w:color="918585"/>
        <w:bottom w:val="single" w:sz="6" w:space="2" w:color="918585"/>
      </w:pBdr>
      <w:tabs>
        <w:tab w:val="left" w:pos="1021"/>
      </w:tabs>
      <w:ind w:firstLine="0"/>
    </w:pPr>
  </w:style>
  <w:style w:type="paragraph" w:customStyle="1" w:styleId="Warning">
    <w:name w:val="Warning"/>
    <w:basedOn w:val="BodyText"/>
    <w:rsid w:val="00C00F0A"/>
    <w:pPr>
      <w:shd w:val="clear" w:color="auto" w:fill="D9D9D9"/>
      <w:tabs>
        <w:tab w:val="left" w:pos="992"/>
      </w:tabs>
      <w:ind w:left="119" w:right="119"/>
    </w:pPr>
    <w:rPr>
      <w:sz w:val="20"/>
    </w:rPr>
  </w:style>
  <w:style w:type="paragraph" w:customStyle="1" w:styleId="MarginIcons">
    <w:name w:val="Margin Icons"/>
    <w:basedOn w:val="BodyText"/>
    <w:rsid w:val="00C00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F0A"/>
    <w:rPr>
      <w:rFonts w:ascii="Courier New" w:hAnsi="Courier New"/>
    </w:rPr>
  </w:style>
  <w:style w:type="paragraph" w:customStyle="1" w:styleId="NoteBullet">
    <w:name w:val="Note Bullet"/>
    <w:basedOn w:val="Note"/>
    <w:rsid w:val="00C00F0A"/>
    <w:pPr>
      <w:tabs>
        <w:tab w:val="clear" w:pos="680"/>
      </w:tabs>
      <w:spacing w:before="60" w:after="60"/>
    </w:pPr>
  </w:style>
  <w:style w:type="paragraph" w:customStyle="1" w:styleId="SubHeading2">
    <w:name w:val="SubHeading2"/>
    <w:basedOn w:val="HeadingBase"/>
    <w:rsid w:val="00C00F0A"/>
    <w:pPr>
      <w:spacing w:before="240" w:after="60"/>
    </w:pPr>
    <w:rPr>
      <w:sz w:val="20"/>
    </w:rPr>
  </w:style>
  <w:style w:type="paragraph" w:customStyle="1" w:styleId="SubHeading1">
    <w:name w:val="SubHeading1"/>
    <w:basedOn w:val="HeadingBase"/>
    <w:rsid w:val="00C00F0A"/>
    <w:pPr>
      <w:spacing w:before="240" w:after="60"/>
    </w:pPr>
    <w:rPr>
      <w:color w:val="918585"/>
      <w:sz w:val="22"/>
    </w:rPr>
  </w:style>
  <w:style w:type="paragraph" w:customStyle="1" w:styleId="SideHeading">
    <w:name w:val="Side Heading"/>
    <w:basedOn w:val="HeadingBase"/>
    <w:rsid w:val="00C00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F0A"/>
    <w:pPr>
      <w:numPr>
        <w:numId w:val="10"/>
      </w:numPr>
    </w:pPr>
  </w:style>
  <w:style w:type="paragraph" w:styleId="PlainText">
    <w:name w:val="Plain Text"/>
    <w:basedOn w:val="Normal"/>
    <w:link w:val="PlainTextChar"/>
    <w:rsid w:val="00C00F0A"/>
    <w:rPr>
      <w:sz w:val="20"/>
    </w:rPr>
  </w:style>
  <w:style w:type="character" w:customStyle="1" w:styleId="PlainTextChar">
    <w:name w:val="Plain Text Char"/>
    <w:basedOn w:val="DefaultParagraphFont"/>
    <w:link w:val="PlainText"/>
    <w:rsid w:val="00C00F0A"/>
    <w:rPr>
      <w:rFonts w:ascii="Courier New" w:eastAsia="Times New Roman" w:hAnsi="Courier New" w:cs="Times New Roman"/>
      <w:sz w:val="20"/>
      <w:szCs w:val="20"/>
      <w:lang w:eastAsia="en-US"/>
    </w:rPr>
  </w:style>
  <w:style w:type="character" w:customStyle="1" w:styleId="MenuOption">
    <w:name w:val="Menu Option"/>
    <w:basedOn w:val="DefaultParagraphFont"/>
    <w:rsid w:val="00C00F0A"/>
    <w:rPr>
      <w:b/>
      <w:smallCaps/>
    </w:rPr>
  </w:style>
  <w:style w:type="paragraph" w:customStyle="1" w:styleId="TableListNumber">
    <w:name w:val="Table List Number"/>
    <w:basedOn w:val="ListNumber"/>
    <w:rsid w:val="00C00F0A"/>
    <w:pPr>
      <w:numPr>
        <w:numId w:val="0"/>
      </w:numPr>
    </w:pPr>
  </w:style>
  <w:style w:type="paragraph" w:styleId="TOC4">
    <w:name w:val="toc 4"/>
    <w:basedOn w:val="TOCBase"/>
    <w:next w:val="Normal"/>
    <w:semiHidden/>
    <w:rsid w:val="00C00F0A"/>
    <w:pPr>
      <w:tabs>
        <w:tab w:val="right" w:leader="dot" w:pos="9071"/>
      </w:tabs>
      <w:ind w:left="1701"/>
    </w:pPr>
  </w:style>
  <w:style w:type="paragraph" w:customStyle="1" w:styleId="ListAlpha">
    <w:name w:val="List Alpha"/>
    <w:basedOn w:val="List"/>
    <w:rsid w:val="00C00F0A"/>
    <w:pPr>
      <w:numPr>
        <w:numId w:val="8"/>
      </w:numPr>
    </w:pPr>
  </w:style>
  <w:style w:type="paragraph" w:customStyle="1" w:styleId="ListAlpha2">
    <w:name w:val="List Alpha 2"/>
    <w:basedOn w:val="List2"/>
    <w:rsid w:val="00C00F0A"/>
    <w:pPr>
      <w:numPr>
        <w:numId w:val="7"/>
      </w:numPr>
    </w:pPr>
  </w:style>
  <w:style w:type="paragraph" w:styleId="List2">
    <w:name w:val="List 2"/>
    <w:basedOn w:val="BodyText"/>
    <w:rsid w:val="00C00F0A"/>
    <w:pPr>
      <w:tabs>
        <w:tab w:val="left" w:pos="680"/>
      </w:tabs>
      <w:spacing w:before="60" w:after="60"/>
      <w:ind w:left="680" w:hanging="340"/>
    </w:pPr>
  </w:style>
  <w:style w:type="paragraph" w:styleId="List3">
    <w:name w:val="List 3"/>
    <w:basedOn w:val="BodyText"/>
    <w:rsid w:val="00C00F0A"/>
    <w:pPr>
      <w:tabs>
        <w:tab w:val="left" w:pos="1021"/>
      </w:tabs>
      <w:spacing w:before="60" w:after="60"/>
      <w:ind w:left="1020" w:hanging="340"/>
    </w:pPr>
  </w:style>
  <w:style w:type="paragraph" w:styleId="List4">
    <w:name w:val="List 4"/>
    <w:basedOn w:val="BodyText"/>
    <w:rsid w:val="00C00F0A"/>
    <w:pPr>
      <w:tabs>
        <w:tab w:val="left" w:pos="1361"/>
      </w:tabs>
      <w:spacing w:before="60" w:after="60"/>
      <w:ind w:left="1361" w:hanging="340"/>
    </w:pPr>
  </w:style>
  <w:style w:type="paragraph" w:styleId="List5">
    <w:name w:val="List 5"/>
    <w:basedOn w:val="BodyText"/>
    <w:rsid w:val="00C00F0A"/>
    <w:pPr>
      <w:tabs>
        <w:tab w:val="left" w:pos="1701"/>
      </w:tabs>
      <w:spacing w:before="60" w:after="60"/>
      <w:ind w:left="1701" w:hanging="340"/>
    </w:pPr>
  </w:style>
  <w:style w:type="paragraph" w:styleId="ListBullet3">
    <w:name w:val="List Bullet 3"/>
    <w:basedOn w:val="List3"/>
    <w:rsid w:val="00C00F0A"/>
    <w:pPr>
      <w:numPr>
        <w:numId w:val="13"/>
      </w:numPr>
      <w:tabs>
        <w:tab w:val="clear" w:pos="1021"/>
      </w:tabs>
      <w:ind w:left="1037" w:hanging="357"/>
    </w:pPr>
  </w:style>
  <w:style w:type="paragraph" w:styleId="ListBullet4">
    <w:name w:val="List Bullet 4"/>
    <w:basedOn w:val="List4"/>
    <w:rsid w:val="00C00F0A"/>
    <w:pPr>
      <w:numPr>
        <w:numId w:val="2"/>
      </w:numPr>
      <w:tabs>
        <w:tab w:val="clear" w:pos="1361"/>
      </w:tabs>
    </w:pPr>
  </w:style>
  <w:style w:type="paragraph" w:styleId="ListBullet5">
    <w:name w:val="List Bullet 5"/>
    <w:basedOn w:val="List5"/>
    <w:rsid w:val="00C00F0A"/>
    <w:pPr>
      <w:numPr>
        <w:numId w:val="3"/>
      </w:numPr>
    </w:pPr>
  </w:style>
  <w:style w:type="paragraph" w:styleId="ListContinue2">
    <w:name w:val="List Continue 2"/>
    <w:basedOn w:val="List2"/>
    <w:rsid w:val="00C00F0A"/>
    <w:pPr>
      <w:ind w:firstLine="0"/>
    </w:pPr>
  </w:style>
  <w:style w:type="paragraph" w:styleId="ListContinue3">
    <w:name w:val="List Continue 3"/>
    <w:basedOn w:val="List3"/>
    <w:rsid w:val="00C00F0A"/>
    <w:pPr>
      <w:ind w:left="1021" w:firstLine="0"/>
    </w:pPr>
  </w:style>
  <w:style w:type="paragraph" w:styleId="ListContinue4">
    <w:name w:val="List Continue 4"/>
    <w:basedOn w:val="List4"/>
    <w:rsid w:val="00C00F0A"/>
    <w:pPr>
      <w:ind w:firstLine="0"/>
    </w:pPr>
  </w:style>
  <w:style w:type="paragraph" w:styleId="ListContinue5">
    <w:name w:val="List Continue 5"/>
    <w:basedOn w:val="List5"/>
    <w:rsid w:val="00C00F0A"/>
    <w:pPr>
      <w:ind w:firstLine="0"/>
    </w:pPr>
  </w:style>
  <w:style w:type="paragraph" w:styleId="ListNumber3">
    <w:name w:val="List Number 3"/>
    <w:basedOn w:val="List3"/>
    <w:rsid w:val="00C00F0A"/>
    <w:pPr>
      <w:numPr>
        <w:numId w:val="4"/>
      </w:numPr>
    </w:pPr>
  </w:style>
  <w:style w:type="paragraph" w:styleId="ListNumber4">
    <w:name w:val="List Number 4"/>
    <w:basedOn w:val="List4"/>
    <w:rsid w:val="00C00F0A"/>
    <w:pPr>
      <w:numPr>
        <w:numId w:val="5"/>
      </w:numPr>
    </w:pPr>
  </w:style>
  <w:style w:type="paragraph" w:styleId="ListNumber5">
    <w:name w:val="List Number 5"/>
    <w:basedOn w:val="List5"/>
    <w:rsid w:val="00C00F0A"/>
    <w:pPr>
      <w:numPr>
        <w:numId w:val="6"/>
      </w:numPr>
    </w:pPr>
  </w:style>
  <w:style w:type="paragraph" w:styleId="BlockText">
    <w:name w:val="Block Text"/>
    <w:basedOn w:val="Normal"/>
    <w:rsid w:val="00C00F0A"/>
    <w:pPr>
      <w:spacing w:after="120"/>
      <w:ind w:left="1440" w:right="1440"/>
    </w:pPr>
  </w:style>
  <w:style w:type="character" w:customStyle="1" w:styleId="Subscript">
    <w:name w:val="Subscript"/>
    <w:basedOn w:val="DefaultParagraphFont"/>
    <w:rsid w:val="00C00F0A"/>
    <w:rPr>
      <w:sz w:val="16"/>
      <w:vertAlign w:val="subscript"/>
    </w:rPr>
  </w:style>
  <w:style w:type="character" w:customStyle="1" w:styleId="Superscript">
    <w:name w:val="Superscript"/>
    <w:basedOn w:val="DefaultParagraphFont"/>
    <w:rsid w:val="00C00F0A"/>
    <w:rPr>
      <w:sz w:val="16"/>
      <w:vertAlign w:val="superscript"/>
    </w:rPr>
  </w:style>
  <w:style w:type="character" w:customStyle="1" w:styleId="Symbols">
    <w:name w:val="Symbols"/>
    <w:basedOn w:val="DefaultParagraphFont"/>
    <w:rsid w:val="00C00F0A"/>
    <w:rPr>
      <w:rFonts w:ascii="Symbol" w:hAnsi="Symbol"/>
    </w:rPr>
  </w:style>
  <w:style w:type="character" w:customStyle="1" w:styleId="MenuOptions">
    <w:name w:val="Menu Options"/>
    <w:basedOn w:val="DefaultParagraphFont"/>
    <w:rsid w:val="00C00F0A"/>
    <w:rPr>
      <w:rFonts w:ascii="Arial Narrow" w:hAnsi="Arial Narrow"/>
      <w:smallCaps/>
    </w:rPr>
  </w:style>
  <w:style w:type="character" w:customStyle="1" w:styleId="Buttons">
    <w:name w:val="Buttons"/>
    <w:basedOn w:val="DefaultParagraphFont"/>
    <w:rsid w:val="00C00F0A"/>
    <w:rPr>
      <w:b/>
    </w:rPr>
  </w:style>
  <w:style w:type="character" w:customStyle="1" w:styleId="Underlined">
    <w:name w:val="Underlined"/>
    <w:basedOn w:val="DefaultParagraphFont"/>
    <w:rsid w:val="00C00F0A"/>
    <w:rPr>
      <w:u w:val="single"/>
    </w:rPr>
  </w:style>
  <w:style w:type="paragraph" w:customStyle="1" w:styleId="TableBodyTextRight">
    <w:name w:val="Table Body Text Right"/>
    <w:basedOn w:val="TableBodyText"/>
    <w:rsid w:val="00C00F0A"/>
    <w:pPr>
      <w:widowControl w:val="0"/>
      <w:autoSpaceDE w:val="0"/>
      <w:autoSpaceDN w:val="0"/>
      <w:adjustRightInd w:val="0"/>
      <w:jc w:val="right"/>
    </w:pPr>
    <w:rPr>
      <w:rFonts w:cs="Arial"/>
      <w:szCs w:val="18"/>
    </w:rPr>
  </w:style>
  <w:style w:type="paragraph" w:customStyle="1" w:styleId="CopyrightText">
    <w:name w:val="Copyright Text"/>
    <w:basedOn w:val="BodyText"/>
    <w:rsid w:val="00C00F0A"/>
    <w:rPr>
      <w:sz w:val="18"/>
    </w:rPr>
  </w:style>
  <w:style w:type="paragraph" w:customStyle="1" w:styleId="BodySmallRight">
    <w:name w:val="Body Small Right"/>
    <w:basedOn w:val="BodyTextRight"/>
    <w:rsid w:val="00C00F0A"/>
    <w:rPr>
      <w:sz w:val="18"/>
      <w:szCs w:val="18"/>
    </w:rPr>
  </w:style>
  <w:style w:type="paragraph" w:customStyle="1" w:styleId="MarginEdition">
    <w:name w:val="Margin Edition"/>
    <w:basedOn w:val="MarginNote"/>
    <w:rsid w:val="00C00F0A"/>
    <w:pPr>
      <w:spacing w:before="0" w:after="0"/>
    </w:pPr>
    <w:rPr>
      <w:rFonts w:ascii="Times New Roman" w:hAnsi="Times New Roman"/>
      <w:color w:val="999999"/>
    </w:rPr>
  </w:style>
  <w:style w:type="paragraph" w:customStyle="1" w:styleId="Spacer">
    <w:name w:val="Spacer"/>
    <w:basedOn w:val="Normal"/>
    <w:rsid w:val="00C00F0A"/>
    <w:rPr>
      <w:sz w:val="2"/>
      <w:szCs w:val="2"/>
    </w:rPr>
  </w:style>
  <w:style w:type="character" w:customStyle="1" w:styleId="Small">
    <w:name w:val="Small"/>
    <w:basedOn w:val="DefaultParagraphFont"/>
    <w:rsid w:val="00C00F0A"/>
    <w:rPr>
      <w:sz w:val="16"/>
    </w:rPr>
  </w:style>
  <w:style w:type="paragraph" w:customStyle="1" w:styleId="WideTable">
    <w:name w:val="Wide Table"/>
    <w:basedOn w:val="Normal"/>
    <w:rsid w:val="00C00F0A"/>
    <w:pPr>
      <w:ind w:left="-1418"/>
    </w:pPr>
    <w:rPr>
      <w:sz w:val="2"/>
      <w:szCs w:val="2"/>
    </w:rPr>
  </w:style>
  <w:style w:type="character" w:styleId="PageNumber">
    <w:name w:val="page number"/>
    <w:basedOn w:val="DefaultParagraphFont"/>
    <w:rsid w:val="00C00F0A"/>
  </w:style>
  <w:style w:type="paragraph" w:styleId="Quote">
    <w:name w:val="Quote"/>
    <w:basedOn w:val="Heading1"/>
    <w:link w:val="QuoteChar"/>
    <w:qFormat/>
    <w:rsid w:val="00C00F0A"/>
    <w:rPr>
      <w:b w:val="0"/>
      <w:sz w:val="72"/>
      <w:szCs w:val="72"/>
      <w:lang w:val="en-NZ"/>
    </w:rPr>
  </w:style>
  <w:style w:type="character" w:customStyle="1" w:styleId="QuoteChar">
    <w:name w:val="Quote Char"/>
    <w:basedOn w:val="DefaultParagraphFont"/>
    <w:link w:val="Quote"/>
    <w:rsid w:val="00C00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F0A"/>
    <w:pPr>
      <w:pageBreakBefore/>
    </w:pPr>
  </w:style>
  <w:style w:type="paragraph" w:customStyle="1" w:styleId="Border">
    <w:name w:val="Border"/>
    <w:basedOn w:val="Normal"/>
    <w:qFormat/>
    <w:rsid w:val="00C00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F0A"/>
    <w:rPr>
      <w:b/>
      <w:bCs/>
      <w:i/>
      <w:iCs/>
      <w:color w:val="auto"/>
    </w:rPr>
  </w:style>
  <w:style w:type="paragraph" w:styleId="IntenseQuote">
    <w:name w:val="Intense Quote"/>
    <w:basedOn w:val="Normal"/>
    <w:next w:val="Normal"/>
    <w:link w:val="IntenseQuoteChar"/>
    <w:uiPriority w:val="30"/>
    <w:qFormat/>
    <w:rsid w:val="00C00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F0A"/>
    <w:rPr>
      <w:smallCaps/>
      <w:color w:val="auto"/>
      <w:u w:val="single"/>
    </w:rPr>
  </w:style>
  <w:style w:type="character" w:styleId="IntenseReference">
    <w:name w:val="Intense Reference"/>
    <w:basedOn w:val="DefaultParagraphFont"/>
    <w:uiPriority w:val="32"/>
    <w:qFormat/>
    <w:rsid w:val="00C00F0A"/>
    <w:rPr>
      <w:b/>
      <w:bCs/>
      <w:smallCaps/>
      <w:color w:val="auto"/>
      <w:spacing w:val="5"/>
      <w:u w:val="single"/>
    </w:rPr>
  </w:style>
  <w:style w:type="paragraph" w:customStyle="1" w:styleId="2ColumnHeading">
    <w:name w:val="2Column Heading"/>
    <w:basedOn w:val="BodyText"/>
    <w:qFormat/>
    <w:rsid w:val="00C00F0A"/>
    <w:pPr>
      <w:spacing w:after="60"/>
      <w:ind w:left="-2268"/>
    </w:pPr>
    <w:rPr>
      <w:b/>
    </w:rPr>
  </w:style>
  <w:style w:type="paragraph" w:customStyle="1" w:styleId="Heading1TOC">
    <w:name w:val="Heading1 TOC"/>
    <w:basedOn w:val="Normal"/>
    <w:qFormat/>
    <w:rsid w:val="00C00F0A"/>
    <w:pPr>
      <w:spacing w:before="240" w:after="120"/>
    </w:pPr>
    <w:rPr>
      <w:rFonts w:ascii="Times New Roman" w:hAnsi="Times New Roman"/>
      <w:b/>
      <w:sz w:val="32"/>
    </w:rPr>
  </w:style>
  <w:style w:type="paragraph" w:customStyle="1" w:styleId="Heading2TOC">
    <w:name w:val="Heading2 TOC"/>
    <w:basedOn w:val="Normal"/>
    <w:qFormat/>
    <w:rsid w:val="00C00F0A"/>
    <w:pPr>
      <w:spacing w:before="240" w:after="60"/>
    </w:pPr>
    <w:rPr>
      <w:rFonts w:ascii="Times New Roman" w:hAnsi="Times New Roman"/>
      <w:b/>
      <w:sz w:val="28"/>
    </w:rPr>
  </w:style>
  <w:style w:type="character" w:customStyle="1" w:styleId="Underline">
    <w:name w:val="Underline"/>
    <w:basedOn w:val="DefaultParagraphFont"/>
    <w:qFormat/>
    <w:rsid w:val="00C00F0A"/>
    <w:rPr>
      <w:u w:val="single"/>
    </w:rPr>
  </w:style>
  <w:style w:type="character" w:customStyle="1" w:styleId="BoldandItalics">
    <w:name w:val="Bold and Italics"/>
    <w:qFormat/>
    <w:rsid w:val="00C00F0A"/>
    <w:rPr>
      <w:b/>
      <w:i/>
      <w:u w:val="none"/>
    </w:rPr>
  </w:style>
  <w:style w:type="paragraph" w:styleId="BalloonText">
    <w:name w:val="Balloon Text"/>
    <w:basedOn w:val="Normal"/>
    <w:link w:val="BalloonTextChar"/>
    <w:rsid w:val="00C00F0A"/>
    <w:rPr>
      <w:rFonts w:ascii="Tahoma" w:hAnsi="Tahoma" w:cs="Tahoma"/>
      <w:sz w:val="16"/>
      <w:szCs w:val="16"/>
    </w:rPr>
  </w:style>
  <w:style w:type="character" w:customStyle="1" w:styleId="BalloonTextChar">
    <w:name w:val="Balloon Text Char"/>
    <w:basedOn w:val="DefaultParagraphFont"/>
    <w:link w:val="BalloonText"/>
    <w:rsid w:val="00C00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F0A"/>
    <w:rPr>
      <w:b/>
      <w:color w:val="660033"/>
      <w:spacing w:val="0"/>
    </w:rPr>
  </w:style>
  <w:style w:type="paragraph" w:customStyle="1" w:styleId="Nameditemlist">
    <w:name w:val="Named item list"/>
    <w:basedOn w:val="BodyText"/>
    <w:qFormat/>
    <w:rsid w:val="00C00F0A"/>
    <w:pPr>
      <w:tabs>
        <w:tab w:val="left" w:pos="2835"/>
      </w:tabs>
      <w:ind w:left="2835" w:hanging="2835"/>
    </w:pPr>
  </w:style>
  <w:style w:type="paragraph" w:customStyle="1" w:styleId="BodyTextnopadding">
    <w:name w:val="Body Text no padding"/>
    <w:basedOn w:val="BodyText"/>
    <w:qFormat/>
    <w:rsid w:val="00C00F0A"/>
    <w:pPr>
      <w:spacing w:before="0" w:after="0"/>
    </w:pPr>
  </w:style>
  <w:style w:type="paragraph" w:customStyle="1" w:styleId="BodyTextBold">
    <w:name w:val="Body Text Bold"/>
    <w:basedOn w:val="BodyText"/>
    <w:qFormat/>
    <w:rsid w:val="00C00F0A"/>
    <w:rPr>
      <w:b/>
    </w:rPr>
  </w:style>
  <w:style w:type="character" w:styleId="Hyperlink">
    <w:name w:val="Hyperlink"/>
    <w:basedOn w:val="DefaultParagraphFont"/>
    <w:uiPriority w:val="99"/>
    <w:unhideWhenUsed/>
    <w:rsid w:val="00CE5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Words>
  <Characters>7803</Characters>
  <Application>Microsoft Office Word</Application>
  <DocSecurity>0</DocSecurity>
  <Lines>325</Lines>
  <Paragraphs>153</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UEERL0004 Disconnect - reconnect electrical equipment connected to low voltage (LV) installation wiring</dc:title>
  <dc:subject>Approved</dc:subject>
  <dc:creator>Powering Skills Organisation</dc:creator>
  <cp:keywords>Release: 1</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