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ED8" w:rsidP="00C96ED8">
      <w:pPr>
        <w:pStyle w:val="Title"/>
      </w:pPr>
      <w:r>
        <w:fldChar w:fldCharType="begin"/>
      </w:r>
      <w:r>
        <w:instrText xml:space="preserve"> TITLE   \* MERGEFORMAT </w:instrText>
      </w:r>
      <w:r>
        <w:fldChar w:fldCharType="separate"/>
      </w:r>
      <w:r>
        <w:t>Assessment Requirements for UEERL0004 Disconnect - reconnect electrical equipment connected to low voltage (LV) installation wiring</w:t>
      </w:r>
      <w:r>
        <w:fldChar w:fldCharType="end"/>
      </w:r>
    </w:p>
    <w:p w:rsidR="00C96ED8" w:rsidP="00C96ED8">
      <w:pPr>
        <w:pStyle w:val="Version"/>
        <w:sectPr w:rsidSect="00C421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1F7" w:rsidP="00C421F7">
      <w:pPr>
        <w:pStyle w:val="SuperHeading"/>
      </w:pPr>
      <w:r w:rsidRPr="00C421F7">
        <w:t>Assessment Requirements for UEERL0004 Disconnect - reconnect electrical equipment connected to low voltage (LV) installation wiring</w:t>
      </w:r>
    </w:p>
    <w:p w:rsidR="00000000" w:rsidRPr="00C421F7" w:rsidP="00C421F7">
      <w:pPr>
        <w:pStyle w:val="Heading1"/>
      </w:pPr>
      <w:bookmarkStart w:id="1" w:name="O_1075745"/>
      <w:bookmarkEnd w:id="1"/>
      <w:r w:rsidRPr="00C421F7">
        <w:t>Modification History</w:t>
      </w:r>
    </w:p>
    <w:tbl>
      <w:tblPr>
        <w:tblW w:w="9497" w:type="dxa"/>
        <w:tblLayout w:type="fixed"/>
        <w:tblCellMar>
          <w:left w:w="62" w:type="dxa"/>
          <w:right w:w="62" w:type="dxa"/>
        </w:tblCellMar>
        <w:tblLook w:val="0000"/>
      </w:tblPr>
      <w:tblGrid>
        <w:gridCol w:w="9497"/>
      </w:tblGrid>
      <w:tr w:rsidTr="00C4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1F7" w:rsidP="00C421F7">
            <w:pPr>
              <w:pStyle w:val="BodyText"/>
            </w:pPr>
            <w:r w:rsidRPr="00C421F7">
              <w:t>Release 1. This is the first release of this unit of competency in the UEE Electrotechnology Training Package.</w:t>
            </w:r>
          </w:p>
        </w:tc>
      </w:tr>
    </w:tbl>
    <w:p w:rsidR="00000000" w:rsidRPr="00C421F7" w:rsidP="00C421F7">
      <w:pPr>
        <w:pStyle w:val="NoPaddingFontSize1"/>
      </w:pPr>
    </w:p>
    <w:p w:rsidR="00000000" w:rsidRPr="00C421F7" w:rsidP="00C421F7">
      <w:pPr>
        <w:pStyle w:val="AllowPageBreak"/>
      </w:pPr>
    </w:p>
    <w:p w:rsidR="00000000" w:rsidRPr="00C421F7" w:rsidP="00C421F7">
      <w:pPr>
        <w:pStyle w:val="Heading1"/>
      </w:pPr>
      <w:bookmarkStart w:id="2" w:name="O_1075747"/>
      <w:bookmarkEnd w:id="2"/>
      <w:r w:rsidRPr="00C421F7">
        <w:t>Performance Evidence</w:t>
      </w:r>
    </w:p>
    <w:tbl>
      <w:tblPr>
        <w:tblW w:w="9497" w:type="dxa"/>
        <w:tblLayout w:type="fixed"/>
        <w:tblCellMar>
          <w:left w:w="62" w:type="dxa"/>
          <w:right w:w="62" w:type="dxa"/>
        </w:tblCellMar>
        <w:tblLook w:val="0000"/>
      </w:tblPr>
      <w:tblGrid>
        <w:gridCol w:w="9497"/>
      </w:tblGrid>
      <w:tr w:rsidTr="00C4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21F7">
            <w:pPr>
              <w:pStyle w:val="BodyText"/>
              <w:rPr>
                <w:lang w:val="en-NZ"/>
              </w:rPr>
            </w:pPr>
            <w:r w:rsidRPr="00C421F7">
              <w:t>Evidence required to demonstrate competence in this unit must be relevant to and satisfy all of the req</w:t>
            </w:r>
            <w:r w:rsidRPr="00C421F7">
              <w:t xml:space="preserve">uirements of the elements, performance criteria and range of conditions on at least two separate occasions and include: </w:t>
            </w:r>
          </w:p>
        </w:tc>
      </w:tr>
      <w:tr w:rsidTr="00C4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1F7" w:rsidP="00C421F7">
            <w:pPr>
              <w:pStyle w:val="ListBullet"/>
            </w:pPr>
            <w:r w:rsidRPr="00C421F7">
              <w:t>applying relevant work health and safety (WHS)/occupational health and safety (OHS) requirements, including:</w:t>
            </w:r>
          </w:p>
          <w:p w:rsidR="00000000" w:rsidRPr="00C421F7" w:rsidP="00C421F7">
            <w:pPr>
              <w:pStyle w:val="ListBullet2"/>
            </w:pPr>
            <w:r w:rsidRPr="00C421F7">
              <w:t>selecting and using and</w:t>
            </w:r>
            <w:r w:rsidRPr="00C421F7">
              <w:t xml:space="preserve"> appropriate range of personal protective equipment (PPE)</w:t>
            </w:r>
          </w:p>
          <w:p w:rsidR="00000000" w:rsidRPr="00C421F7" w:rsidP="00C421F7">
            <w:pPr>
              <w:pStyle w:val="ListBullet2"/>
            </w:pPr>
            <w:r w:rsidRPr="00C421F7">
              <w:t>hazard identification</w:t>
            </w:r>
          </w:p>
          <w:p w:rsidR="00000000" w:rsidRPr="00C421F7" w:rsidP="00C421F7">
            <w:pPr>
              <w:pStyle w:val="ListBullet2"/>
            </w:pPr>
            <w:r w:rsidRPr="00C421F7">
              <w:t>using risk control measures</w:t>
            </w:r>
          </w:p>
          <w:p w:rsidR="00000000" w:rsidRPr="00C421F7" w:rsidP="00C421F7">
            <w:pPr>
              <w:pStyle w:val="ListBullet2"/>
            </w:pPr>
            <w:r w:rsidRPr="00C421F7">
              <w:t>using safe working practices when carrying out electrical disconnect/reconnect work</w:t>
            </w:r>
          </w:p>
          <w:p w:rsidR="00000000" w:rsidRPr="00C421F7" w:rsidP="00C421F7">
            <w:pPr>
              <w:pStyle w:val="ListBullet2"/>
            </w:pPr>
            <w:r w:rsidRPr="00C421F7">
              <w:t>working safely with low voltage (LV) electrical installations</w:t>
            </w:r>
          </w:p>
          <w:p w:rsidR="00000000" w:rsidRPr="00C421F7" w:rsidP="00C421F7">
            <w:pPr>
              <w:pStyle w:val="ListBullet"/>
            </w:pPr>
            <w:r w:rsidRPr="00C421F7">
              <w:t>determining electrical characteristics of electrical equipment</w:t>
            </w:r>
          </w:p>
          <w:p w:rsidR="00000000" w:rsidRPr="00C421F7" w:rsidP="00C421F7">
            <w:pPr>
              <w:pStyle w:val="ListBullet"/>
            </w:pPr>
            <w:r w:rsidRPr="00C421F7">
              <w:t>selecting tools, equipment and testing devices</w:t>
            </w:r>
          </w:p>
          <w:p w:rsidR="00000000" w:rsidRPr="00C421F7" w:rsidP="00C421F7">
            <w:pPr>
              <w:pStyle w:val="ListBullet"/>
            </w:pPr>
            <w:r w:rsidRPr="00C421F7">
              <w:t>identifying the point of isolation</w:t>
            </w:r>
          </w:p>
          <w:p w:rsidR="00000000" w:rsidRPr="00C421F7" w:rsidP="00C421F7">
            <w:pPr>
              <w:pStyle w:val="ListBullet"/>
            </w:pPr>
            <w:r w:rsidRPr="00C421F7">
              <w:t>preparing to disconnect and reconnect electrical equipment</w:t>
            </w:r>
          </w:p>
          <w:p w:rsidR="00000000" w:rsidRPr="00C421F7" w:rsidP="00C421F7">
            <w:pPr>
              <w:pStyle w:val="ListBullet"/>
            </w:pPr>
            <w:r w:rsidRPr="00C421F7">
              <w:t>disconnecting and reconnecting electrical equipment</w:t>
            </w:r>
          </w:p>
          <w:p w:rsidR="00000000" w:rsidRPr="00C421F7" w:rsidP="00C421F7">
            <w:pPr>
              <w:pStyle w:val="ListBullet"/>
            </w:pPr>
            <w:r w:rsidRPr="00C421F7">
              <w:t>connecting circuits from the schematic diagrams</w:t>
            </w:r>
          </w:p>
          <w:p w:rsidR="00000000" w:rsidRPr="00C421F7" w:rsidP="00C421F7">
            <w:pPr>
              <w:pStyle w:val="ListBullet"/>
            </w:pPr>
            <w:r w:rsidRPr="00C421F7">
              <w:t>connecting and using voltmeters and ammeters, including selecting the correct range in terms of magnitude and whether the supply is alternating current (a.c.) or direct current (d.c.)</w:t>
            </w:r>
          </w:p>
          <w:p w:rsidR="00000000" w:rsidRPr="00C421F7" w:rsidP="00C421F7">
            <w:pPr>
              <w:pStyle w:val="ListBullet"/>
            </w:pPr>
            <w:r w:rsidRPr="00C421F7">
              <w:t>isolating, testing and t</w:t>
            </w:r>
            <w:r w:rsidRPr="00C421F7">
              <w:t>agging accessories</w:t>
            </w:r>
          </w:p>
          <w:p w:rsidR="00000000" w:rsidRPr="00C421F7" w:rsidP="00C421F7">
            <w:pPr>
              <w:pStyle w:val="ListBullet"/>
            </w:pPr>
            <w:r w:rsidRPr="00C421F7">
              <w:t xml:space="preserve">connecting a simple electrical circuit, including supply, control switch and load </w:t>
            </w:r>
          </w:p>
          <w:p w:rsidR="00000000" w:rsidRPr="00C421F7" w:rsidP="00C421F7">
            <w:pPr>
              <w:pStyle w:val="ListBullet"/>
            </w:pPr>
            <w:r w:rsidRPr="00C421F7">
              <w:t>measuring voltage and current within a simple circuit</w:t>
            </w:r>
          </w:p>
          <w:p w:rsidR="00000000" w:rsidRPr="00C421F7" w:rsidP="00C421F7">
            <w:pPr>
              <w:pStyle w:val="ListBullet"/>
            </w:pPr>
            <w:r w:rsidRPr="00C421F7">
              <w:t>producing a wiring diagram of the connections used in following the schematic diagram</w:t>
            </w:r>
          </w:p>
          <w:p w:rsidR="00000000" w:rsidRPr="00C421F7" w:rsidP="00C421F7">
            <w:pPr>
              <w:pStyle w:val="ListBullet"/>
            </w:pPr>
            <w:r w:rsidRPr="00C421F7">
              <w:t>connecting a simple circuit following a wiring diagram</w:t>
            </w:r>
          </w:p>
          <w:p w:rsidR="00000000" w:rsidRPr="00C421F7" w:rsidP="00C421F7">
            <w:pPr>
              <w:pStyle w:val="ListBullet"/>
            </w:pPr>
            <w:r w:rsidRPr="00C421F7">
              <w:t>producing a schematic diagram from the wiring diagram</w:t>
            </w:r>
          </w:p>
          <w:p w:rsidR="00000000" w:rsidRPr="00C421F7" w:rsidP="00C421F7">
            <w:pPr>
              <w:pStyle w:val="ListBullet"/>
            </w:pPr>
            <w:r w:rsidRPr="00C421F7">
              <w:t>using an analogue multimeter for voltage measurement ensuring the following: setting zero, correct scale, a.c. or d.c., polarity and magnitude, avo</w:t>
            </w:r>
            <w:r w:rsidRPr="00C421F7">
              <w:t>iding parallax error and estimating between division readings</w:t>
            </w:r>
          </w:p>
          <w:p w:rsidR="00000000" w:rsidRPr="00C421F7" w:rsidP="00C421F7">
            <w:pPr>
              <w:pStyle w:val="ListBullet"/>
            </w:pPr>
            <w:r w:rsidRPr="00C421F7">
              <w:t>using a digital multimeter for voltage measurement ensuring the following: correct range and no active conductors are connected to any meter earth</w:t>
            </w:r>
          </w:p>
          <w:p w:rsidR="00000000" w:rsidRPr="00C421F7" w:rsidP="00C421F7">
            <w:pPr>
              <w:pStyle w:val="ListBullet"/>
            </w:pPr>
            <w:r w:rsidRPr="00C421F7">
              <w:t>measuring resistance using a digital multimeter</w:t>
            </w:r>
          </w:p>
          <w:p w:rsidR="00000000" w:rsidRPr="00C421F7" w:rsidP="00C421F7">
            <w:pPr>
              <w:pStyle w:val="ListBullet"/>
            </w:pPr>
            <w:r w:rsidRPr="00C421F7">
              <w:t>conducting insulation resistance tests using a handheld insulation tester after checking for zero and meter calibration</w:t>
            </w:r>
          </w:p>
          <w:p w:rsidR="00000000" w:rsidRPr="00C421F7" w:rsidP="00C421F7">
            <w:pPr>
              <w:pStyle w:val="ListBullet"/>
            </w:pPr>
            <w:r w:rsidRPr="00C421F7">
              <w:t>checking the polarity of a three-core extension cord using a continuity tester</w:t>
            </w:r>
          </w:p>
          <w:p w:rsidR="00000000" w:rsidRPr="00C421F7" w:rsidP="00C421F7">
            <w:pPr>
              <w:pStyle w:val="ListBullet"/>
            </w:pPr>
            <w:r w:rsidRPr="00C421F7">
              <w:t>measuring current using a clip-on (tong tester) taking e</w:t>
            </w:r>
            <w:r w:rsidRPr="00C421F7">
              <w:t>ach circuit conductor in turn</w:t>
            </w:r>
          </w:p>
          <w:p w:rsidR="00000000" w:rsidRPr="00C421F7" w:rsidP="00C421F7">
            <w:pPr>
              <w:pStyle w:val="ListBullet"/>
            </w:pPr>
            <w:r w:rsidRPr="00C421F7">
              <w:t>terminating cables using stud, screw, tunnel and lug terminal types employing the correct preparation and the relevant terminating tools</w:t>
            </w:r>
          </w:p>
          <w:p w:rsidR="00000000" w:rsidRPr="00C421F7" w:rsidP="00C421F7">
            <w:pPr>
              <w:pStyle w:val="ListBullet"/>
            </w:pPr>
            <w:r w:rsidRPr="00C421F7">
              <w:t>identifying the type and arrangement of circuits supplying equipment that is to be discon</w:t>
            </w:r>
            <w:r w:rsidRPr="00C421F7">
              <w:t>nected</w:t>
            </w:r>
          </w:p>
          <w:p w:rsidR="00000000" w:rsidRPr="00C421F7" w:rsidP="00C421F7">
            <w:pPr>
              <w:pStyle w:val="ListBullet"/>
            </w:pPr>
            <w:r w:rsidRPr="00C421F7">
              <w:t>testing the availability of supply for electrical equipment about to be disconnected</w:t>
            </w:r>
          </w:p>
          <w:p w:rsidR="00000000" w:rsidRPr="00C421F7" w:rsidP="00C421F7">
            <w:pPr>
              <w:pStyle w:val="ListBullet"/>
            </w:pPr>
            <w:r w:rsidRPr="00C421F7">
              <w:t>locating isolation device/s, including lockable adjacent switching device, and/or identification of fuse/circuit breaker at switchboard, and use of equipment schedu</w:t>
            </w:r>
            <w:r w:rsidRPr="00C421F7">
              <w:t>les where provided</w:t>
            </w:r>
          </w:p>
          <w:p w:rsidR="00000000" w:rsidRPr="00C421F7" w:rsidP="00C421F7">
            <w:pPr>
              <w:pStyle w:val="ListBullet"/>
            </w:pPr>
            <w:r w:rsidRPr="00C421F7">
              <w:t>determining the method of isolation to be used; which available device</w:t>
            </w:r>
          </w:p>
          <w:p w:rsidR="00000000" w:rsidRPr="00C421F7" w:rsidP="00C421F7">
            <w:pPr>
              <w:pStyle w:val="ListBullet"/>
            </w:pPr>
            <w:r w:rsidRPr="00C421F7">
              <w:t>isolating a supply at a fuse, ensuring the fuse wedge is removed only after the electrical equipment is turned off and demonstrating why the empty wedge is replaced o</w:t>
            </w:r>
            <w:r w:rsidRPr="00C421F7">
              <w:t>nce the fusible link has been removed</w:t>
            </w:r>
          </w:p>
          <w:p w:rsidR="00000000" w:rsidRPr="00C421F7" w:rsidP="00C421F7">
            <w:pPr>
              <w:pStyle w:val="ListBullet"/>
            </w:pPr>
            <w:r w:rsidRPr="00C421F7">
              <w:t xml:space="preserve">isolating a supply at a circuit breaker, ensuring the circuit breaker is locked and secured in the open position </w:t>
            </w:r>
          </w:p>
          <w:p w:rsidR="00000000" w:rsidRPr="00C421F7" w:rsidP="00C421F7">
            <w:pPr>
              <w:pStyle w:val="ListBullet"/>
            </w:pPr>
            <w:r w:rsidRPr="00C421F7">
              <w:t>undertaking tests to determine if the electrical equipment is turned off when isolating at a fuse/circui</w:t>
            </w:r>
            <w:r w:rsidRPr="00C421F7">
              <w:t>t breaker</w:t>
            </w:r>
          </w:p>
          <w:p w:rsidR="00000000" w:rsidRPr="00C421F7" w:rsidP="00C421F7">
            <w:pPr>
              <w:pStyle w:val="ListBullet"/>
            </w:pPr>
            <w:r w:rsidRPr="00C421F7">
              <w:t>using danger tags at the point of isolation</w:t>
            </w:r>
          </w:p>
          <w:p w:rsidR="00000000" w:rsidRPr="00C421F7" w:rsidP="00C421F7">
            <w:pPr>
              <w:pStyle w:val="ListBullet"/>
            </w:pPr>
            <w:r w:rsidRPr="00C421F7">
              <w:t>identifying the type and arrangement of circuits supplying equipment that is to be disconnected from a single phase and/or multiphase supply of voltages up to 1,000 V a.c. or 1,500 V d.c.</w:t>
            </w:r>
          </w:p>
          <w:p w:rsidR="00000000" w:rsidRPr="00C421F7" w:rsidP="00C421F7">
            <w:pPr>
              <w:pStyle w:val="ListBullet"/>
            </w:pPr>
            <w:r w:rsidRPr="00C421F7">
              <w:t>applying procedures that ensure the safe isolation of the supply to equipment which is to be disconnected</w:t>
            </w:r>
          </w:p>
          <w:p w:rsidR="00000000" w:rsidRPr="00C421F7" w:rsidP="00C421F7">
            <w:pPr>
              <w:pStyle w:val="ListBullet"/>
            </w:pPr>
            <w:r w:rsidRPr="00C421F7">
              <w:t xml:space="preserve">disconnecting isolated equipment from fixed wiring with minimal damage to wiring system after ensuring no visible faults or damage, and the recording </w:t>
            </w:r>
            <w:r w:rsidRPr="00C421F7">
              <w:t>of conductor connection sequence</w:t>
            </w:r>
          </w:p>
          <w:p w:rsidR="00000000" w:rsidRPr="00C421F7" w:rsidP="00C421F7">
            <w:pPr>
              <w:pStyle w:val="ListBullet"/>
            </w:pPr>
            <w:r w:rsidRPr="00C421F7">
              <w:t>applying termination practices in regard to disconnected wiring</w:t>
            </w:r>
          </w:p>
          <w:p w:rsidR="00000000" w:rsidRPr="00C421F7" w:rsidP="00C421F7">
            <w:pPr>
              <w:pStyle w:val="ListBullet"/>
            </w:pPr>
            <w:r w:rsidRPr="00C421F7">
              <w:t>checking the new electrical equipment nameplate details against those of the electrical equipment being replaced</w:t>
            </w:r>
          </w:p>
          <w:p w:rsidR="00000000" w:rsidRPr="00C421F7" w:rsidP="00C421F7">
            <w:pPr>
              <w:pStyle w:val="ListBullet"/>
            </w:pPr>
            <w:r w:rsidRPr="00C421F7">
              <w:t>visually inspecting and testing equipment</w:t>
            </w:r>
            <w:r>
              <w:t>’</w:t>
            </w:r>
            <w:r w:rsidRPr="00C421F7">
              <w:t>s el</w:t>
            </w:r>
            <w:r w:rsidRPr="00C421F7">
              <w:t>ectrical characteristics using suitable test equipment to ensure equipment is safe to connect in regard to sufficiently high insulation resistance, arrangements for protection against indirect contact are undamaged and in place, appropriate ingress protect</w:t>
            </w:r>
            <w:r w:rsidRPr="00C421F7">
              <w:t>ion (IP) rating, and arrangements for protection against dangers of mechanical movement are undamaged and in place</w:t>
            </w:r>
          </w:p>
          <w:p w:rsidR="00000000" w:rsidRPr="00C421F7" w:rsidP="00C421F7">
            <w:pPr>
              <w:pStyle w:val="ListBullet"/>
            </w:pPr>
            <w:r w:rsidRPr="00C421F7">
              <w:t>testing compliance of the electrical equipment, i.e. insulation resistance and continuity</w:t>
            </w:r>
          </w:p>
          <w:p w:rsidR="00000000" w:rsidRPr="00C421F7" w:rsidP="00C421F7">
            <w:pPr>
              <w:pStyle w:val="ListBullet"/>
            </w:pPr>
            <w:r w:rsidRPr="00C421F7">
              <w:t>testing the disconnected electrical equipment for f</w:t>
            </w:r>
            <w:r w:rsidRPr="00C421F7">
              <w:t>aults (open circuits, partial open circuits, short circuits, partial short circuits and earth faults), and recognise any unsatisfactory test results obtainedidentifying the type and arrangement of circuits supplying equipment that is to be reconnected to a</w:t>
            </w:r>
            <w:r w:rsidRPr="00C421F7">
              <w:t xml:space="preserve"> single phase and/or multi-phase supply of voltages up to 1,000 V a.c. or 1,500 V d.c.</w:t>
            </w:r>
          </w:p>
          <w:p w:rsidR="00000000" w:rsidRPr="00C421F7" w:rsidP="00C421F7">
            <w:pPr>
              <w:pStyle w:val="ListBullet"/>
            </w:pPr>
            <w:r w:rsidRPr="00C421F7">
              <w:t>reconnecting electrical equipment to fixed wiring with minimal damage to wiring system</w:t>
            </w:r>
          </w:p>
          <w:p w:rsidR="00000000" w:rsidRPr="00C421F7" w:rsidP="00C421F7">
            <w:pPr>
              <w:pStyle w:val="ListBullet"/>
            </w:pPr>
            <w:r w:rsidRPr="00C421F7">
              <w:t>ensuring continuity between exposed conductive parts of the equipment and the main</w:t>
            </w:r>
            <w:r w:rsidRPr="00C421F7">
              <w:t xml:space="preserve"> earth or </w:t>
            </w:r>
            <w:r w:rsidRPr="00C421F7">
              <w:t>metal switchboard enclosure</w:t>
            </w:r>
          </w:p>
          <w:p w:rsidR="00000000" w:rsidRPr="00C421F7" w:rsidP="00C421F7">
            <w:pPr>
              <w:pStyle w:val="ListBullet"/>
            </w:pPr>
            <w:r w:rsidRPr="00C421F7">
              <w:t>restoring supply after ensuring correct connections, and all safety requirements have been met</w:t>
            </w:r>
          </w:p>
          <w:p w:rsidR="00000000" w:rsidRPr="00C421F7" w:rsidP="00C421F7">
            <w:pPr>
              <w:pStyle w:val="ListBullet"/>
            </w:pPr>
            <w:r w:rsidRPr="00C421F7">
              <w:t>testing the supply at the electrical equipment</w:t>
            </w:r>
          </w:p>
          <w:p w:rsidR="00000000" w:rsidRPr="00C421F7" w:rsidP="00C421F7">
            <w:pPr>
              <w:pStyle w:val="ListBullet"/>
            </w:pPr>
            <w:r w:rsidRPr="00C421F7">
              <w:t>restoring all mechanical protection, e.g. terminal covers</w:t>
            </w:r>
          </w:p>
          <w:p w:rsidR="00000000" w:rsidRPr="00C421F7" w:rsidP="00C421F7">
            <w:pPr>
              <w:pStyle w:val="ListBullet"/>
            </w:pPr>
            <w:r w:rsidRPr="00C421F7">
              <w:t>checking operation</w:t>
            </w:r>
            <w:r w:rsidRPr="00C421F7">
              <w:t xml:space="preserve"> of reconnected equipment</w:t>
            </w:r>
          </w:p>
          <w:p w:rsidR="00000000" w:rsidRPr="00C421F7" w:rsidP="00C421F7">
            <w:pPr>
              <w:pStyle w:val="ListBullet"/>
            </w:pPr>
            <w:r w:rsidRPr="00C421F7">
              <w:t>dealing with unplanned events/situations in accordance with workplace procedures and in a manner that minimises risk to personnel and equipment</w:t>
            </w:r>
          </w:p>
          <w:p w:rsidR="00000000" w:rsidRPr="00C421F7" w:rsidP="00C421F7">
            <w:pPr>
              <w:pStyle w:val="ListBullet"/>
            </w:pPr>
            <w:r w:rsidRPr="00C421F7">
              <w:t xml:space="preserve">producing reports and documents to describe a suitable procedure to safely disconnect </w:t>
            </w:r>
            <w:r w:rsidRPr="00C421F7">
              <w:t>a component from a single-phase supply and/or multi-phase supply in accordance with workplace, industry and regulatory requirements</w:t>
            </w:r>
          </w:p>
          <w:p w:rsidR="00000000" w:rsidRPr="00C421F7" w:rsidP="00C421F7">
            <w:pPr>
              <w:pStyle w:val="ListBullet"/>
            </w:pPr>
            <w:r w:rsidRPr="00C421F7">
              <w:t>producing reports and compliance documentation for the safe reconnection/commissioning of a component to the supply in accor</w:t>
            </w:r>
            <w:r w:rsidRPr="00C421F7">
              <w:t>dance with workplace, industry and regulatory requirements</w:t>
            </w:r>
          </w:p>
          <w:p w:rsidR="00000000" w:rsidRPr="00C421F7" w:rsidP="00C421F7">
            <w:pPr>
              <w:pStyle w:val="ListBullet"/>
            </w:pPr>
            <w:r w:rsidRPr="00C421F7">
              <w:t>completing required regulatory compliance documentation.</w:t>
            </w:r>
          </w:p>
        </w:tc>
      </w:tr>
    </w:tbl>
    <w:p w:rsidR="00000000" w:rsidRPr="00C421F7" w:rsidP="00C421F7">
      <w:pPr>
        <w:pStyle w:val="NoPaddingFontSize1"/>
      </w:pPr>
    </w:p>
    <w:p w:rsidR="00000000" w:rsidRPr="00C421F7" w:rsidP="00C421F7">
      <w:pPr>
        <w:pStyle w:val="AllowPageBreak"/>
      </w:pPr>
    </w:p>
    <w:p w:rsidR="00000000" w:rsidRPr="00C421F7" w:rsidP="00C421F7">
      <w:pPr>
        <w:pStyle w:val="Heading1"/>
      </w:pPr>
      <w:bookmarkStart w:id="3" w:name="O_1075749"/>
      <w:bookmarkEnd w:id="3"/>
      <w:r w:rsidRPr="00C421F7">
        <w:t>Knowledge Evidence</w:t>
      </w:r>
    </w:p>
    <w:tbl>
      <w:tblPr>
        <w:tblW w:w="9497" w:type="dxa"/>
        <w:tblLayout w:type="fixed"/>
        <w:tblCellMar>
          <w:left w:w="62" w:type="dxa"/>
          <w:right w:w="62" w:type="dxa"/>
        </w:tblCellMar>
        <w:tblLook w:val="0000"/>
      </w:tblPr>
      <w:tblGrid>
        <w:gridCol w:w="9497"/>
      </w:tblGrid>
      <w:tr w:rsidTr="00C4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21F7">
            <w:pPr>
              <w:pStyle w:val="BodyText"/>
              <w:rPr>
                <w:lang w:val="en-NZ"/>
              </w:rPr>
            </w:pPr>
            <w:r w:rsidRPr="00C421F7">
              <w:t xml:space="preserve">Evidence required to demonstrate competence in this unit must be relevant to and satisfy all of the requirements of the elements, performance criteria and range of conditions and include knowledge of: </w:t>
            </w:r>
          </w:p>
        </w:tc>
      </w:tr>
      <w:tr w:rsidTr="00C4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1F7" w:rsidP="00C421F7">
            <w:pPr>
              <w:pStyle w:val="ListBullet"/>
            </w:pPr>
            <w:r w:rsidRPr="00C421F7">
              <w:t>the basic electrical circuit, including:</w:t>
            </w:r>
          </w:p>
          <w:p w:rsidR="00000000" w:rsidRPr="00C421F7" w:rsidP="00C421F7">
            <w:pPr>
              <w:pStyle w:val="ListBullet2"/>
            </w:pPr>
            <w:r w:rsidRPr="00C421F7">
              <w:t>elements o</w:t>
            </w:r>
            <w:r w:rsidRPr="00C421F7">
              <w:t>f a simple electric circuit (supply, control switch, protection device and load)</w:t>
            </w:r>
          </w:p>
          <w:p w:rsidR="00000000" w:rsidRPr="00C421F7" w:rsidP="00C421F7">
            <w:pPr>
              <w:pStyle w:val="ListBullet2"/>
            </w:pPr>
            <w:r w:rsidRPr="00C421F7">
              <w:t>definition, the symbol and the abbreviation of the unit for electromotive force, potential difference, current and resistance</w:t>
            </w:r>
          </w:p>
          <w:p w:rsidR="00000000" w:rsidRPr="00C421F7" w:rsidP="00C421F7">
            <w:pPr>
              <w:pStyle w:val="ListBullet2"/>
            </w:pPr>
            <w:r w:rsidRPr="00C421F7">
              <w:t>types of electrical load</w:t>
            </w:r>
          </w:p>
          <w:p w:rsidR="00000000" w:rsidRPr="00C421F7" w:rsidP="00C421F7">
            <w:pPr>
              <w:pStyle w:val="ListBullet2"/>
            </w:pPr>
            <w:r w:rsidRPr="00C421F7">
              <w:t>need for devices to afford electrical protection and the mechanisms used in protection devices, including resetting</w:t>
            </w:r>
          </w:p>
          <w:p w:rsidR="00000000" w:rsidRPr="00C421F7" w:rsidP="00C421F7">
            <w:pPr>
              <w:pStyle w:val="ListBullet2"/>
            </w:pPr>
            <w:r w:rsidRPr="00C421F7">
              <w:t>a.c supply (both single and multi-phase) and d.c. supply</w:t>
            </w:r>
          </w:p>
          <w:p w:rsidR="00000000" w:rsidRPr="00C421F7" w:rsidP="00C421F7">
            <w:pPr>
              <w:pStyle w:val="ListBullet2"/>
            </w:pPr>
            <w:r w:rsidRPr="00C421F7">
              <w:t>need for isolating, testing and tagging electrical circuits</w:t>
            </w:r>
          </w:p>
          <w:p w:rsidR="00000000" w:rsidRPr="00C421F7" w:rsidP="00C421F7">
            <w:pPr>
              <w:pStyle w:val="ListBullet"/>
            </w:pPr>
            <w:r w:rsidRPr="00C421F7">
              <w:t>relationships in an el</w:t>
            </w:r>
            <w:r w:rsidRPr="00C421F7">
              <w:t>ectrical circuit, including:</w:t>
            </w:r>
          </w:p>
          <w:p w:rsidR="00000000" w:rsidRPr="00C421F7" w:rsidP="00C421F7">
            <w:pPr>
              <w:pStyle w:val="ListBullet2"/>
            </w:pPr>
            <w:r w:rsidRPr="00C421F7">
              <w:t>relationship between voltage, current and resistance</w:t>
            </w:r>
          </w:p>
          <w:p w:rsidR="00000000" w:rsidRPr="00C421F7" w:rsidP="00C421F7">
            <w:pPr>
              <w:pStyle w:val="ListBullet2"/>
            </w:pPr>
            <w:r w:rsidRPr="00C421F7">
              <w:t>definition of power in electrical terms (for d.c. or resistive a.c. circuits)</w:t>
            </w:r>
          </w:p>
          <w:p w:rsidR="00000000" w:rsidRPr="00C421F7" w:rsidP="00C421F7">
            <w:pPr>
              <w:pStyle w:val="ListBullet2"/>
            </w:pPr>
            <w:r w:rsidRPr="00C421F7">
              <w:t>electrical diagrams, including:</w:t>
            </w:r>
          </w:p>
          <w:p w:rsidR="00000000" w:rsidRPr="00C421F7" w:rsidP="00C421F7">
            <w:pPr>
              <w:pStyle w:val="ListBullet3"/>
            </w:pPr>
            <w:r w:rsidRPr="00C421F7">
              <w:t>symbols used for fuse, circuit breaker, isolator, normally ope</w:t>
            </w:r>
            <w:r w:rsidRPr="00C421F7">
              <w:t>n contacts, normally closed contacts, coil, energy meter, a.c. motor and transformer</w:t>
            </w:r>
          </w:p>
          <w:p w:rsidR="00000000" w:rsidRPr="00C421F7" w:rsidP="00C421F7">
            <w:pPr>
              <w:pStyle w:val="ListBullet3"/>
            </w:pPr>
            <w:r w:rsidRPr="00C421F7">
              <w:t>using a block diagram as means of developing concepts and understanding</w:t>
            </w:r>
          </w:p>
          <w:p w:rsidR="00000000" w:rsidRPr="00C421F7" w:rsidP="00C421F7">
            <w:pPr>
              <w:pStyle w:val="ListBullet3"/>
            </w:pPr>
            <w:r w:rsidRPr="00C421F7">
              <w:t>function of single line diagrams, including their application in three phase systems</w:t>
            </w:r>
          </w:p>
          <w:p w:rsidR="00000000" w:rsidRPr="00C421F7" w:rsidP="00C421F7">
            <w:pPr>
              <w:pStyle w:val="ListBullet3"/>
            </w:pPr>
            <w:r w:rsidRPr="00C421F7">
              <w:t>definition of a circuit or schematic diagrams</w:t>
            </w:r>
          </w:p>
          <w:p w:rsidR="00000000" w:rsidRPr="00C421F7" w:rsidP="00C421F7">
            <w:pPr>
              <w:pStyle w:val="ListBullet3"/>
            </w:pPr>
            <w:r w:rsidRPr="00C421F7">
              <w:t>wiring diagrams</w:t>
            </w:r>
          </w:p>
          <w:p w:rsidR="00000000" w:rsidRPr="00C421F7" w:rsidP="00C421F7">
            <w:pPr>
              <w:pStyle w:val="ListBullet"/>
            </w:pPr>
            <w:r w:rsidRPr="00C421F7">
              <w:t>test equipment selection and care, including:</w:t>
            </w:r>
          </w:p>
          <w:p w:rsidR="00000000" w:rsidRPr="00C421F7" w:rsidP="00C421F7">
            <w:pPr>
              <w:pStyle w:val="ListBullet2"/>
            </w:pPr>
            <w:r w:rsidRPr="00C421F7">
              <w:t>fault currents and the implications of incorrectly connecting a meter to a high fault current source</w:t>
            </w:r>
          </w:p>
          <w:p w:rsidR="00000000" w:rsidRPr="00C421F7" w:rsidP="00C421F7">
            <w:pPr>
              <w:pStyle w:val="ListBullet2"/>
            </w:pPr>
            <w:r w:rsidRPr="00C421F7">
              <w:t>category ratings of multimeters in terms of their breaking capacity (fault current interruption) and identification of the appropriate category of instrument for typical domestic work and for typical commercial work</w:t>
            </w:r>
          </w:p>
          <w:p w:rsidR="00000000" w:rsidRPr="00C421F7" w:rsidP="00C421F7">
            <w:pPr>
              <w:pStyle w:val="ListBullet2"/>
            </w:pPr>
            <w:r w:rsidRPr="00C421F7">
              <w:t>regulatory requirements in regard to the</w:t>
            </w:r>
            <w:r w:rsidRPr="00C421F7">
              <w:t xml:space="preserve"> maintenance and testing of test instrumentation</w:t>
            </w:r>
          </w:p>
          <w:p w:rsidR="00000000" w:rsidRPr="00C421F7" w:rsidP="00C421F7">
            <w:pPr>
              <w:pStyle w:val="ListBullet2"/>
            </w:pPr>
            <w:r w:rsidRPr="00C421F7">
              <w:t>steps and procedures for the safe use, care and storage of electrical instruments</w:t>
            </w:r>
          </w:p>
          <w:p w:rsidR="00000000" w:rsidRPr="00C421F7" w:rsidP="00C421F7">
            <w:pPr>
              <w:pStyle w:val="ListBullet2"/>
            </w:pPr>
            <w:r w:rsidRPr="00C421F7">
              <w:t>selecting test equipment for given situations</w:t>
            </w:r>
          </w:p>
          <w:p w:rsidR="00000000" w:rsidRPr="00C421F7" w:rsidP="00C421F7">
            <w:pPr>
              <w:pStyle w:val="ListBullet"/>
            </w:pPr>
            <w:r w:rsidRPr="00C421F7">
              <w:t>test equipment - voltage measurement, including:</w:t>
            </w:r>
          </w:p>
          <w:p w:rsidR="00000000" w:rsidRPr="00C421F7" w:rsidP="00C421F7">
            <w:pPr>
              <w:pStyle w:val="ListBullet2"/>
            </w:pPr>
            <w:r w:rsidRPr="00C421F7">
              <w:t>voltage measurement - meters</w:t>
            </w:r>
            <w:r w:rsidRPr="00C421F7">
              <w:t xml:space="preserve"> connected in parallel</w:t>
            </w:r>
          </w:p>
          <w:p w:rsidR="00000000" w:rsidRPr="00C421F7" w:rsidP="00C421F7">
            <w:pPr>
              <w:pStyle w:val="ListBullet"/>
            </w:pPr>
            <w:r w:rsidRPr="00C421F7">
              <w:t>test equipment - resistance measurement, including:</w:t>
            </w:r>
          </w:p>
          <w:p w:rsidR="00000000" w:rsidRPr="00C421F7" w:rsidP="00C421F7">
            <w:pPr>
              <w:pStyle w:val="ListBullet2"/>
            </w:pPr>
            <w:r w:rsidRPr="00C421F7">
              <w:t>insulation resistance, and the required minimum values for insulation resistance LV equipment (including the insulation resistance values for electrical equipment incorporating he</w:t>
            </w:r>
            <w:r w:rsidRPr="00C421F7">
              <w:t>ating elements)</w:t>
            </w:r>
          </w:p>
          <w:p w:rsidR="00000000" w:rsidRPr="00C421F7" w:rsidP="00C421F7">
            <w:pPr>
              <w:pStyle w:val="ListBullet2"/>
            </w:pPr>
            <w:r w:rsidRPr="00C421F7">
              <w:t>insulation resistance needs to be measured at higher than supply voltage and the voltages to be used</w:t>
            </w:r>
          </w:p>
          <w:p w:rsidR="00000000" w:rsidRPr="00C421F7" w:rsidP="00C421F7">
            <w:pPr>
              <w:pStyle w:val="ListBullet2"/>
            </w:pPr>
            <w:r w:rsidRPr="00C421F7">
              <w:t>continuity and what a continuity tester does</w:t>
            </w:r>
          </w:p>
          <w:p w:rsidR="00000000" w:rsidRPr="00C421F7" w:rsidP="00C421F7">
            <w:pPr>
              <w:pStyle w:val="ListBullet"/>
            </w:pPr>
            <w:r w:rsidRPr="00C421F7">
              <w:t xml:space="preserve">test equipment - current measurement, including advantage/s of the clip-on method of current </w:t>
            </w:r>
            <w:r w:rsidRPr="00C421F7">
              <w:t>measurement</w:t>
            </w:r>
          </w:p>
          <w:p w:rsidR="00000000" w:rsidRPr="00C421F7" w:rsidP="00C421F7">
            <w:pPr>
              <w:pStyle w:val="ListBullet"/>
            </w:pPr>
            <w:r w:rsidRPr="00C421F7">
              <w:t>cable connections, including:</w:t>
            </w:r>
          </w:p>
          <w:p w:rsidR="00000000" w:rsidRPr="00C421F7" w:rsidP="00C421F7">
            <w:pPr>
              <w:pStyle w:val="ListBullet2"/>
            </w:pPr>
            <w:r w:rsidRPr="00C421F7">
              <w:t>construction of typical power cables</w:t>
            </w:r>
          </w:p>
          <w:p w:rsidR="00000000" w:rsidRPr="00C421F7" w:rsidP="00C421F7">
            <w:pPr>
              <w:pStyle w:val="ListBullet2"/>
            </w:pPr>
            <w:r w:rsidRPr="00C421F7">
              <w:t>principle of operation of the following types of terminals stud, screw, tunnel and lugs</w:t>
            </w:r>
          </w:p>
          <w:p w:rsidR="00000000" w:rsidRPr="00C421F7" w:rsidP="00C421F7">
            <w:pPr>
              <w:pStyle w:val="ListBullet2"/>
            </w:pPr>
            <w:r w:rsidRPr="00C421F7">
              <w:t>cable pre</w:t>
            </w:r>
            <w:r w:rsidRPr="00C421F7">
              <w:t>paration and terminating methods appropriate to each type of terminal, including any special requirements which apply</w:t>
            </w:r>
          </w:p>
          <w:p w:rsidR="00000000" w:rsidRPr="00C421F7" w:rsidP="00C421F7">
            <w:pPr>
              <w:pStyle w:val="ListBullet"/>
            </w:pPr>
            <w:r w:rsidRPr="00C421F7">
              <w:t>protection for safety, including:</w:t>
            </w:r>
          </w:p>
          <w:p w:rsidR="00000000" w:rsidRPr="00C421F7" w:rsidP="00C421F7">
            <w:pPr>
              <w:pStyle w:val="ListBullet2"/>
            </w:pPr>
            <w:r w:rsidRPr="00C421F7">
              <w:t>dangers associated with earth-faults</w:t>
            </w:r>
          </w:p>
          <w:p w:rsidR="00000000" w:rsidRPr="00C421F7" w:rsidP="00C421F7">
            <w:pPr>
              <w:pStyle w:val="ListBullet2"/>
            </w:pPr>
            <w:r w:rsidRPr="00C421F7">
              <w:t>protection of persons against electric shock from earth-faults</w:t>
            </w:r>
          </w:p>
          <w:p w:rsidR="00000000" w:rsidRPr="00C421F7" w:rsidP="00C421F7">
            <w:pPr>
              <w:pStyle w:val="ListBullet2"/>
            </w:pPr>
            <w:r w:rsidRPr="00C421F7">
              <w:t>ma</w:t>
            </w:r>
            <w:r w:rsidRPr="00C421F7">
              <w:t>intaining a low earth-fault current path resistance</w:t>
            </w:r>
          </w:p>
          <w:p w:rsidR="00000000" w:rsidRPr="00C421F7" w:rsidP="00C421F7">
            <w:pPr>
              <w:pStyle w:val="ListBullet2"/>
            </w:pPr>
            <w:r w:rsidRPr="00C421F7">
              <w:t>components in an earth-fault current path</w:t>
            </w:r>
          </w:p>
          <w:p w:rsidR="00000000" w:rsidRPr="00C421F7" w:rsidP="00C421F7">
            <w:pPr>
              <w:pStyle w:val="ListBullet2"/>
            </w:pPr>
            <w:r w:rsidRPr="00C421F7">
              <w:t>regulatory issues/requirements/limitations in regard to working live</w:t>
            </w:r>
          </w:p>
          <w:p w:rsidR="00000000" w:rsidRPr="00C421F7" w:rsidP="00C421F7">
            <w:pPr>
              <w:pStyle w:val="ListBullet"/>
            </w:pPr>
            <w:r w:rsidRPr="00C421F7">
              <w:t>safety testing preparation and procedures, including:</w:t>
            </w:r>
          </w:p>
          <w:p w:rsidR="00000000" w:rsidRPr="00C421F7" w:rsidP="00C421F7">
            <w:pPr>
              <w:pStyle w:val="ListBullet2"/>
            </w:pPr>
            <w:r w:rsidRPr="00C421F7">
              <w:t>faulty earth-fault current paths</w:t>
            </w:r>
          </w:p>
          <w:p w:rsidR="00000000" w:rsidRPr="00C421F7" w:rsidP="00C421F7">
            <w:pPr>
              <w:pStyle w:val="ListBullet2"/>
            </w:pPr>
            <w:r w:rsidRPr="00C421F7">
              <w:t>usin</w:t>
            </w:r>
            <w:r w:rsidRPr="00C421F7">
              <w:t>g safe working practices when carrying out fault-finding work</w:t>
            </w:r>
          </w:p>
          <w:p w:rsidR="00000000" w:rsidRPr="00C421F7" w:rsidP="00C421F7">
            <w:pPr>
              <w:pStyle w:val="ListBullet2"/>
            </w:pPr>
            <w:r w:rsidRPr="00C421F7">
              <w:t>identification of earthing system components</w:t>
            </w:r>
          </w:p>
          <w:p w:rsidR="00000000" w:rsidRPr="00C421F7" w:rsidP="00C421F7">
            <w:pPr>
              <w:pStyle w:val="ListBullet2"/>
            </w:pPr>
            <w:r w:rsidRPr="00C421F7">
              <w:t>unsatisfactory resistance of a fault current path</w:t>
            </w:r>
          </w:p>
          <w:p w:rsidR="00000000" w:rsidRPr="00C421F7" w:rsidP="00C421F7">
            <w:pPr>
              <w:pStyle w:val="ListBullet2"/>
            </w:pPr>
            <w:r w:rsidRPr="00C421F7">
              <w:t>actions to rectify unsatisfactory resistance of an earth-fault current path or insulation</w:t>
            </w:r>
          </w:p>
          <w:p w:rsidR="00000000" w:rsidRPr="00C421F7" w:rsidP="00C421F7">
            <w:pPr>
              <w:pStyle w:val="ListBullet"/>
            </w:pPr>
            <w:r w:rsidRPr="00C421F7">
              <w:t>isolating supplies, including:</w:t>
            </w:r>
          </w:p>
          <w:p w:rsidR="00000000" w:rsidRPr="00C421F7" w:rsidP="00C421F7">
            <w:pPr>
              <w:pStyle w:val="ListBullet2"/>
            </w:pPr>
            <w:r w:rsidRPr="00C421F7">
              <w:t>regulatory requirements in regard to working de-energised, and ensuring and maintaining isolation</w:t>
            </w:r>
          </w:p>
          <w:p w:rsidR="00000000" w:rsidRPr="00C421F7" w:rsidP="00C421F7">
            <w:pPr>
              <w:pStyle w:val="ListBullet2"/>
            </w:pPr>
            <w:r w:rsidRPr="00C421F7">
              <w:t>reasons for advising all personnel likely to be affected</w:t>
            </w:r>
          </w:p>
          <w:p w:rsidR="00000000" w:rsidRPr="00C421F7" w:rsidP="00C421F7">
            <w:pPr>
              <w:pStyle w:val="ListBullet2"/>
            </w:pPr>
            <w:r w:rsidRPr="00C421F7">
              <w:t>preventing others wanting to remake supply</w:t>
            </w:r>
          </w:p>
          <w:p w:rsidR="00000000" w:rsidRPr="00C421F7" w:rsidP="00C421F7">
            <w:pPr>
              <w:pStyle w:val="ListBullet2"/>
            </w:pPr>
            <w:r w:rsidRPr="00C421F7">
              <w:t>reason for isolation and a</w:t>
            </w:r>
            <w:r w:rsidRPr="00C421F7">
              <w:t>pproximate time of outage to allow planning of alternate activities</w:t>
            </w:r>
          </w:p>
          <w:p w:rsidR="00000000" w:rsidRPr="00C421F7" w:rsidP="00C421F7">
            <w:pPr>
              <w:pStyle w:val="ListBullet2"/>
            </w:pPr>
            <w:r w:rsidRPr="00C421F7">
              <w:t>identification of the type and arrangement of circuits supplying equipment that is to be disconnected</w:t>
            </w:r>
          </w:p>
          <w:p w:rsidR="00000000" w:rsidRPr="00C421F7" w:rsidP="00C421F7">
            <w:pPr>
              <w:pStyle w:val="ListBullet2"/>
            </w:pPr>
            <w:r w:rsidRPr="00C421F7">
              <w:t>use of and reason for danger tags at the point of isolation</w:t>
            </w:r>
          </w:p>
          <w:p w:rsidR="00000000" w:rsidRPr="00C421F7" w:rsidP="00C421F7">
            <w:pPr>
              <w:pStyle w:val="ListBullet2"/>
            </w:pPr>
            <w:r w:rsidRPr="00C421F7">
              <w:t>reason for the following s</w:t>
            </w:r>
            <w:r w:rsidRPr="00C421F7">
              <w:t>teps: testing on a known live supply, testing for isolation, retesting on a known live supply after confirming isolation</w:t>
            </w:r>
          </w:p>
          <w:p w:rsidR="00000000" w:rsidRPr="00C421F7" w:rsidP="00C421F7">
            <w:pPr>
              <w:pStyle w:val="ListBullet"/>
            </w:pPr>
            <w:r w:rsidRPr="00C421F7">
              <w:t>disconnecting electrical equipment - LV, including:</w:t>
            </w:r>
          </w:p>
          <w:p w:rsidR="00000000" w:rsidRPr="00C421F7" w:rsidP="00C421F7">
            <w:pPr>
              <w:pStyle w:val="ListBullet2"/>
            </w:pPr>
            <w:r w:rsidRPr="00C421F7">
              <w:t>identification of the type and arrangement of circuits supplying equipment that is to be disconnected from a single phase and/or multi-phase supply of voltages up to 1,000 V a.c. or 1,500 V d.c.</w:t>
            </w:r>
          </w:p>
          <w:p w:rsidR="00000000" w:rsidRPr="00C421F7" w:rsidP="00C421F7">
            <w:pPr>
              <w:pStyle w:val="ListBullet2"/>
            </w:pPr>
            <w:r w:rsidRPr="00C421F7">
              <w:t>procedures that ensure the safe isolation of the supply to eq</w:t>
            </w:r>
            <w:r w:rsidRPr="00C421F7">
              <w:t>uipment which is to be disconnected</w:t>
            </w:r>
          </w:p>
          <w:p w:rsidR="00000000" w:rsidRPr="00C421F7" w:rsidP="00C421F7">
            <w:pPr>
              <w:pStyle w:val="ListBullet2"/>
            </w:pPr>
            <w:r w:rsidRPr="00C421F7">
              <w:t>disconnection of isolated equipment from fixed wiring with minimal damage to wiring system after ensuring no visible faults or damage, and the recording of conductor connection sequence</w:t>
            </w:r>
          </w:p>
          <w:p w:rsidR="00000000" w:rsidRPr="00C421F7" w:rsidP="00C421F7">
            <w:pPr>
              <w:pStyle w:val="ListBullet"/>
            </w:pPr>
            <w:r w:rsidRPr="00C421F7">
              <w:t>reconnecting electrical equipment</w:t>
            </w:r>
            <w:r w:rsidRPr="00C421F7">
              <w:t xml:space="preserve"> - LV, including:</w:t>
            </w:r>
          </w:p>
          <w:p w:rsidR="00000000" w:rsidRPr="00C421F7" w:rsidP="00C421F7">
            <w:pPr>
              <w:pStyle w:val="ListBullet2"/>
            </w:pPr>
            <w:r w:rsidRPr="00C421F7">
              <w:t>importance of checking the new electrical equipment nameplate details against those of the electrical equipment being replaced</w:t>
            </w:r>
          </w:p>
          <w:p w:rsidR="00000000" w:rsidRPr="00C421F7" w:rsidP="00C421F7">
            <w:pPr>
              <w:pStyle w:val="ListBullet2"/>
            </w:pPr>
            <w:r w:rsidRPr="00C421F7">
              <w:t>need to visually inspect and test the equipment</w:t>
            </w:r>
            <w:r>
              <w:t>’</w:t>
            </w:r>
            <w:r w:rsidRPr="00C421F7">
              <w:t xml:space="preserve">s electrical characteristics using suitable test equipment to </w:t>
            </w:r>
            <w:r w:rsidRPr="00C421F7">
              <w:t xml:space="preserve">ensure equipment is safe to connect in regard to sufficiently high insulation resistance, arrangements for protection against indirect contact are undamaged and in place, appropriate IP rating, and arrangements for protection against dangers of mechanical </w:t>
            </w:r>
            <w:r w:rsidRPr="00C421F7">
              <w:t>movement are undamaged and in place</w:t>
            </w:r>
          </w:p>
          <w:p w:rsidR="00000000" w:rsidRPr="00C421F7" w:rsidP="00C421F7">
            <w:pPr>
              <w:pStyle w:val="ListBullet2"/>
            </w:pPr>
            <w:r w:rsidRPr="00C421F7">
              <w:t>procedures for equipment with unsatisfactory results - unsuitability for reconnection</w:t>
            </w:r>
          </w:p>
          <w:p w:rsidR="00000000" w:rsidRPr="00C421F7" w:rsidP="00C421F7">
            <w:pPr>
              <w:pStyle w:val="ListBullet2"/>
            </w:pPr>
            <w:r w:rsidRPr="00C421F7">
              <w:t>identification of the type and arrangement of circuits supplying equipment that is to be reconnected to a single phase and/or multi-ph</w:t>
            </w:r>
            <w:r w:rsidRPr="00C421F7">
              <w:t>ase supply of voltages up to 1,000 V a.c. or 1,500 V d.c.</w:t>
            </w:r>
          </w:p>
          <w:p w:rsidR="00000000" w:rsidRPr="00C421F7" w:rsidP="00C421F7">
            <w:pPr>
              <w:pStyle w:val="ListBullet2"/>
            </w:pPr>
            <w:r w:rsidRPr="00C421F7">
              <w:t>procedures ensuring isolation of supply</w:t>
            </w:r>
          </w:p>
          <w:p w:rsidR="00000000" w:rsidRPr="00C421F7" w:rsidP="00C421F7">
            <w:pPr>
              <w:pStyle w:val="ListBullet2"/>
            </w:pPr>
            <w:r w:rsidRPr="00C421F7">
              <w:t>engaging appropriately qualified person to rectify any non-compliance</w:t>
            </w:r>
          </w:p>
          <w:p w:rsidR="00000000" w:rsidRPr="00C421F7" w:rsidP="00C421F7">
            <w:pPr>
              <w:pStyle w:val="ListBullet"/>
            </w:pPr>
            <w:r w:rsidRPr="00C421F7">
              <w:t>produce documentation and reports in accordance with workplace, industry and regulatory</w:t>
            </w:r>
            <w:r w:rsidRPr="00C421F7">
              <w:t xml:space="preserve"> requirements, including:</w:t>
            </w:r>
          </w:p>
          <w:p w:rsidR="00000000" w:rsidRPr="00C421F7" w:rsidP="00C421F7">
            <w:pPr>
              <w:pStyle w:val="ListBullet2"/>
            </w:pPr>
            <w:r w:rsidRPr="00C421F7">
              <w:t>need to produce status reports and documents to locate and identify isolation mechanisms for a wide range of circuits and associated loads</w:t>
            </w:r>
          </w:p>
          <w:p w:rsidR="00000000" w:rsidRPr="00C421F7" w:rsidP="00C421F7">
            <w:pPr>
              <w:pStyle w:val="ListBullet2"/>
            </w:pPr>
            <w:r w:rsidRPr="00C421F7">
              <w:t>production of reports and documents to use a suitable procedure to safely disconnect a component from a single-phase supply and/or multi-phase supply</w:t>
            </w:r>
          </w:p>
          <w:p w:rsidR="00000000" w:rsidRPr="00C421F7" w:rsidP="00C421F7">
            <w:pPr>
              <w:pStyle w:val="ListBullet2"/>
            </w:pPr>
            <w:r w:rsidRPr="00C421F7">
              <w:t>content required in reports and documents used to safely determine the suitability of a component for reco</w:t>
            </w:r>
            <w:r w:rsidRPr="00C421F7">
              <w:t>nnection to supply</w:t>
            </w:r>
          </w:p>
          <w:p w:rsidR="00000000" w:rsidRPr="00C421F7" w:rsidP="00C421F7">
            <w:pPr>
              <w:pStyle w:val="ListBullet2"/>
            </w:pPr>
            <w:r w:rsidRPr="00C421F7">
              <w:t>production of reports and documents for the safe reconnection/commissioning of a component to the supply.</w:t>
            </w:r>
          </w:p>
          <w:p w:rsidR="00000000" w:rsidRPr="00C421F7" w:rsidP="00C421F7">
            <w:pPr>
              <w:pStyle w:val="ListBullet2"/>
            </w:pPr>
            <w:r w:rsidRPr="00C421F7">
              <w:t>need to comply with regulatory compliance documentation requirements.</w:t>
            </w:r>
          </w:p>
        </w:tc>
      </w:tr>
    </w:tbl>
    <w:p w:rsidR="00000000" w:rsidRPr="00C421F7" w:rsidP="00C421F7">
      <w:pPr>
        <w:pStyle w:val="NoPaddingFontSize1"/>
      </w:pPr>
    </w:p>
    <w:p w:rsidR="00000000" w:rsidRPr="00C421F7" w:rsidP="00C421F7">
      <w:pPr>
        <w:pStyle w:val="AllowPageBreak"/>
      </w:pPr>
    </w:p>
    <w:p w:rsidR="00000000" w:rsidRPr="00C421F7" w:rsidP="00C421F7">
      <w:pPr>
        <w:pStyle w:val="Heading1"/>
      </w:pPr>
      <w:bookmarkStart w:id="4" w:name="O_1075751"/>
      <w:bookmarkEnd w:id="4"/>
      <w:r w:rsidRPr="00C421F7">
        <w:t>Assessment Conditions</w:t>
      </w:r>
    </w:p>
    <w:tbl>
      <w:tblPr>
        <w:tblW w:w="9497" w:type="dxa"/>
        <w:tblLayout w:type="fixed"/>
        <w:tblCellMar>
          <w:left w:w="62" w:type="dxa"/>
          <w:right w:w="62" w:type="dxa"/>
        </w:tblCellMar>
        <w:tblLook w:val="0000"/>
      </w:tblPr>
      <w:tblGrid>
        <w:gridCol w:w="9497"/>
      </w:tblGrid>
      <w:tr w:rsidTr="00C421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1F7" w:rsidP="00C421F7">
            <w:pPr>
              <w:pStyle w:val="BodyText"/>
            </w:pPr>
            <w:r w:rsidRPr="00C421F7">
              <w:t>Assessors must hol</w:t>
            </w:r>
            <w:r w:rsidRPr="00C421F7">
              <w:t>d credentials specified within the Standards for Registered Training Organisations current at the time of assessment.</w:t>
            </w:r>
          </w:p>
          <w:p w:rsidR="00000000" w:rsidRPr="00C421F7" w:rsidP="00C421F7">
            <w:pPr>
              <w:pStyle w:val="BodyText"/>
            </w:pPr>
            <w:r w:rsidRPr="00C421F7">
              <w:t>Assessment must satisfy the Principles of Assessment and Rules of Evidence and all regulatory requirements included within the Standards f</w:t>
            </w:r>
            <w:r w:rsidRPr="00C421F7">
              <w:t>or Registered Training Organisations current at the time of assessment.</w:t>
            </w:r>
          </w:p>
          <w:p w:rsidR="00000000" w:rsidRPr="00C421F7" w:rsidP="00C421F7">
            <w:pPr>
              <w:pStyle w:val="BodyText"/>
            </w:pPr>
            <w:r w:rsidRPr="00C421F7">
              <w:t>Assessment must occur in suitable workplace operational situations where it is appropriate to do so; where this is not appropriate, including where not permissible under regulatory and</w:t>
            </w:r>
            <w:r w:rsidRPr="00C421F7">
              <w:t xml:space="preserve"> licencing requirements, assessment must occur in suitable simulated workplace operational situations that replicate workplace conditions.</w:t>
            </w:r>
          </w:p>
          <w:p w:rsidR="00000000" w:rsidRPr="00C421F7" w:rsidP="00C421F7">
            <w:pPr>
              <w:pStyle w:val="BodyText"/>
            </w:pPr>
            <w:r w:rsidRPr="00C421F7">
              <w:t>Assessment processes and techniques must be appropriate to the language, literacy and numeracy requirements of the wo</w:t>
            </w:r>
            <w:r w:rsidRPr="00C421F7">
              <w:t>rk being performed and the needs of the candidate.</w:t>
            </w:r>
          </w:p>
          <w:p w:rsidR="00000000" w:rsidRPr="00C421F7" w:rsidP="00C421F7">
            <w:pPr>
              <w:pStyle w:val="BodyText"/>
            </w:pPr>
            <w:r w:rsidRPr="00C421F7">
              <w:t>Resources for assessment must include access to:</w:t>
            </w:r>
          </w:p>
          <w:p w:rsidR="00000000" w:rsidRPr="00C421F7" w:rsidP="00C421F7">
            <w:pPr>
              <w:pStyle w:val="ListBullet"/>
            </w:pPr>
            <w:r w:rsidRPr="00C421F7">
              <w:t>a range of relevant exercises, case studies and/or other simulations</w:t>
            </w:r>
          </w:p>
          <w:p w:rsidR="00000000" w:rsidRPr="00C421F7" w:rsidP="00C421F7">
            <w:pPr>
              <w:pStyle w:val="ListBullet"/>
            </w:pPr>
            <w:r w:rsidRPr="00C421F7">
              <w:t xml:space="preserve">relevant and appropriate materials, tools, facilities, equipment and personal protective equipment (PPE) currently used in industry </w:t>
            </w:r>
          </w:p>
          <w:p w:rsidR="00000000" w:rsidRPr="00C421F7" w:rsidP="00C421F7">
            <w:pPr>
              <w:pStyle w:val="ListBullet"/>
            </w:pPr>
            <w:r w:rsidRPr="00C421F7">
              <w:t>resources used should reflect current industry practices in relation to disconnecting and reconnecting electrical equipment</w:t>
            </w:r>
            <w:r w:rsidRPr="00C421F7">
              <w:t xml:space="preserve"> connected to a LV supply</w:t>
            </w:r>
          </w:p>
          <w:p w:rsidR="00000000" w:rsidRPr="00C421F7" w:rsidP="00C421F7">
            <w:pPr>
              <w:pStyle w:val="ListBullet"/>
            </w:pPr>
            <w:r w:rsidRPr="00C421F7">
              <w:t>applicable documentation, including workplace procedures, equipment specifications, regulations, standards, codes of practice and operation manuals.</w:t>
            </w:r>
          </w:p>
        </w:tc>
      </w:tr>
    </w:tbl>
    <w:p w:rsidR="00000000" w:rsidRPr="00C421F7" w:rsidP="00C421F7">
      <w:pPr>
        <w:pStyle w:val="NoPaddingFontSize1"/>
      </w:pPr>
    </w:p>
    <w:p w:rsidR="00000000" w:rsidRPr="00C421F7" w:rsidP="00C421F7">
      <w:pPr>
        <w:pStyle w:val="AllowPageBreak"/>
      </w:pPr>
    </w:p>
    <w:p w:rsidR="00000000" w:rsidRPr="00C421F7" w:rsidP="00C421F7">
      <w:pPr>
        <w:pStyle w:val="Heading1"/>
      </w:pPr>
      <w:bookmarkStart w:id="5" w:name="O_1075761"/>
      <w:bookmarkEnd w:id="5"/>
      <w:r w:rsidRPr="00C421F7">
        <w:t>Links</w:t>
      </w:r>
    </w:p>
    <w:p w:rsidR="00000000" w:rsidRPr="00C421F7" w:rsidP="00C96ED8">
      <w:pPr>
        <w:pStyle w:val="BodyText"/>
      </w:pPr>
      <w:r w:rsidRPr="00C421F7">
        <w:t>Companion Volume implementation guides are found in VE</w:t>
      </w:r>
      <w:r w:rsidRPr="00C421F7">
        <w:t xml:space="preserve">TNet - - </w:t>
      </w:r>
      <w:r>
        <w:fldChar w:fldCharType="begin"/>
      </w:r>
      <w:r>
        <w:instrText xml:space="preserve"> HYPERLINK "https://vetnet.gov.au/Pages/TrainingDocs.aspx?q=b8a8f136-5421-4ce1-92e0-2b50341431b6" </w:instrText>
      </w:r>
      <w:r>
        <w:fldChar w:fldCharType="separate"/>
      </w:r>
      <w:r w:rsidRPr="00A03C29">
        <w:rPr>
          <w:rStyle w:val="Hyperlink"/>
        </w:rPr>
        <w:t>https://vetnet.gov.au/Pages/TrainingDocs.aspx?q=b8a8f136-5421-4ce1-92e0-2b50341431b6</w:t>
      </w:r>
      <w:r>
        <w:fldChar w:fldCharType="end"/>
      </w:r>
    </w:p>
    <w:p w:rsidR="00000000" w:rsidRPr="00C421F7" w:rsidP="00C421F7"/>
    <w:sectPr w:rsidSect="00C421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7" w:rsidRPr="00C96ED8" w:rsidP="00C96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D8" w:rsidP="00C42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6ED8" w:rsidP="00C421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6ED8" w:rsidP="00C42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1F7" w:rsidRPr="00C96ED8" w:rsidP="00C96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D8" w:rsidRPr="002D2AF8" w:rsidP="00C421F7">
    <w:pPr>
      <w:pStyle w:val="Header"/>
      <w:framePr w:wrap="around"/>
    </w:pPr>
    <w:r>
      <w:fldChar w:fldCharType="begin"/>
    </w:r>
    <w:r>
      <w:instrText xml:space="preserve"> TITLE   \* MERGEFORMAT </w:instrText>
    </w:r>
    <w:r>
      <w:fldChar w:fldCharType="separate"/>
    </w:r>
    <w:r>
      <w:t>Assessment Requirements for UEERL0004 Disconnect - reconnect electrical equipment connected to low voltage (LV)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96ED8" w:rsidP="00C42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68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20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A49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1F7"/>
    <w:pPr>
      <w:spacing w:before="360" w:after="60"/>
      <w:outlineLvl w:val="0"/>
    </w:pPr>
    <w:rPr>
      <w:sz w:val="32"/>
    </w:rPr>
  </w:style>
  <w:style w:type="paragraph" w:styleId="Heading2">
    <w:name w:val="heading 2"/>
    <w:basedOn w:val="HeadingBase"/>
    <w:next w:val="BodyText"/>
    <w:link w:val="Heading2Char"/>
    <w:qFormat/>
    <w:rsid w:val="00C421F7"/>
    <w:pPr>
      <w:keepLines/>
      <w:spacing w:before="240" w:after="120"/>
      <w:outlineLvl w:val="1"/>
    </w:pPr>
    <w:rPr>
      <w:sz w:val="28"/>
      <w:szCs w:val="40"/>
    </w:rPr>
  </w:style>
  <w:style w:type="paragraph" w:styleId="Heading3">
    <w:name w:val="heading 3"/>
    <w:basedOn w:val="HeadingBase"/>
    <w:next w:val="BodyText"/>
    <w:link w:val="Heading3Char"/>
    <w:qFormat/>
    <w:rsid w:val="00C421F7"/>
    <w:pPr>
      <w:spacing w:before="180" w:after="120"/>
      <w:outlineLvl w:val="2"/>
    </w:pPr>
    <w:rPr>
      <w:spacing w:val="-10"/>
      <w:kern w:val="32"/>
    </w:rPr>
  </w:style>
  <w:style w:type="paragraph" w:styleId="Heading4">
    <w:name w:val="heading 4"/>
    <w:basedOn w:val="HeadingBase"/>
    <w:next w:val="BodyText"/>
    <w:link w:val="Heading4Char"/>
    <w:qFormat/>
    <w:rsid w:val="00C421F7"/>
    <w:pPr>
      <w:spacing w:before="160" w:after="120"/>
      <w:outlineLvl w:val="3"/>
    </w:pPr>
    <w:rPr>
      <w:sz w:val="22"/>
    </w:rPr>
  </w:style>
  <w:style w:type="paragraph" w:styleId="Heading5">
    <w:name w:val="heading 5"/>
    <w:basedOn w:val="HeadingBase"/>
    <w:next w:val="Normal"/>
    <w:link w:val="Heading5Char"/>
    <w:qFormat/>
    <w:rsid w:val="00C421F7"/>
    <w:pPr>
      <w:spacing w:before="80"/>
      <w:outlineLvl w:val="4"/>
    </w:pPr>
    <w:rPr>
      <w:color w:val="918585"/>
      <w:sz w:val="20"/>
    </w:rPr>
  </w:style>
  <w:style w:type="paragraph" w:styleId="Heading6">
    <w:name w:val="heading 6"/>
    <w:basedOn w:val="HeadingBase"/>
    <w:next w:val="Normal"/>
    <w:link w:val="Heading6Char"/>
    <w:qFormat/>
    <w:rsid w:val="00C421F7"/>
    <w:pPr>
      <w:spacing w:before="60"/>
      <w:outlineLvl w:val="5"/>
    </w:pPr>
    <w:rPr>
      <w:color w:val="918585"/>
      <w:sz w:val="20"/>
    </w:rPr>
  </w:style>
  <w:style w:type="paragraph" w:styleId="Heading7">
    <w:name w:val="heading 7"/>
    <w:basedOn w:val="Normal"/>
    <w:next w:val="Normal"/>
    <w:link w:val="Heading7Char"/>
    <w:qFormat/>
    <w:rsid w:val="00C421F7"/>
    <w:pPr>
      <w:ind w:left="720"/>
      <w:outlineLvl w:val="6"/>
    </w:pPr>
    <w:rPr>
      <w:i/>
    </w:rPr>
  </w:style>
  <w:style w:type="paragraph" w:styleId="Heading8">
    <w:name w:val="heading 8"/>
    <w:basedOn w:val="Normal"/>
    <w:next w:val="Normal"/>
    <w:link w:val="Heading8Char"/>
    <w:qFormat/>
    <w:rsid w:val="00C421F7"/>
    <w:pPr>
      <w:ind w:left="720"/>
      <w:outlineLvl w:val="7"/>
    </w:pPr>
    <w:rPr>
      <w:i/>
    </w:rPr>
  </w:style>
  <w:style w:type="paragraph" w:styleId="Heading9">
    <w:name w:val="heading 9"/>
    <w:basedOn w:val="Normal"/>
    <w:next w:val="Normal"/>
    <w:link w:val="Heading9Char"/>
    <w:qFormat/>
    <w:rsid w:val="00C421F7"/>
    <w:pPr>
      <w:ind w:left="720"/>
      <w:outlineLvl w:val="8"/>
    </w:pPr>
    <w:rPr>
      <w:i/>
    </w:rPr>
  </w:style>
  <w:style w:type="character" w:default="1" w:styleId="DefaultParagraphFont">
    <w:name w:val="Default Paragraph Font"/>
    <w:uiPriority w:val="1"/>
    <w:unhideWhenUsed/>
    <w:rsid w:val="00C42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1F7"/>
  </w:style>
  <w:style w:type="character" w:customStyle="1" w:styleId="Heading1Char">
    <w:name w:val="Heading 1 Char"/>
    <w:basedOn w:val="DefaultParagraphFont"/>
    <w:link w:val="Heading1"/>
    <w:rsid w:val="00C421F7"/>
    <w:rPr>
      <w:rFonts w:ascii="Times New Roman" w:eastAsia="Times New Roman" w:hAnsi="Times New Roman" w:cs="Times New Roman"/>
      <w:b/>
      <w:sz w:val="32"/>
      <w:szCs w:val="20"/>
      <w:lang w:eastAsia="en-US"/>
    </w:rPr>
  </w:style>
  <w:style w:type="paragraph" w:styleId="BodyText">
    <w:name w:val="Body Text"/>
    <w:basedOn w:val="Normal"/>
    <w:link w:val="BodyTextChar"/>
    <w:rsid w:val="00C42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1F7"/>
    <w:rPr>
      <w:rFonts w:ascii="Times New Roman" w:eastAsia="Times New Roman" w:hAnsi="Times New Roman" w:cs="Times New Roman"/>
      <w:sz w:val="24"/>
      <w:lang w:eastAsia="en-US"/>
    </w:rPr>
  </w:style>
  <w:style w:type="paragraph" w:styleId="ListBullet">
    <w:name w:val="List Bullet"/>
    <w:basedOn w:val="List"/>
    <w:rsid w:val="00C421F7"/>
    <w:pPr>
      <w:numPr>
        <w:numId w:val="13"/>
      </w:numPr>
      <w:tabs>
        <w:tab w:val="clear" w:pos="340"/>
      </w:tabs>
      <w:spacing w:before="40" w:after="40"/>
    </w:pPr>
  </w:style>
  <w:style w:type="paragraph" w:styleId="ListBullet2">
    <w:name w:val="List Bullet 2"/>
    <w:basedOn w:val="List2"/>
    <w:rsid w:val="00C421F7"/>
    <w:pPr>
      <w:numPr>
        <w:numId w:val="14"/>
      </w:numPr>
      <w:tabs>
        <w:tab w:val="clear" w:pos="680"/>
      </w:tabs>
    </w:pPr>
  </w:style>
  <w:style w:type="paragraph" w:customStyle="1" w:styleId="SuperHeading">
    <w:name w:val="SuperHeading"/>
    <w:basedOn w:val="Normal"/>
    <w:rsid w:val="00C421F7"/>
    <w:pPr>
      <w:spacing w:before="240" w:after="120"/>
      <w:outlineLvl w:val="0"/>
    </w:pPr>
    <w:rPr>
      <w:rFonts w:ascii="Times New Roman" w:hAnsi="Times New Roman"/>
      <w:b/>
      <w:sz w:val="32"/>
    </w:rPr>
  </w:style>
  <w:style w:type="paragraph" w:customStyle="1" w:styleId="AllowPageBreak">
    <w:name w:val="AllowPageBreak"/>
    <w:rsid w:val="00C421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21F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2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1F7"/>
    <w:rPr>
      <w:rFonts w:ascii="Courier New" w:eastAsia="Times New Roman" w:hAnsi="Courier New" w:cs="Times New Roman"/>
      <w:i/>
      <w:szCs w:val="20"/>
      <w:lang w:eastAsia="en-US"/>
    </w:rPr>
  </w:style>
  <w:style w:type="paragraph" w:customStyle="1" w:styleId="HeadingBase">
    <w:name w:val="Heading Base"/>
    <w:rsid w:val="00C42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1F7"/>
    <w:pPr>
      <w:tabs>
        <w:tab w:val="right" w:leader="dot" w:pos="9072"/>
      </w:tabs>
      <w:ind w:left="567"/>
    </w:pPr>
    <w:rPr>
      <w:szCs w:val="22"/>
    </w:rPr>
  </w:style>
  <w:style w:type="paragraph" w:customStyle="1" w:styleId="TOCBase">
    <w:name w:val="TOC Base"/>
    <w:rsid w:val="00C42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1F7"/>
    <w:pPr>
      <w:tabs>
        <w:tab w:val="right" w:leader="dot" w:pos="9072"/>
      </w:tabs>
      <w:spacing w:before="40" w:after="40"/>
      <w:ind w:left="284"/>
    </w:pPr>
    <w:rPr>
      <w:rFonts w:ascii="Times New Roman" w:hAnsi="Times New Roman"/>
    </w:rPr>
  </w:style>
  <w:style w:type="paragraph" w:styleId="TOC1">
    <w:name w:val="toc 1"/>
    <w:basedOn w:val="TOCBase"/>
    <w:next w:val="Normal"/>
    <w:rsid w:val="00C42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1F7"/>
    <w:rPr>
      <w:rFonts w:ascii="Times New Roman" w:eastAsia="Times New Roman" w:hAnsi="Times New Roman" w:cs="Times New Roman"/>
      <w:sz w:val="16"/>
      <w:lang w:eastAsia="en-US"/>
    </w:rPr>
  </w:style>
  <w:style w:type="paragraph" w:styleId="Title">
    <w:name w:val="Title"/>
    <w:basedOn w:val="HeadingBase"/>
    <w:link w:val="TitleChar"/>
    <w:qFormat/>
    <w:rsid w:val="00C421F7"/>
    <w:pPr>
      <w:spacing w:before="5040"/>
      <w:jc w:val="center"/>
    </w:pPr>
    <w:rPr>
      <w:sz w:val="48"/>
      <w:szCs w:val="72"/>
      <w:lang w:val="en-US"/>
    </w:rPr>
  </w:style>
  <w:style w:type="character" w:customStyle="1" w:styleId="TitleChar">
    <w:name w:val="Title Char"/>
    <w:basedOn w:val="DefaultParagraphFont"/>
    <w:link w:val="Title"/>
    <w:rsid w:val="00C42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1F7"/>
    <w:pPr>
      <w:tabs>
        <w:tab w:val="left" w:pos="3600"/>
        <w:tab w:val="left" w:pos="3958"/>
      </w:tabs>
    </w:pPr>
  </w:style>
  <w:style w:type="paragraph" w:styleId="List">
    <w:name w:val="List"/>
    <w:basedOn w:val="BodyText"/>
    <w:next w:val="BodyText"/>
    <w:rsid w:val="00C421F7"/>
    <w:pPr>
      <w:tabs>
        <w:tab w:val="left" w:pos="340"/>
      </w:tabs>
      <w:spacing w:before="60" w:after="60"/>
      <w:ind w:left="340" w:hanging="340"/>
    </w:pPr>
  </w:style>
  <w:style w:type="paragraph" w:customStyle="1" w:styleId="Note">
    <w:name w:val="Note"/>
    <w:basedOn w:val="BodyText"/>
    <w:rsid w:val="00C421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21F7"/>
    <w:rPr>
      <w:b/>
      <w:spacing w:val="0"/>
    </w:rPr>
  </w:style>
  <w:style w:type="paragraph" w:customStyle="1" w:styleId="SuperTitle">
    <w:name w:val="SuperTitle"/>
    <w:basedOn w:val="Title"/>
    <w:rsid w:val="00C421F7"/>
    <w:pPr>
      <w:framePr w:wrap="auto" w:hAnchor="text" w:y="6049"/>
    </w:pPr>
    <w:rPr>
      <w:color w:val="000000"/>
      <w:sz w:val="40"/>
    </w:rPr>
  </w:style>
  <w:style w:type="paragraph" w:customStyle="1" w:styleId="TOCTitle">
    <w:name w:val="TOCTitle"/>
    <w:basedOn w:val="Heading1"/>
    <w:rsid w:val="00C421F7"/>
    <w:pPr>
      <w:spacing w:after="240"/>
      <w:jc w:val="center"/>
      <w:outlineLvl w:val="9"/>
    </w:pPr>
    <w:rPr>
      <w:caps/>
    </w:rPr>
  </w:style>
  <w:style w:type="paragraph" w:customStyle="1" w:styleId="Version">
    <w:name w:val="Version"/>
    <w:rsid w:val="00C421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1F7"/>
    <w:pPr>
      <w:keepNext w:val="0"/>
      <w:tabs>
        <w:tab w:val="right" w:pos="4176"/>
      </w:tabs>
      <w:ind w:left="198" w:hanging="198"/>
    </w:pPr>
    <w:rPr>
      <w:rFonts w:ascii="Garamond" w:hAnsi="Garamond"/>
    </w:rPr>
  </w:style>
  <w:style w:type="paragraph" w:styleId="IndexHeading">
    <w:name w:val="index heading"/>
    <w:basedOn w:val="Normal"/>
    <w:next w:val="Index1"/>
    <w:semiHidden/>
    <w:rsid w:val="00C421F7"/>
    <w:pPr>
      <w:spacing w:before="120" w:after="120"/>
    </w:pPr>
    <w:rPr>
      <w:rFonts w:ascii="Arial" w:hAnsi="Arial"/>
      <w:b/>
      <w:color w:val="918585"/>
      <w:sz w:val="24"/>
    </w:rPr>
  </w:style>
  <w:style w:type="paragraph" w:styleId="Header">
    <w:name w:val="header"/>
    <w:basedOn w:val="Normal"/>
    <w:link w:val="HeaderChar"/>
    <w:rsid w:val="00C42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1F7"/>
    <w:rPr>
      <w:rFonts w:ascii="Times New Roman" w:eastAsia="Times New Roman" w:hAnsi="Times New Roman" w:cs="Times New Roman"/>
      <w:sz w:val="16"/>
      <w:szCs w:val="20"/>
      <w:lang w:val="en-GB" w:eastAsia="en-US"/>
    </w:rPr>
  </w:style>
  <w:style w:type="paragraph" w:customStyle="1" w:styleId="Chapter">
    <w:name w:val="Chapter"/>
    <w:basedOn w:val="Normal"/>
    <w:rsid w:val="00C421F7"/>
    <w:pPr>
      <w:spacing w:before="240"/>
    </w:pPr>
    <w:rPr>
      <w:rFonts w:ascii="Times New Roman" w:hAnsi="Times New Roman"/>
      <w:smallCaps/>
      <w:spacing w:val="80"/>
      <w:sz w:val="28"/>
    </w:rPr>
  </w:style>
  <w:style w:type="paragraph" w:customStyle="1" w:styleId="InChapter">
    <w:name w:val="InChapter"/>
    <w:basedOn w:val="Heading3"/>
    <w:rsid w:val="00C421F7"/>
    <w:pPr>
      <w:spacing w:after="240"/>
      <w:outlineLvl w:val="9"/>
    </w:pPr>
    <w:rPr>
      <w:noProof/>
    </w:rPr>
  </w:style>
  <w:style w:type="paragraph" w:styleId="Index2">
    <w:name w:val="index 2"/>
    <w:basedOn w:val="Normal"/>
    <w:next w:val="Normal"/>
    <w:semiHidden/>
    <w:rsid w:val="00C421F7"/>
    <w:pPr>
      <w:tabs>
        <w:tab w:val="right" w:pos="4176"/>
      </w:tabs>
      <w:ind w:left="568" w:hanging="284"/>
    </w:pPr>
    <w:rPr>
      <w:rFonts w:ascii="Garamond" w:hAnsi="Garamond"/>
    </w:rPr>
  </w:style>
  <w:style w:type="paragraph" w:customStyle="1" w:styleId="Byline">
    <w:name w:val="Byline"/>
    <w:rsid w:val="00C42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1F7"/>
    <w:pPr>
      <w:tabs>
        <w:tab w:val="clear" w:pos="3600"/>
        <w:tab w:val="clear" w:pos="3958"/>
      </w:tabs>
      <w:jc w:val="right"/>
    </w:pPr>
  </w:style>
  <w:style w:type="character" w:styleId="Emphasis">
    <w:name w:val="Emphasis"/>
    <w:basedOn w:val="DefaultParagraphFont"/>
    <w:qFormat/>
    <w:rsid w:val="00C421F7"/>
    <w:rPr>
      <w:i/>
    </w:rPr>
  </w:style>
  <w:style w:type="paragraph" w:styleId="Caption">
    <w:name w:val="caption"/>
    <w:basedOn w:val="BodyText"/>
    <w:next w:val="Normal"/>
    <w:qFormat/>
    <w:rsid w:val="00C421F7"/>
    <w:pPr>
      <w:framePr w:w="2268" w:hSpace="181" w:vSpace="181" w:wrap="around" w:vAnchor="text" w:hAnchor="page" w:x="1135" w:y="285" w:anchorLock="1"/>
    </w:pPr>
    <w:rPr>
      <w:i/>
    </w:rPr>
  </w:style>
  <w:style w:type="paragraph" w:customStyle="1" w:styleId="MiniTOCTitle">
    <w:name w:val="MiniTOCTitle"/>
    <w:basedOn w:val="Heading4"/>
    <w:rsid w:val="00C421F7"/>
    <w:pPr>
      <w:spacing w:before="240"/>
      <w:outlineLvl w:val="9"/>
    </w:pPr>
    <w:rPr>
      <w:noProof/>
      <w:sz w:val="24"/>
    </w:rPr>
  </w:style>
  <w:style w:type="paragraph" w:customStyle="1" w:styleId="MiniTOCItem">
    <w:name w:val="MiniTOCItem"/>
    <w:basedOn w:val="ListBullet"/>
    <w:rsid w:val="00C421F7"/>
    <w:pPr>
      <w:numPr>
        <w:numId w:val="0"/>
      </w:numPr>
      <w:tabs>
        <w:tab w:val="right" w:leader="dot" w:pos="6521"/>
      </w:tabs>
      <w:spacing w:before="0" w:after="0"/>
    </w:pPr>
  </w:style>
  <w:style w:type="paragraph" w:customStyle="1" w:styleId="TOFTitle">
    <w:name w:val="TOFTitle"/>
    <w:basedOn w:val="TOCTitle"/>
    <w:rsid w:val="00C421F7"/>
  </w:style>
  <w:style w:type="paragraph" w:styleId="TableofFigures">
    <w:name w:val="table of figures"/>
    <w:basedOn w:val="Normal"/>
    <w:next w:val="Normal"/>
    <w:semiHidden/>
    <w:rsid w:val="00C421F7"/>
    <w:pPr>
      <w:tabs>
        <w:tab w:val="right" w:leader="dot" w:pos="9072"/>
      </w:tabs>
      <w:ind w:left="970" w:hanging="403"/>
    </w:pPr>
    <w:rPr>
      <w:rFonts w:ascii="Times New Roman" w:hAnsi="Times New Roman"/>
      <w:b/>
    </w:rPr>
  </w:style>
  <w:style w:type="paragraph" w:styleId="ListNumber">
    <w:name w:val="List Number"/>
    <w:basedOn w:val="List"/>
    <w:rsid w:val="00C421F7"/>
    <w:pPr>
      <w:numPr>
        <w:numId w:val="16"/>
      </w:numPr>
      <w:tabs>
        <w:tab w:val="clear" w:pos="340"/>
      </w:tabs>
    </w:pPr>
  </w:style>
  <w:style w:type="character" w:customStyle="1" w:styleId="WingdingSymbols">
    <w:name w:val="Wingding Symbols"/>
    <w:rsid w:val="00C421F7"/>
    <w:rPr>
      <w:rFonts w:ascii="Wingdings" w:hAnsi="Wingdings"/>
    </w:rPr>
  </w:style>
  <w:style w:type="paragraph" w:customStyle="1" w:styleId="TableHeading">
    <w:name w:val="Table Heading"/>
    <w:basedOn w:val="HeadingBase"/>
    <w:rsid w:val="00C421F7"/>
    <w:pPr>
      <w:keepLines/>
      <w:pBdr>
        <w:bottom w:val="single" w:sz="6" w:space="1" w:color="918585"/>
      </w:pBdr>
      <w:spacing w:before="240"/>
    </w:pPr>
  </w:style>
  <w:style w:type="character" w:customStyle="1" w:styleId="HotSpot">
    <w:name w:val="HotSpot"/>
    <w:rsid w:val="00C421F7"/>
    <w:rPr>
      <w:color w:val="0033CC"/>
      <w:u w:val="none"/>
    </w:rPr>
  </w:style>
  <w:style w:type="paragraph" w:customStyle="1" w:styleId="BodyTextRight">
    <w:name w:val="Body Text Right"/>
    <w:basedOn w:val="BodyText"/>
    <w:rsid w:val="00C421F7"/>
    <w:pPr>
      <w:spacing w:before="0" w:after="0"/>
      <w:jc w:val="right"/>
    </w:pPr>
  </w:style>
  <w:style w:type="paragraph" w:styleId="Index3">
    <w:name w:val="index 3"/>
    <w:basedOn w:val="ListNumber2"/>
    <w:next w:val="Normal"/>
    <w:semiHidden/>
    <w:rsid w:val="00C421F7"/>
    <w:pPr>
      <w:numPr>
        <w:numId w:val="0"/>
      </w:numPr>
      <w:tabs>
        <w:tab w:val="right" w:leader="dot" w:pos="4176"/>
      </w:tabs>
    </w:pPr>
  </w:style>
  <w:style w:type="paragraph" w:styleId="ListNumber2">
    <w:name w:val="List Number 2"/>
    <w:basedOn w:val="List2"/>
    <w:rsid w:val="00C421F7"/>
    <w:pPr>
      <w:numPr>
        <w:numId w:val="11"/>
      </w:numPr>
      <w:tabs>
        <w:tab w:val="clear" w:pos="1060"/>
      </w:tabs>
    </w:pPr>
  </w:style>
  <w:style w:type="paragraph" w:customStyle="1" w:styleId="MarginNote">
    <w:name w:val="Margin Note"/>
    <w:basedOn w:val="BodyText"/>
    <w:rsid w:val="00C42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1F7"/>
    <w:rPr>
      <w:sz w:val="32"/>
    </w:rPr>
  </w:style>
  <w:style w:type="paragraph" w:customStyle="1" w:styleId="HeadingProcedure">
    <w:name w:val="Heading Procedure"/>
    <w:basedOn w:val="HeadingBase"/>
    <w:next w:val="Normal"/>
    <w:rsid w:val="00C421F7"/>
    <w:pPr>
      <w:tabs>
        <w:tab w:val="left" w:pos="0"/>
      </w:tabs>
      <w:spacing w:before="120" w:after="60"/>
    </w:pPr>
    <w:rPr>
      <w:i/>
      <w:color w:val="918585"/>
      <w:sz w:val="22"/>
    </w:rPr>
  </w:style>
  <w:style w:type="paragraph" w:customStyle="1" w:styleId="TableBodyText">
    <w:name w:val="Table Body Text"/>
    <w:basedOn w:val="BodyText"/>
    <w:rsid w:val="00C421F7"/>
    <w:pPr>
      <w:spacing w:before="60" w:after="60"/>
    </w:pPr>
  </w:style>
  <w:style w:type="paragraph" w:styleId="ListContinue">
    <w:name w:val="List Continue"/>
    <w:basedOn w:val="List"/>
    <w:rsid w:val="00C421F7"/>
    <w:pPr>
      <w:ind w:firstLine="0"/>
    </w:pPr>
  </w:style>
  <w:style w:type="paragraph" w:customStyle="1" w:styleId="ListNote">
    <w:name w:val="List Note"/>
    <w:basedOn w:val="List"/>
    <w:rsid w:val="00C421F7"/>
    <w:pPr>
      <w:pBdr>
        <w:top w:val="single" w:sz="6" w:space="2" w:color="918585"/>
        <w:bottom w:val="single" w:sz="6" w:space="2" w:color="918585"/>
      </w:pBdr>
      <w:tabs>
        <w:tab w:val="left" w:pos="1021"/>
      </w:tabs>
      <w:ind w:firstLine="0"/>
    </w:pPr>
  </w:style>
  <w:style w:type="paragraph" w:customStyle="1" w:styleId="Warning">
    <w:name w:val="Warning"/>
    <w:basedOn w:val="BodyText"/>
    <w:rsid w:val="00C421F7"/>
    <w:pPr>
      <w:shd w:val="clear" w:color="auto" w:fill="D9D9D9"/>
      <w:tabs>
        <w:tab w:val="left" w:pos="992"/>
      </w:tabs>
      <w:ind w:left="119" w:right="119"/>
    </w:pPr>
    <w:rPr>
      <w:sz w:val="20"/>
    </w:rPr>
  </w:style>
  <w:style w:type="paragraph" w:customStyle="1" w:styleId="MarginIcons">
    <w:name w:val="Margin Icons"/>
    <w:basedOn w:val="BodyText"/>
    <w:rsid w:val="00C42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1F7"/>
    <w:rPr>
      <w:rFonts w:ascii="Courier New" w:hAnsi="Courier New"/>
    </w:rPr>
  </w:style>
  <w:style w:type="paragraph" w:customStyle="1" w:styleId="NoteBullet">
    <w:name w:val="Note Bullet"/>
    <w:basedOn w:val="Note"/>
    <w:rsid w:val="00C421F7"/>
    <w:pPr>
      <w:tabs>
        <w:tab w:val="clear" w:pos="680"/>
      </w:tabs>
      <w:spacing w:before="60" w:after="60"/>
    </w:pPr>
  </w:style>
  <w:style w:type="paragraph" w:customStyle="1" w:styleId="SubHeading2">
    <w:name w:val="SubHeading2"/>
    <w:basedOn w:val="HeadingBase"/>
    <w:rsid w:val="00C421F7"/>
    <w:pPr>
      <w:spacing w:before="240" w:after="60"/>
    </w:pPr>
    <w:rPr>
      <w:sz w:val="20"/>
    </w:rPr>
  </w:style>
  <w:style w:type="paragraph" w:customStyle="1" w:styleId="SubHeading1">
    <w:name w:val="SubHeading1"/>
    <w:basedOn w:val="HeadingBase"/>
    <w:rsid w:val="00C421F7"/>
    <w:pPr>
      <w:spacing w:before="240" w:after="60"/>
    </w:pPr>
    <w:rPr>
      <w:color w:val="918585"/>
      <w:sz w:val="22"/>
    </w:rPr>
  </w:style>
  <w:style w:type="paragraph" w:customStyle="1" w:styleId="SideHeading">
    <w:name w:val="Side Heading"/>
    <w:basedOn w:val="HeadingBase"/>
    <w:rsid w:val="00C42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1F7"/>
    <w:pPr>
      <w:numPr>
        <w:numId w:val="12"/>
      </w:numPr>
    </w:pPr>
  </w:style>
  <w:style w:type="paragraph" w:styleId="PlainText">
    <w:name w:val="Plain Text"/>
    <w:basedOn w:val="Normal"/>
    <w:link w:val="PlainTextChar"/>
    <w:rsid w:val="00C421F7"/>
    <w:rPr>
      <w:sz w:val="20"/>
    </w:rPr>
  </w:style>
  <w:style w:type="character" w:customStyle="1" w:styleId="PlainTextChar">
    <w:name w:val="Plain Text Char"/>
    <w:basedOn w:val="DefaultParagraphFont"/>
    <w:link w:val="PlainText"/>
    <w:rsid w:val="00C421F7"/>
    <w:rPr>
      <w:rFonts w:ascii="Courier New" w:eastAsia="Times New Roman" w:hAnsi="Courier New" w:cs="Times New Roman"/>
      <w:sz w:val="20"/>
      <w:szCs w:val="20"/>
      <w:lang w:eastAsia="en-US"/>
    </w:rPr>
  </w:style>
  <w:style w:type="character" w:customStyle="1" w:styleId="MenuOption">
    <w:name w:val="Menu Option"/>
    <w:basedOn w:val="DefaultParagraphFont"/>
    <w:rsid w:val="00C421F7"/>
    <w:rPr>
      <w:b/>
      <w:smallCaps/>
    </w:rPr>
  </w:style>
  <w:style w:type="paragraph" w:customStyle="1" w:styleId="TableListNumber">
    <w:name w:val="Table List Number"/>
    <w:basedOn w:val="ListNumber"/>
    <w:rsid w:val="00C421F7"/>
    <w:pPr>
      <w:numPr>
        <w:numId w:val="0"/>
      </w:numPr>
    </w:pPr>
  </w:style>
  <w:style w:type="paragraph" w:styleId="TOC4">
    <w:name w:val="toc 4"/>
    <w:basedOn w:val="TOCBase"/>
    <w:next w:val="Normal"/>
    <w:semiHidden/>
    <w:rsid w:val="00C421F7"/>
    <w:pPr>
      <w:tabs>
        <w:tab w:val="right" w:leader="dot" w:pos="9071"/>
      </w:tabs>
      <w:ind w:left="1701"/>
    </w:pPr>
  </w:style>
  <w:style w:type="paragraph" w:customStyle="1" w:styleId="ListAlpha">
    <w:name w:val="List Alpha"/>
    <w:basedOn w:val="List"/>
    <w:rsid w:val="00C421F7"/>
    <w:pPr>
      <w:numPr>
        <w:numId w:val="10"/>
      </w:numPr>
    </w:pPr>
  </w:style>
  <w:style w:type="paragraph" w:customStyle="1" w:styleId="ListAlpha2">
    <w:name w:val="List Alpha 2"/>
    <w:basedOn w:val="List2"/>
    <w:rsid w:val="00C421F7"/>
    <w:pPr>
      <w:numPr>
        <w:numId w:val="9"/>
      </w:numPr>
    </w:pPr>
  </w:style>
  <w:style w:type="paragraph" w:styleId="List2">
    <w:name w:val="List 2"/>
    <w:basedOn w:val="BodyText"/>
    <w:rsid w:val="00C421F7"/>
    <w:pPr>
      <w:tabs>
        <w:tab w:val="left" w:pos="680"/>
      </w:tabs>
      <w:spacing w:before="60" w:after="60"/>
      <w:ind w:left="680" w:hanging="340"/>
    </w:pPr>
  </w:style>
  <w:style w:type="paragraph" w:styleId="List3">
    <w:name w:val="List 3"/>
    <w:basedOn w:val="BodyText"/>
    <w:rsid w:val="00C421F7"/>
    <w:pPr>
      <w:tabs>
        <w:tab w:val="left" w:pos="1021"/>
      </w:tabs>
      <w:spacing w:before="60" w:after="60"/>
      <w:ind w:left="1020" w:hanging="340"/>
    </w:pPr>
  </w:style>
  <w:style w:type="paragraph" w:styleId="List4">
    <w:name w:val="List 4"/>
    <w:basedOn w:val="BodyText"/>
    <w:rsid w:val="00C421F7"/>
    <w:pPr>
      <w:tabs>
        <w:tab w:val="left" w:pos="1361"/>
      </w:tabs>
      <w:spacing w:before="60" w:after="60"/>
      <w:ind w:left="1361" w:hanging="340"/>
    </w:pPr>
  </w:style>
  <w:style w:type="paragraph" w:styleId="List5">
    <w:name w:val="List 5"/>
    <w:basedOn w:val="BodyText"/>
    <w:rsid w:val="00C421F7"/>
    <w:pPr>
      <w:tabs>
        <w:tab w:val="left" w:pos="1701"/>
      </w:tabs>
      <w:spacing w:before="60" w:after="60"/>
      <w:ind w:left="1701" w:hanging="340"/>
    </w:pPr>
  </w:style>
  <w:style w:type="paragraph" w:styleId="ListBullet4">
    <w:name w:val="List Bullet 4"/>
    <w:basedOn w:val="List4"/>
    <w:rsid w:val="00C421F7"/>
    <w:pPr>
      <w:numPr>
        <w:numId w:val="4"/>
      </w:numPr>
      <w:tabs>
        <w:tab w:val="clear" w:pos="1361"/>
      </w:tabs>
    </w:pPr>
  </w:style>
  <w:style w:type="paragraph" w:styleId="ListBullet5">
    <w:name w:val="List Bullet 5"/>
    <w:basedOn w:val="List5"/>
    <w:rsid w:val="00C421F7"/>
    <w:pPr>
      <w:numPr>
        <w:numId w:val="5"/>
      </w:numPr>
    </w:pPr>
  </w:style>
  <w:style w:type="paragraph" w:styleId="ListContinue2">
    <w:name w:val="List Continue 2"/>
    <w:basedOn w:val="List2"/>
    <w:rsid w:val="00C421F7"/>
    <w:pPr>
      <w:ind w:firstLine="0"/>
    </w:pPr>
  </w:style>
  <w:style w:type="paragraph" w:styleId="ListContinue3">
    <w:name w:val="List Continue 3"/>
    <w:basedOn w:val="List3"/>
    <w:rsid w:val="00C421F7"/>
    <w:pPr>
      <w:ind w:left="1021" w:firstLine="0"/>
    </w:pPr>
  </w:style>
  <w:style w:type="paragraph" w:styleId="ListContinue4">
    <w:name w:val="List Continue 4"/>
    <w:basedOn w:val="List4"/>
    <w:rsid w:val="00C421F7"/>
    <w:pPr>
      <w:ind w:firstLine="0"/>
    </w:pPr>
  </w:style>
  <w:style w:type="paragraph" w:styleId="ListContinue5">
    <w:name w:val="List Continue 5"/>
    <w:basedOn w:val="List5"/>
    <w:rsid w:val="00C421F7"/>
    <w:pPr>
      <w:ind w:firstLine="0"/>
    </w:pPr>
  </w:style>
  <w:style w:type="paragraph" w:styleId="ListNumber3">
    <w:name w:val="List Number 3"/>
    <w:basedOn w:val="List3"/>
    <w:rsid w:val="00C421F7"/>
    <w:pPr>
      <w:numPr>
        <w:numId w:val="6"/>
      </w:numPr>
    </w:pPr>
  </w:style>
  <w:style w:type="paragraph" w:styleId="ListNumber4">
    <w:name w:val="List Number 4"/>
    <w:basedOn w:val="List4"/>
    <w:rsid w:val="00C421F7"/>
    <w:pPr>
      <w:numPr>
        <w:numId w:val="7"/>
      </w:numPr>
    </w:pPr>
  </w:style>
  <w:style w:type="paragraph" w:styleId="ListNumber5">
    <w:name w:val="List Number 5"/>
    <w:basedOn w:val="List5"/>
    <w:rsid w:val="00C421F7"/>
    <w:pPr>
      <w:numPr>
        <w:numId w:val="8"/>
      </w:numPr>
    </w:pPr>
  </w:style>
  <w:style w:type="paragraph" w:styleId="BlockText">
    <w:name w:val="Block Text"/>
    <w:basedOn w:val="Normal"/>
    <w:rsid w:val="00C421F7"/>
    <w:pPr>
      <w:spacing w:after="120"/>
      <w:ind w:left="1440" w:right="1440"/>
    </w:pPr>
  </w:style>
  <w:style w:type="character" w:customStyle="1" w:styleId="Subscript">
    <w:name w:val="Subscript"/>
    <w:basedOn w:val="DefaultParagraphFont"/>
    <w:rsid w:val="00C421F7"/>
    <w:rPr>
      <w:sz w:val="16"/>
      <w:vertAlign w:val="subscript"/>
    </w:rPr>
  </w:style>
  <w:style w:type="character" w:customStyle="1" w:styleId="Superscript">
    <w:name w:val="Superscript"/>
    <w:basedOn w:val="DefaultParagraphFont"/>
    <w:rsid w:val="00C421F7"/>
    <w:rPr>
      <w:sz w:val="16"/>
      <w:vertAlign w:val="superscript"/>
    </w:rPr>
  </w:style>
  <w:style w:type="character" w:customStyle="1" w:styleId="Symbols">
    <w:name w:val="Symbols"/>
    <w:basedOn w:val="DefaultParagraphFont"/>
    <w:rsid w:val="00C421F7"/>
    <w:rPr>
      <w:rFonts w:ascii="Symbol" w:hAnsi="Symbol"/>
    </w:rPr>
  </w:style>
  <w:style w:type="character" w:customStyle="1" w:styleId="MenuOptions">
    <w:name w:val="Menu Options"/>
    <w:basedOn w:val="DefaultParagraphFont"/>
    <w:rsid w:val="00C421F7"/>
    <w:rPr>
      <w:rFonts w:ascii="Arial Narrow" w:hAnsi="Arial Narrow"/>
      <w:smallCaps/>
    </w:rPr>
  </w:style>
  <w:style w:type="character" w:customStyle="1" w:styleId="Buttons">
    <w:name w:val="Buttons"/>
    <w:basedOn w:val="DefaultParagraphFont"/>
    <w:rsid w:val="00C421F7"/>
    <w:rPr>
      <w:b/>
    </w:rPr>
  </w:style>
  <w:style w:type="character" w:customStyle="1" w:styleId="Underlined">
    <w:name w:val="Underlined"/>
    <w:basedOn w:val="DefaultParagraphFont"/>
    <w:rsid w:val="00C421F7"/>
    <w:rPr>
      <w:u w:val="single"/>
    </w:rPr>
  </w:style>
  <w:style w:type="paragraph" w:customStyle="1" w:styleId="TableBodyTextRight">
    <w:name w:val="Table Body Text Right"/>
    <w:basedOn w:val="TableBodyText"/>
    <w:rsid w:val="00C421F7"/>
    <w:pPr>
      <w:widowControl w:val="0"/>
      <w:autoSpaceDE w:val="0"/>
      <w:autoSpaceDN w:val="0"/>
      <w:adjustRightInd w:val="0"/>
      <w:jc w:val="right"/>
    </w:pPr>
    <w:rPr>
      <w:rFonts w:cs="Arial"/>
      <w:szCs w:val="18"/>
    </w:rPr>
  </w:style>
  <w:style w:type="paragraph" w:customStyle="1" w:styleId="CopyrightText">
    <w:name w:val="Copyright Text"/>
    <w:basedOn w:val="BodyText"/>
    <w:rsid w:val="00C421F7"/>
    <w:rPr>
      <w:sz w:val="18"/>
    </w:rPr>
  </w:style>
  <w:style w:type="paragraph" w:customStyle="1" w:styleId="BodySmallRight">
    <w:name w:val="Body Small Right"/>
    <w:basedOn w:val="BodyTextRight"/>
    <w:rsid w:val="00C421F7"/>
    <w:rPr>
      <w:sz w:val="18"/>
      <w:szCs w:val="18"/>
    </w:rPr>
  </w:style>
  <w:style w:type="paragraph" w:customStyle="1" w:styleId="MarginEdition">
    <w:name w:val="Margin Edition"/>
    <w:basedOn w:val="MarginNote"/>
    <w:rsid w:val="00C421F7"/>
    <w:pPr>
      <w:spacing w:before="0" w:after="0"/>
    </w:pPr>
    <w:rPr>
      <w:rFonts w:ascii="Times New Roman" w:hAnsi="Times New Roman"/>
      <w:color w:val="999999"/>
    </w:rPr>
  </w:style>
  <w:style w:type="paragraph" w:customStyle="1" w:styleId="Spacer">
    <w:name w:val="Spacer"/>
    <w:basedOn w:val="Normal"/>
    <w:rsid w:val="00C421F7"/>
    <w:rPr>
      <w:sz w:val="2"/>
      <w:szCs w:val="2"/>
    </w:rPr>
  </w:style>
  <w:style w:type="character" w:customStyle="1" w:styleId="Small">
    <w:name w:val="Small"/>
    <w:basedOn w:val="DefaultParagraphFont"/>
    <w:rsid w:val="00C421F7"/>
    <w:rPr>
      <w:sz w:val="16"/>
    </w:rPr>
  </w:style>
  <w:style w:type="paragraph" w:customStyle="1" w:styleId="WideTable">
    <w:name w:val="Wide Table"/>
    <w:basedOn w:val="Normal"/>
    <w:rsid w:val="00C421F7"/>
    <w:pPr>
      <w:ind w:left="-1418"/>
    </w:pPr>
    <w:rPr>
      <w:sz w:val="2"/>
      <w:szCs w:val="2"/>
    </w:rPr>
  </w:style>
  <w:style w:type="character" w:styleId="PageNumber">
    <w:name w:val="page number"/>
    <w:basedOn w:val="DefaultParagraphFont"/>
    <w:rsid w:val="00C421F7"/>
  </w:style>
  <w:style w:type="paragraph" w:styleId="Quote">
    <w:name w:val="Quote"/>
    <w:basedOn w:val="Heading1"/>
    <w:link w:val="QuoteChar"/>
    <w:qFormat/>
    <w:rsid w:val="00C421F7"/>
    <w:rPr>
      <w:b w:val="0"/>
      <w:sz w:val="72"/>
      <w:szCs w:val="72"/>
      <w:lang w:val="en-NZ"/>
    </w:rPr>
  </w:style>
  <w:style w:type="character" w:customStyle="1" w:styleId="QuoteChar">
    <w:name w:val="Quote Char"/>
    <w:basedOn w:val="DefaultParagraphFont"/>
    <w:link w:val="Quote"/>
    <w:rsid w:val="00C42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1F7"/>
    <w:pPr>
      <w:pageBreakBefore/>
    </w:pPr>
  </w:style>
  <w:style w:type="paragraph" w:customStyle="1" w:styleId="Border">
    <w:name w:val="Border"/>
    <w:basedOn w:val="Normal"/>
    <w:qFormat/>
    <w:rsid w:val="00C42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1F7"/>
    <w:rPr>
      <w:b/>
      <w:bCs/>
      <w:i/>
      <w:iCs/>
      <w:color w:val="auto"/>
    </w:rPr>
  </w:style>
  <w:style w:type="paragraph" w:styleId="IntenseQuote">
    <w:name w:val="Intense Quote"/>
    <w:basedOn w:val="Normal"/>
    <w:next w:val="Normal"/>
    <w:link w:val="IntenseQuoteChar"/>
    <w:uiPriority w:val="30"/>
    <w:qFormat/>
    <w:rsid w:val="00C42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1F7"/>
    <w:rPr>
      <w:smallCaps/>
      <w:color w:val="auto"/>
      <w:u w:val="single"/>
    </w:rPr>
  </w:style>
  <w:style w:type="character" w:styleId="IntenseReference">
    <w:name w:val="Intense Reference"/>
    <w:basedOn w:val="DefaultParagraphFont"/>
    <w:uiPriority w:val="32"/>
    <w:qFormat/>
    <w:rsid w:val="00C421F7"/>
    <w:rPr>
      <w:b/>
      <w:bCs/>
      <w:smallCaps/>
      <w:color w:val="auto"/>
      <w:spacing w:val="5"/>
      <w:u w:val="single"/>
    </w:rPr>
  </w:style>
  <w:style w:type="paragraph" w:customStyle="1" w:styleId="2ColumnHeading">
    <w:name w:val="2Column Heading"/>
    <w:basedOn w:val="BodyText"/>
    <w:qFormat/>
    <w:rsid w:val="00C421F7"/>
    <w:pPr>
      <w:spacing w:after="60"/>
      <w:ind w:left="-2268"/>
    </w:pPr>
    <w:rPr>
      <w:b/>
    </w:rPr>
  </w:style>
  <w:style w:type="paragraph" w:customStyle="1" w:styleId="Heading1TOC">
    <w:name w:val="Heading1 TOC"/>
    <w:basedOn w:val="Normal"/>
    <w:qFormat/>
    <w:rsid w:val="00C421F7"/>
    <w:pPr>
      <w:spacing w:before="240" w:after="120"/>
    </w:pPr>
    <w:rPr>
      <w:rFonts w:ascii="Times New Roman" w:hAnsi="Times New Roman"/>
      <w:b/>
      <w:sz w:val="32"/>
    </w:rPr>
  </w:style>
  <w:style w:type="paragraph" w:customStyle="1" w:styleId="Heading2TOC">
    <w:name w:val="Heading2 TOC"/>
    <w:basedOn w:val="Normal"/>
    <w:qFormat/>
    <w:rsid w:val="00C421F7"/>
    <w:pPr>
      <w:spacing w:before="240" w:after="60"/>
    </w:pPr>
    <w:rPr>
      <w:rFonts w:ascii="Times New Roman" w:hAnsi="Times New Roman"/>
      <w:b/>
      <w:sz w:val="28"/>
    </w:rPr>
  </w:style>
  <w:style w:type="character" w:customStyle="1" w:styleId="Underline">
    <w:name w:val="Underline"/>
    <w:basedOn w:val="DefaultParagraphFont"/>
    <w:qFormat/>
    <w:rsid w:val="00C421F7"/>
    <w:rPr>
      <w:u w:val="single"/>
    </w:rPr>
  </w:style>
  <w:style w:type="character" w:customStyle="1" w:styleId="BoldandItalics">
    <w:name w:val="Bold and Italics"/>
    <w:qFormat/>
    <w:rsid w:val="00C421F7"/>
    <w:rPr>
      <w:b/>
      <w:i/>
      <w:u w:val="none"/>
    </w:rPr>
  </w:style>
  <w:style w:type="paragraph" w:styleId="BalloonText">
    <w:name w:val="Balloon Text"/>
    <w:basedOn w:val="Normal"/>
    <w:link w:val="BalloonTextChar"/>
    <w:rsid w:val="00C421F7"/>
    <w:rPr>
      <w:rFonts w:ascii="Tahoma" w:hAnsi="Tahoma" w:cs="Tahoma"/>
      <w:sz w:val="16"/>
      <w:szCs w:val="16"/>
    </w:rPr>
  </w:style>
  <w:style w:type="character" w:customStyle="1" w:styleId="BalloonTextChar">
    <w:name w:val="Balloon Text Char"/>
    <w:basedOn w:val="DefaultParagraphFont"/>
    <w:link w:val="BalloonText"/>
    <w:rsid w:val="00C42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1F7"/>
    <w:rPr>
      <w:b/>
      <w:color w:val="660033"/>
      <w:spacing w:val="0"/>
    </w:rPr>
  </w:style>
  <w:style w:type="paragraph" w:customStyle="1" w:styleId="Nameditemlist">
    <w:name w:val="Named item list"/>
    <w:basedOn w:val="BodyText"/>
    <w:qFormat/>
    <w:rsid w:val="00C421F7"/>
    <w:pPr>
      <w:tabs>
        <w:tab w:val="left" w:pos="2835"/>
      </w:tabs>
      <w:ind w:left="2835" w:hanging="2835"/>
    </w:pPr>
  </w:style>
  <w:style w:type="paragraph" w:customStyle="1" w:styleId="BodyTextnopadding">
    <w:name w:val="Body Text no padding"/>
    <w:basedOn w:val="BodyText"/>
    <w:qFormat/>
    <w:rsid w:val="00C421F7"/>
    <w:pPr>
      <w:spacing w:before="0" w:after="0"/>
    </w:pPr>
  </w:style>
  <w:style w:type="paragraph" w:customStyle="1" w:styleId="BodyTextBold">
    <w:name w:val="Body Text Bold"/>
    <w:basedOn w:val="BodyText"/>
    <w:qFormat/>
    <w:rsid w:val="00C421F7"/>
    <w:rPr>
      <w:b/>
    </w:rPr>
  </w:style>
  <w:style w:type="character" w:styleId="Hyperlink">
    <w:name w:val="Hyperlink"/>
    <w:basedOn w:val="DefaultParagraphFont"/>
    <w:uiPriority w:val="99"/>
    <w:unhideWhenUsed/>
    <w:rsid w:val="00C96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1948</Words>
  <Characters>12292</Characters>
  <Application>Microsoft Office Word</Application>
  <DocSecurity>0</DocSecurity>
  <Lines>245</Lines>
  <Paragraphs>165</Paragraphs>
  <ScaleCrop>false</ScaleCrop>
  <Company>Author-it Software Corporation Ltd.</Company>
  <LinksUpToDate>false</LinksUpToDate>
  <CharactersWithSpaces>14075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UEERL0004 Disconnect - reconnect electrical equipment connected to low voltage (LV) installation wiring</dc:title>
  <dc:subject>Approved</dc:subject>
  <dc:creator>Powering Skills Organisation</dc:creator>
  <cp:keywords>Release: 1</cp:keywords>
  <dc:description>Review Date: 12 April 2008</dc:description>
  <cp:lastModifiedBy>HSD_TPCMSd.prod</cp:lastModifiedBy>
  <cp:revision>3</cp:revision>
  <dcterms:created xsi:type="dcterms:W3CDTF">2024-12-24T00:51:00Z</dcterms:created>
  <dcterms:modified xsi:type="dcterms:W3CDTF">2024-12-24T00:51:00Z</dcterms:modified>
</cp:coreProperties>
</file>