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5D32" w:rsidP="003D5D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UEERE0082 Maintain renewable energy (RE) apparatus</w:t>
      </w:r>
      <w:r>
        <w:fldChar w:fldCharType="end"/>
      </w:r>
    </w:p>
    <w:p w:rsidR="003D5D32" w:rsidP="003D5D32">
      <w:pPr>
        <w:pStyle w:val="Version"/>
        <w:sectPr w:rsidSect="000D76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7636" w:rsidP="000D7636">
      <w:pPr>
        <w:pStyle w:val="SuperHeading"/>
      </w:pPr>
      <w:r w:rsidRPr="000D7636">
        <w:t>UEERE0082 Maintain renewable energy (RE) apparatus</w:t>
      </w:r>
    </w:p>
    <w:p w:rsidR="00000000" w:rsidRPr="000D7636" w:rsidP="000D7636">
      <w:pPr>
        <w:pStyle w:val="Heading1"/>
      </w:pPr>
      <w:bookmarkStart w:id="1" w:name="O_1268428"/>
      <w:bookmarkEnd w:id="1"/>
      <w:r w:rsidRPr="000D763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76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 w:rsidP="000D7636">
            <w:pPr>
              <w:pStyle w:val="BodyText"/>
            </w:pPr>
            <w:r w:rsidRPr="000D7636">
              <w:t>Release 1. This is the first release of this unit of competency in the UEE Electrotechnology Training Package.</w:t>
            </w:r>
          </w:p>
        </w:tc>
      </w:tr>
    </w:tbl>
    <w:p w:rsidR="00000000" w:rsidRPr="000D7636" w:rsidP="000D7636">
      <w:pPr>
        <w:pStyle w:val="NoPaddingFontSize1"/>
      </w:pPr>
    </w:p>
    <w:p w:rsidR="00000000" w:rsidRPr="000D7636" w:rsidP="000D7636">
      <w:pPr>
        <w:pStyle w:val="AllowPageBreak"/>
      </w:pPr>
    </w:p>
    <w:p w:rsidR="00000000" w:rsidRPr="000D7636" w:rsidP="000D7636">
      <w:pPr>
        <w:pStyle w:val="Heading1"/>
      </w:pPr>
      <w:bookmarkStart w:id="2" w:name="O_1268429"/>
      <w:bookmarkEnd w:id="2"/>
      <w:r w:rsidRPr="000D763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76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 w:rsidP="000D7636">
            <w:pPr>
              <w:pStyle w:val="BodyText"/>
            </w:pPr>
            <w:r w:rsidRPr="000D7636">
              <w:t xml:space="preserve">This unit involves the skills and knowledge required to maintain renewable energy </w:t>
            </w:r>
            <w:r w:rsidRPr="000D7636">
              <w:t>(RE) apparatus.</w:t>
            </w:r>
          </w:p>
          <w:p w:rsidR="00000000" w:rsidRPr="000D7636" w:rsidP="000D7636">
            <w:pPr>
              <w:pStyle w:val="BodyText"/>
            </w:pPr>
            <w:r w:rsidRPr="000D7636">
              <w:t>It includes preparing to maintain RE apparatus, completing routine maintenance of RE apparatus, completing and reporting on maintenance activities.</w:t>
            </w:r>
          </w:p>
          <w:p w:rsidR="00000000" w:rsidRPr="000D7636" w:rsidP="000D7636">
            <w:pPr>
              <w:pStyle w:val="BodyText"/>
            </w:pPr>
            <w:r w:rsidRPr="000D7636">
              <w:t>The skills and knowledge described in this unit require a licence or permit to practice in t</w:t>
            </w:r>
            <w:r w:rsidRPr="000D7636">
              <w:t>he workplace where work is carried out on electrical installations which are designed to operate at voltages greater than 50 volt (V) alternating current (a.c.) or 120 V direct current (d.c).</w:t>
            </w:r>
          </w:p>
          <w:p w:rsidR="00000000" w:rsidRPr="000D7636" w:rsidP="000D7636">
            <w:pPr>
              <w:pStyle w:val="BodyText"/>
            </w:pPr>
            <w:r w:rsidRPr="000D7636">
              <w:t>Competency development activities in this unit are subject to re</w:t>
            </w:r>
            <w:r w:rsidRPr="000D7636">
              <w:t>gulations directly related to licensing. Where a licence or permit to practice is not held, a relevant contract of training, such as an Australian Apprenticeship, is required.</w:t>
            </w:r>
          </w:p>
          <w:p w:rsidR="00000000" w:rsidRPr="000D7636" w:rsidP="000D7636">
            <w:pPr>
              <w:pStyle w:val="BodyText"/>
            </w:pPr>
            <w:r w:rsidRPr="000D7636">
              <w:t>Additional and/or other conditions may apply in some jurisdictions subject to re</w:t>
            </w:r>
            <w:r w:rsidRPr="000D7636">
              <w:t>gulations related to electrical work. Practice in the workplace and during training is also subject to work health and safety (WHS)/occupational health and safety (OHS) regulations.</w:t>
            </w:r>
          </w:p>
          <w:p w:rsidR="00000000" w:rsidRPr="000D7636" w:rsidP="000D7636">
            <w:pPr>
              <w:pStyle w:val="BodyText"/>
            </w:pPr>
            <w:r w:rsidRPr="000D7636">
              <w:t xml:space="preserve">Note: Those holding an ‘Unrestricted Electrician’s Licence’ or equivalent </w:t>
            </w:r>
            <w:r w:rsidRPr="000D7636">
              <w:t>issued in an Australian state or territory meet the prerequisite requirements of this unit.</w:t>
            </w:r>
          </w:p>
        </w:tc>
      </w:tr>
    </w:tbl>
    <w:p w:rsidR="00000000" w:rsidRPr="000D7636" w:rsidP="000D7636">
      <w:pPr>
        <w:pStyle w:val="NoPaddingFontSize1"/>
      </w:pPr>
    </w:p>
    <w:p w:rsidR="00000000" w:rsidRPr="000D7636" w:rsidP="000D7636">
      <w:pPr>
        <w:pStyle w:val="AllowPageBreak"/>
      </w:pPr>
    </w:p>
    <w:p w:rsidR="00000000" w:rsidRPr="000D7636" w:rsidP="000D7636">
      <w:pPr>
        <w:pStyle w:val="Heading1"/>
      </w:pPr>
      <w:bookmarkStart w:id="3" w:name="O_1268430"/>
      <w:bookmarkEnd w:id="3"/>
      <w:r w:rsidRPr="000D763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76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 w:rsidP="000D7636">
            <w:pPr>
              <w:pStyle w:val="BodyText"/>
            </w:pPr>
            <w:r w:rsidRPr="000D7636">
              <w:t>UEECD0019 Fabricate, assemble and dismantle utilities industry components</w:t>
            </w:r>
          </w:p>
          <w:p w:rsidR="00000000" w:rsidRPr="000D7636" w:rsidP="000D7636">
            <w:pPr>
              <w:pStyle w:val="BodyText"/>
            </w:pPr>
            <w:r w:rsidRPr="000D7636">
              <w:t>UEECD0044 Solve problems in multiple path circuits</w:t>
            </w:r>
          </w:p>
          <w:p w:rsidR="00000000" w:rsidRPr="000D7636" w:rsidP="000D7636">
            <w:pPr>
              <w:pStyle w:val="BodyText"/>
            </w:pPr>
            <w:r w:rsidRPr="000D7636">
              <w:t>UEECD0046 Solve problems in single path circuits</w:t>
            </w:r>
          </w:p>
          <w:p w:rsidR="00000000" w:rsidRPr="000D7636" w:rsidP="000D7636">
            <w:pPr>
              <w:pStyle w:val="BodyText"/>
            </w:pPr>
            <w:r w:rsidRPr="000D7636">
              <w:t>and</w:t>
            </w:r>
          </w:p>
          <w:p w:rsidR="00000000" w:rsidRPr="000D7636" w:rsidP="000D7636">
            <w:pPr>
              <w:pStyle w:val="BodyText"/>
            </w:pPr>
            <w:r w:rsidRPr="000D7636">
              <w:t>UEECD0025 Lay wiring/cabling and terminate accessories for extra-low voltage (ELV) circuits</w:t>
            </w:r>
          </w:p>
          <w:p w:rsidR="00000000" w:rsidRPr="000D7636" w:rsidP="000D7636">
            <w:pPr>
              <w:pStyle w:val="BodyText"/>
            </w:pPr>
            <w:r w:rsidRPr="000D7636">
              <w:t>or</w:t>
            </w:r>
          </w:p>
          <w:p w:rsidR="00000000" w:rsidRPr="000D7636" w:rsidP="000D7636">
            <w:pPr>
              <w:pStyle w:val="BodyText"/>
            </w:pPr>
            <w:r w:rsidRPr="000D7636">
              <w:t>UEEEL0023 Terminate cables, cords and accessories for low voltage circuits</w:t>
            </w:r>
          </w:p>
        </w:tc>
      </w:tr>
    </w:tbl>
    <w:p w:rsidR="00000000" w:rsidRPr="000D7636" w:rsidP="000D7636">
      <w:pPr>
        <w:pStyle w:val="NoPaddingFontSize1"/>
      </w:pPr>
    </w:p>
    <w:p w:rsidR="00000000" w:rsidRPr="000D7636" w:rsidP="000D7636">
      <w:pPr>
        <w:pStyle w:val="AllowPageBreak"/>
      </w:pPr>
    </w:p>
    <w:p w:rsidR="00000000" w:rsidRPr="000D7636" w:rsidP="000D7636">
      <w:pPr>
        <w:pStyle w:val="Heading1"/>
      </w:pPr>
      <w:bookmarkStart w:id="4" w:name="O_1268431"/>
      <w:bookmarkEnd w:id="4"/>
      <w:r w:rsidRPr="000D763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76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 w:rsidP="000D7636">
            <w:pPr>
              <w:pStyle w:val="BodyText"/>
            </w:pPr>
            <w:r w:rsidRPr="000D7636">
              <w:t>Renewable Energy</w:t>
            </w:r>
          </w:p>
        </w:tc>
      </w:tr>
    </w:tbl>
    <w:p w:rsidR="00000000" w:rsidRPr="000D7636" w:rsidP="000D7636">
      <w:pPr>
        <w:pStyle w:val="NoPaddingFontSize1"/>
      </w:pPr>
    </w:p>
    <w:p w:rsidR="00000000" w:rsidRPr="000D7636" w:rsidP="000D7636">
      <w:pPr>
        <w:pStyle w:val="AllowPageBreak"/>
      </w:pPr>
    </w:p>
    <w:p w:rsidR="00000000" w:rsidRPr="000D7636" w:rsidP="000D7636">
      <w:pPr>
        <w:pStyle w:val="Heading1"/>
      </w:pPr>
      <w:bookmarkStart w:id="5" w:name="O_1268432"/>
      <w:bookmarkEnd w:id="5"/>
      <w:r w:rsidRPr="000D763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76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 w:rsidP="000D7636">
            <w:pPr>
              <w:pStyle w:val="BodyText"/>
            </w:pPr>
            <w:r w:rsidRPr="000D7636">
              <w:t>Electrotechnology</w:t>
            </w:r>
          </w:p>
        </w:tc>
      </w:tr>
    </w:tbl>
    <w:p w:rsidR="00000000" w:rsidRPr="000D7636" w:rsidP="000D7636">
      <w:pPr>
        <w:pStyle w:val="NoPaddingFontSize1"/>
      </w:pPr>
    </w:p>
    <w:p w:rsidR="00000000" w:rsidRPr="000D7636" w:rsidP="000D7636">
      <w:pPr>
        <w:pStyle w:val="AllowPageBreak"/>
      </w:pPr>
    </w:p>
    <w:p w:rsidR="00000000" w:rsidRPr="000D7636" w:rsidP="000D7636">
      <w:pPr>
        <w:pStyle w:val="Heading1"/>
      </w:pPr>
      <w:bookmarkStart w:id="6" w:name="O_1268433"/>
      <w:bookmarkEnd w:id="6"/>
      <w:r w:rsidRPr="000D763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0D76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 w:rsidP="000D7636">
            <w:pPr>
              <w:pStyle w:val="BodyText"/>
            </w:pPr>
            <w:r w:rsidRPr="000D763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rPr>
                <w:rStyle w:val="SpecialBold"/>
              </w:rPr>
              <w:t>PERFORMANCE CRITERIA</w:t>
            </w:r>
          </w:p>
        </w:tc>
      </w:tr>
      <w:tr w:rsidTr="000D76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t>Performa</w:t>
            </w:r>
            <w:r w:rsidRPr="000D7636">
              <w:t>nce criteria describe the performance needed to demonstrate achievement of the element.</w:t>
            </w:r>
          </w:p>
        </w:tc>
      </w:tr>
      <w:tr w:rsidTr="000D76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 w:rsidP="000D7636">
            <w:pPr>
              <w:pStyle w:val="BodyText"/>
            </w:pPr>
            <w:r w:rsidRPr="000D7636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 w:rsidP="000D7636">
            <w:pPr>
              <w:pStyle w:val="BodyText"/>
            </w:pPr>
            <w:r w:rsidRPr="000D7636">
              <w:rPr>
                <w:rStyle w:val="SpecialBold"/>
              </w:rPr>
              <w:t>Prepare to maintain RE apparatus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t>Work health and safety (WHS)/occupational health and safety (OHS) processes and procedures for relevant work area are identifi</w:t>
            </w:r>
            <w:r w:rsidRPr="000D7636">
              <w:t>ed and applied in accordance with workplace procedures</w:t>
            </w:r>
          </w:p>
        </w:tc>
      </w:tr>
      <w:tr w:rsidTr="000D76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t>Maintenance schedule/s, specifications, drawings, plans, job requirements and material lists are obtained, interpreted, and applied in accordance with workplace procedures</w:t>
            </w:r>
          </w:p>
        </w:tc>
      </w:tr>
      <w:tr w:rsidTr="000D76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t>Work is prioritised and coordinated with relevant site personnel in accordance with workplace procedures</w:t>
            </w:r>
          </w:p>
        </w:tc>
      </w:tr>
      <w:tr w:rsidTr="000D76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t>Competencies required to conduct work are determined from job specifications and/or consultations with appropriate person/s</w:t>
            </w:r>
          </w:p>
        </w:tc>
      </w:tr>
      <w:tr w:rsidTr="000D76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t>Materials, to</w:t>
            </w:r>
            <w:r w:rsidRPr="000D7636">
              <w:t>ols, apparatus and testing devices required for the work are identified and accessed in accordance with workplace procedures</w:t>
            </w:r>
          </w:p>
        </w:tc>
      </w:tr>
      <w:tr w:rsidTr="000D76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t>Need to test or measure live electrical work is determined in accordance with WHS/OHS, regulatory and licencing requirements</w:t>
            </w:r>
          </w:p>
        </w:tc>
      </w:tr>
      <w:tr w:rsidTr="000D76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 w:rsidP="000D7636">
            <w:pPr>
              <w:pStyle w:val="BodyText"/>
            </w:pPr>
            <w:r w:rsidRPr="000D7636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 w:rsidP="000D7636">
            <w:pPr>
              <w:pStyle w:val="BodyText"/>
            </w:pPr>
            <w:r w:rsidRPr="000D7636">
              <w:rPr>
                <w:rStyle w:val="SpecialBold"/>
              </w:rPr>
              <w:t>Maintain RE apparatus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t>Circuits/apparatus are confirmed as isolated, and other safety measures implemented, in accordance with WHS/OHS requirements and workplace procedures</w:t>
            </w:r>
          </w:p>
        </w:tc>
      </w:tr>
      <w:tr w:rsidTr="000D76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t>Visual inspection of site and equipment is conducted and any hazard</w:t>
            </w:r>
            <w:r w:rsidRPr="000D7636">
              <w:t>s and/or anomalies requiring attention noted</w:t>
            </w:r>
          </w:p>
        </w:tc>
      </w:tr>
      <w:tr w:rsidTr="000D76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t>System performance monitoring is completed and recorded in accordance with technical standards and workplace procedures</w:t>
            </w:r>
          </w:p>
        </w:tc>
      </w:tr>
      <w:tr w:rsidTr="000D76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t xml:space="preserve">Routine maintenance is conducted in accordance with </w:t>
            </w:r>
            <w:r w:rsidRPr="000D7636">
              <w:t>schedule, technical stand</w:t>
            </w:r>
            <w:r w:rsidRPr="000D7636">
              <w:t>ards and workplace procedures</w:t>
            </w:r>
          </w:p>
        </w:tc>
      </w:tr>
      <w:tr w:rsidTr="000D76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t>Repairs are identified and completed in accordance with technical standards</w:t>
            </w:r>
          </w:p>
        </w:tc>
      </w:tr>
      <w:tr w:rsidTr="000D76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t>Maintenance quality checks are conducted in accordance with job specifications, technical standards, regulatory requirements and/or workplace procedures</w:t>
            </w:r>
          </w:p>
        </w:tc>
      </w:tr>
      <w:tr w:rsidTr="000D76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t>System is reenergised in accordance with technical standards and workplace procedures</w:t>
            </w:r>
          </w:p>
        </w:tc>
      </w:tr>
      <w:tr w:rsidTr="000D76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 w:rsidP="000D7636">
            <w:pPr>
              <w:pStyle w:val="BodyText"/>
            </w:pPr>
            <w:r w:rsidRPr="000D7636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 w:rsidP="000D7636">
            <w:pPr>
              <w:pStyle w:val="BodyText"/>
            </w:pPr>
            <w:r w:rsidRPr="000D7636">
              <w:rPr>
                <w:rStyle w:val="SpecialBold"/>
              </w:rPr>
              <w:t>Complet</w:t>
            </w:r>
            <w:r w:rsidRPr="000D7636">
              <w:rPr>
                <w:rStyle w:val="SpecialBold"/>
              </w:rPr>
              <w:t>e and report maintenance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t>Work area is cleaned and made safe in accordance with workplace procedures</w:t>
            </w:r>
          </w:p>
        </w:tc>
      </w:tr>
      <w:tr w:rsidTr="000D76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 w:rsidP="000D7636">
            <w:pPr>
              <w:pStyle w:val="BodyText"/>
            </w:pPr>
            <w:r w:rsidRPr="000D7636">
              <w:t>Completion of work is documented and appropriate person/s notified in accordance with workplace procedures</w:t>
            </w:r>
          </w:p>
        </w:tc>
      </w:tr>
    </w:tbl>
    <w:p w:rsidR="00000000" w:rsidRPr="000D7636" w:rsidP="000D7636">
      <w:pPr>
        <w:pStyle w:val="NoPaddingFontSize1"/>
      </w:pPr>
    </w:p>
    <w:p w:rsidR="00000000" w:rsidRPr="000D7636" w:rsidP="000D7636">
      <w:pPr>
        <w:pStyle w:val="AllowPageBreak"/>
      </w:pPr>
    </w:p>
    <w:p w:rsidR="00000000" w:rsidRPr="000D7636" w:rsidP="000D7636">
      <w:pPr>
        <w:pStyle w:val="Heading1"/>
      </w:pPr>
      <w:bookmarkStart w:id="7" w:name="O_1268434"/>
      <w:bookmarkEnd w:id="7"/>
      <w:r w:rsidRPr="000D763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76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 w:rsidP="000D7636">
            <w:pPr>
              <w:pStyle w:val="BodyText"/>
            </w:pPr>
            <w:r w:rsidRPr="000D7636">
              <w:t>Foundation skills essential to performance are explicit in the performance criteria of this unit of competency.</w:t>
            </w:r>
          </w:p>
        </w:tc>
      </w:tr>
    </w:tbl>
    <w:p w:rsidR="00000000" w:rsidRPr="000D7636" w:rsidP="000D7636">
      <w:pPr>
        <w:pStyle w:val="NoPaddingFontSize1"/>
      </w:pPr>
    </w:p>
    <w:p w:rsidR="00000000" w:rsidRPr="000D7636" w:rsidP="000D7636">
      <w:pPr>
        <w:pStyle w:val="AllowPageBreak"/>
      </w:pPr>
    </w:p>
    <w:p w:rsidR="00000000" w:rsidRPr="000D7636" w:rsidP="000D7636">
      <w:pPr>
        <w:pStyle w:val="Heading1"/>
      </w:pPr>
      <w:bookmarkStart w:id="8" w:name="O_1268435"/>
      <w:bookmarkEnd w:id="8"/>
      <w:r w:rsidRPr="000D763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7"/>
        <w:gridCol w:w="4930"/>
      </w:tblGrid>
      <w:tr w:rsidTr="000D76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 w:rsidP="000D7636">
            <w:pPr>
              <w:pStyle w:val="BodyText"/>
            </w:pPr>
            <w:r w:rsidRPr="000D7636">
              <w:t>Range is restricted to essential operating conditions and any other variables essenti</w:t>
            </w:r>
            <w:r w:rsidRPr="000D7636">
              <w:t>al to the work environment.</w:t>
            </w:r>
          </w:p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t>Non-essential conditions may be found in the UEE Electrotechnology Training Package Companion Volume Implementation Guide.</w:t>
            </w:r>
          </w:p>
        </w:tc>
      </w:tr>
      <w:tr w:rsidTr="000D76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t>Repairs include the following:</w:t>
            </w:r>
          </w:p>
        </w:tc>
        <w:tc>
          <w:tcPr>
            <w:tcW w:w="4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ListBullet"/>
              <w:rPr>
                <w:lang w:val="en-NZ"/>
              </w:rPr>
            </w:pPr>
            <w:r w:rsidRPr="000D7636">
              <w:t>RE apparatus is limited to replacement or repair of components in which</w:t>
            </w:r>
            <w:r w:rsidRPr="000D7636">
              <w:t xml:space="preserve"> the fault has been previously determined.</w:t>
            </w:r>
          </w:p>
        </w:tc>
      </w:tr>
      <w:tr w:rsidTr="000D76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636">
            <w:pPr>
              <w:pStyle w:val="BodyText"/>
              <w:rPr>
                <w:lang w:val="en-NZ"/>
              </w:rPr>
            </w:pPr>
            <w:r w:rsidRPr="000D7636">
              <w:t>Carrying out repairs to RE apparatus must include the following:</w:t>
            </w:r>
          </w:p>
        </w:tc>
        <w:tc>
          <w:tcPr>
            <w:tcW w:w="4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 w:rsidP="000D7636">
            <w:pPr>
              <w:pStyle w:val="ListBullet"/>
            </w:pPr>
            <w:r w:rsidRPr="000D7636">
              <w:t>two different RE apparatus in which three different types of components are faulty, one of which is mechanical.</w:t>
            </w:r>
          </w:p>
        </w:tc>
      </w:tr>
    </w:tbl>
    <w:p w:rsidR="00000000" w:rsidRPr="000D7636" w:rsidP="000D7636">
      <w:pPr>
        <w:pStyle w:val="NoPaddingFontSize1"/>
      </w:pPr>
    </w:p>
    <w:p w:rsidR="00000000" w:rsidRPr="000D7636" w:rsidP="000D7636">
      <w:pPr>
        <w:pStyle w:val="AllowPageBreak"/>
      </w:pPr>
    </w:p>
    <w:p w:rsidR="00000000" w:rsidRPr="000D7636" w:rsidP="000D7636">
      <w:pPr>
        <w:pStyle w:val="Heading1"/>
      </w:pPr>
      <w:bookmarkStart w:id="9" w:name="O_1268436"/>
      <w:bookmarkEnd w:id="9"/>
      <w:r w:rsidRPr="000D763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76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636" w:rsidP="000D7636">
            <w:pPr>
              <w:pStyle w:val="BodyText"/>
            </w:pPr>
            <w:r w:rsidRPr="000D7636">
              <w:t>New unit</w:t>
            </w:r>
          </w:p>
        </w:tc>
      </w:tr>
    </w:tbl>
    <w:p w:rsidR="00000000" w:rsidRPr="000D7636" w:rsidP="000D7636">
      <w:pPr>
        <w:pStyle w:val="NoPaddingFontSize1"/>
      </w:pPr>
    </w:p>
    <w:p w:rsidR="00000000" w:rsidRPr="000D7636" w:rsidP="000D7636">
      <w:pPr>
        <w:pStyle w:val="AllowPageBreak"/>
      </w:pPr>
    </w:p>
    <w:p w:rsidR="00000000" w:rsidRPr="000D7636" w:rsidP="000D7636">
      <w:pPr>
        <w:pStyle w:val="Heading1"/>
      </w:pPr>
      <w:bookmarkStart w:id="10" w:name="O_1268443"/>
      <w:bookmarkEnd w:id="10"/>
      <w:r w:rsidRPr="000D7636">
        <w:t>Links</w:t>
      </w:r>
    </w:p>
    <w:p w:rsidR="00000000" w:rsidRPr="000D7636" w:rsidP="003D5D32">
      <w:pPr>
        <w:pStyle w:val="BodyText"/>
      </w:pPr>
      <w:r w:rsidRPr="000D76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C072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D7636" w:rsidP="000D7636"/>
    <w:sectPr w:rsidSect="000D76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6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636" w:rsidRPr="003D5D32" w:rsidP="003D5D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6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D32" w:rsidP="000D76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5D32" w:rsidP="000D76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D5D32" w:rsidP="000D76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6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D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636" w:rsidRPr="003D5D32" w:rsidP="003D5D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6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D32" w:rsidRPr="002D2AF8" w:rsidP="000D76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UEERE0082 Maintain renewable energy (RE)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D5D32" w:rsidP="000D76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9034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B08D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6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6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6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6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6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6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6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6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6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6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6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636"/>
  </w:style>
  <w:style w:type="character" w:customStyle="1" w:styleId="Heading1Char">
    <w:name w:val="Heading 1 Char"/>
    <w:basedOn w:val="DefaultParagraphFont"/>
    <w:link w:val="Heading1"/>
    <w:rsid w:val="000D76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6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6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76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7636"/>
    <w:rPr>
      <w:b/>
      <w:spacing w:val="0"/>
    </w:rPr>
  </w:style>
  <w:style w:type="paragraph" w:customStyle="1" w:styleId="SuperHeading">
    <w:name w:val="SuperHeading"/>
    <w:basedOn w:val="Normal"/>
    <w:rsid w:val="000D76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76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D76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6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6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6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6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6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6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6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6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6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6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6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6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6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6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6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6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6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76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76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76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6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6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76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76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6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6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6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6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6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6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6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6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7636"/>
    <w:rPr>
      <w:i/>
    </w:rPr>
  </w:style>
  <w:style w:type="paragraph" w:styleId="Caption">
    <w:name w:val="caption"/>
    <w:basedOn w:val="BodyText"/>
    <w:next w:val="Normal"/>
    <w:qFormat/>
    <w:rsid w:val="000D76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6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6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636"/>
  </w:style>
  <w:style w:type="paragraph" w:styleId="TableofFigures">
    <w:name w:val="table of figures"/>
    <w:basedOn w:val="Normal"/>
    <w:next w:val="Normal"/>
    <w:semiHidden/>
    <w:rsid w:val="000D76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6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7636"/>
    <w:rPr>
      <w:rFonts w:ascii="Wingdings" w:hAnsi="Wingdings"/>
    </w:rPr>
  </w:style>
  <w:style w:type="paragraph" w:customStyle="1" w:styleId="TableHeading">
    <w:name w:val="Table Heading"/>
    <w:basedOn w:val="HeadingBase"/>
    <w:rsid w:val="000D76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7636"/>
    <w:rPr>
      <w:color w:val="0033CC"/>
      <w:u w:val="none"/>
    </w:rPr>
  </w:style>
  <w:style w:type="paragraph" w:customStyle="1" w:styleId="BodyTextRight">
    <w:name w:val="Body Text Right"/>
    <w:basedOn w:val="BodyText"/>
    <w:rsid w:val="000D76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6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6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6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6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6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636"/>
    <w:rPr>
      <w:sz w:val="32"/>
    </w:rPr>
  </w:style>
  <w:style w:type="paragraph" w:customStyle="1" w:styleId="HeadingProcedure">
    <w:name w:val="Heading Procedure"/>
    <w:basedOn w:val="HeadingBase"/>
    <w:next w:val="Normal"/>
    <w:rsid w:val="000D76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636"/>
    <w:pPr>
      <w:spacing w:before="60" w:after="60"/>
    </w:pPr>
  </w:style>
  <w:style w:type="paragraph" w:styleId="ListContinue">
    <w:name w:val="List Continue"/>
    <w:basedOn w:val="List"/>
    <w:rsid w:val="000D7636"/>
    <w:pPr>
      <w:ind w:firstLine="0"/>
    </w:pPr>
  </w:style>
  <w:style w:type="paragraph" w:customStyle="1" w:styleId="ListNote">
    <w:name w:val="List Note"/>
    <w:basedOn w:val="List"/>
    <w:rsid w:val="000D76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6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6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636"/>
    <w:rPr>
      <w:rFonts w:ascii="Courier New" w:hAnsi="Courier New"/>
    </w:rPr>
  </w:style>
  <w:style w:type="paragraph" w:customStyle="1" w:styleId="NoteBullet">
    <w:name w:val="Note Bullet"/>
    <w:basedOn w:val="Note"/>
    <w:rsid w:val="000D76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6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6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6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6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76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6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636"/>
    <w:rPr>
      <w:b/>
      <w:smallCaps/>
    </w:rPr>
  </w:style>
  <w:style w:type="paragraph" w:customStyle="1" w:styleId="TableListNumber">
    <w:name w:val="Table List Number"/>
    <w:basedOn w:val="ListNumber"/>
    <w:rsid w:val="000D76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6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636"/>
    <w:pPr>
      <w:numPr>
        <w:numId w:val="8"/>
      </w:numPr>
    </w:pPr>
  </w:style>
  <w:style w:type="paragraph" w:customStyle="1" w:styleId="ListAlpha2">
    <w:name w:val="List Alpha 2"/>
    <w:basedOn w:val="List2"/>
    <w:rsid w:val="000D7636"/>
    <w:pPr>
      <w:numPr>
        <w:numId w:val="7"/>
      </w:numPr>
    </w:pPr>
  </w:style>
  <w:style w:type="paragraph" w:styleId="List2">
    <w:name w:val="List 2"/>
    <w:basedOn w:val="BodyText"/>
    <w:rsid w:val="000D76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76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6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6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76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76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7636"/>
    <w:pPr>
      <w:numPr>
        <w:numId w:val="3"/>
      </w:numPr>
    </w:pPr>
  </w:style>
  <w:style w:type="paragraph" w:styleId="ListContinue2">
    <w:name w:val="List Continue 2"/>
    <w:basedOn w:val="List2"/>
    <w:rsid w:val="000D7636"/>
    <w:pPr>
      <w:ind w:firstLine="0"/>
    </w:pPr>
  </w:style>
  <w:style w:type="paragraph" w:styleId="ListContinue3">
    <w:name w:val="List Continue 3"/>
    <w:basedOn w:val="List3"/>
    <w:rsid w:val="000D7636"/>
    <w:pPr>
      <w:ind w:left="1021" w:firstLine="0"/>
    </w:pPr>
  </w:style>
  <w:style w:type="paragraph" w:styleId="ListContinue4">
    <w:name w:val="List Continue 4"/>
    <w:basedOn w:val="List4"/>
    <w:rsid w:val="000D7636"/>
    <w:pPr>
      <w:ind w:firstLine="0"/>
    </w:pPr>
  </w:style>
  <w:style w:type="paragraph" w:styleId="ListContinue5">
    <w:name w:val="List Continue 5"/>
    <w:basedOn w:val="List5"/>
    <w:rsid w:val="000D7636"/>
    <w:pPr>
      <w:ind w:firstLine="0"/>
    </w:pPr>
  </w:style>
  <w:style w:type="paragraph" w:styleId="ListNumber3">
    <w:name w:val="List Number 3"/>
    <w:basedOn w:val="List3"/>
    <w:rsid w:val="000D7636"/>
    <w:pPr>
      <w:numPr>
        <w:numId w:val="4"/>
      </w:numPr>
    </w:pPr>
  </w:style>
  <w:style w:type="paragraph" w:styleId="ListNumber4">
    <w:name w:val="List Number 4"/>
    <w:basedOn w:val="List4"/>
    <w:rsid w:val="000D7636"/>
    <w:pPr>
      <w:numPr>
        <w:numId w:val="5"/>
      </w:numPr>
    </w:pPr>
  </w:style>
  <w:style w:type="paragraph" w:styleId="ListNumber5">
    <w:name w:val="List Number 5"/>
    <w:basedOn w:val="List5"/>
    <w:rsid w:val="000D7636"/>
    <w:pPr>
      <w:numPr>
        <w:numId w:val="6"/>
      </w:numPr>
    </w:pPr>
  </w:style>
  <w:style w:type="paragraph" w:styleId="BlockText">
    <w:name w:val="Block Text"/>
    <w:basedOn w:val="Normal"/>
    <w:rsid w:val="000D76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6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636"/>
    <w:rPr>
      <w:sz w:val="16"/>
      <w:vertAlign w:val="superscript"/>
    </w:rPr>
  </w:style>
  <w:style w:type="character" w:customStyle="1" w:styleId="Symbols">
    <w:name w:val="Symbols"/>
    <w:basedOn w:val="DefaultParagraphFont"/>
    <w:rsid w:val="000D7636"/>
    <w:rPr>
      <w:rFonts w:ascii="Symbol" w:hAnsi="Symbol"/>
    </w:rPr>
  </w:style>
  <w:style w:type="character" w:customStyle="1" w:styleId="MenuOptions">
    <w:name w:val="Menu Options"/>
    <w:basedOn w:val="DefaultParagraphFont"/>
    <w:rsid w:val="000D76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636"/>
    <w:rPr>
      <w:b/>
    </w:rPr>
  </w:style>
  <w:style w:type="character" w:customStyle="1" w:styleId="Underlined">
    <w:name w:val="Underlined"/>
    <w:basedOn w:val="DefaultParagraphFont"/>
    <w:rsid w:val="000D7636"/>
    <w:rPr>
      <w:u w:val="single"/>
    </w:rPr>
  </w:style>
  <w:style w:type="paragraph" w:customStyle="1" w:styleId="TableBodyTextRight">
    <w:name w:val="Table Body Text Right"/>
    <w:basedOn w:val="TableBodyText"/>
    <w:rsid w:val="000D76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636"/>
    <w:rPr>
      <w:sz w:val="18"/>
    </w:rPr>
  </w:style>
  <w:style w:type="paragraph" w:customStyle="1" w:styleId="BodySmallRight">
    <w:name w:val="Body Small Right"/>
    <w:basedOn w:val="BodyTextRight"/>
    <w:rsid w:val="000D7636"/>
    <w:rPr>
      <w:sz w:val="18"/>
      <w:szCs w:val="18"/>
    </w:rPr>
  </w:style>
  <w:style w:type="paragraph" w:customStyle="1" w:styleId="MarginEdition">
    <w:name w:val="Margin Edition"/>
    <w:basedOn w:val="MarginNote"/>
    <w:rsid w:val="000D76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636"/>
    <w:rPr>
      <w:sz w:val="2"/>
      <w:szCs w:val="2"/>
    </w:rPr>
  </w:style>
  <w:style w:type="character" w:customStyle="1" w:styleId="Small">
    <w:name w:val="Small"/>
    <w:basedOn w:val="DefaultParagraphFont"/>
    <w:rsid w:val="000D7636"/>
    <w:rPr>
      <w:sz w:val="16"/>
    </w:rPr>
  </w:style>
  <w:style w:type="paragraph" w:customStyle="1" w:styleId="WideTable">
    <w:name w:val="Wide Table"/>
    <w:basedOn w:val="Normal"/>
    <w:rsid w:val="000D76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636"/>
  </w:style>
  <w:style w:type="paragraph" w:styleId="Quote">
    <w:name w:val="Quote"/>
    <w:basedOn w:val="Heading1"/>
    <w:link w:val="QuoteChar"/>
    <w:qFormat/>
    <w:rsid w:val="000D76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6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636"/>
    <w:pPr>
      <w:pageBreakBefore/>
    </w:pPr>
  </w:style>
  <w:style w:type="paragraph" w:customStyle="1" w:styleId="Border">
    <w:name w:val="Border"/>
    <w:basedOn w:val="Normal"/>
    <w:qFormat/>
    <w:rsid w:val="000D76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6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6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6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6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6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6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6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6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636"/>
    <w:rPr>
      <w:u w:val="single"/>
    </w:rPr>
  </w:style>
  <w:style w:type="character" w:customStyle="1" w:styleId="BoldandItalics">
    <w:name w:val="Bold and Italics"/>
    <w:qFormat/>
    <w:rsid w:val="000D7636"/>
    <w:rPr>
      <w:b/>
      <w:i/>
      <w:u w:val="none"/>
    </w:rPr>
  </w:style>
  <w:style w:type="paragraph" w:styleId="BalloonText">
    <w:name w:val="Balloon Text"/>
    <w:basedOn w:val="Normal"/>
    <w:link w:val="BalloonTextChar"/>
    <w:rsid w:val="000D76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6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6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6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6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6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7636"/>
    <w:pPr>
      <w:spacing w:before="0" w:after="0"/>
    </w:pPr>
  </w:style>
  <w:style w:type="paragraph" w:customStyle="1" w:styleId="BodyTextBold">
    <w:name w:val="Body Text Bold"/>
    <w:basedOn w:val="BodyText"/>
    <w:qFormat/>
    <w:rsid w:val="000D7636"/>
    <w:rPr>
      <w:b/>
    </w:rPr>
  </w:style>
  <w:style w:type="character" w:styleId="Hyperlink">
    <w:name w:val="Hyperlink"/>
    <w:basedOn w:val="DefaultParagraphFont"/>
    <w:uiPriority w:val="99"/>
    <w:unhideWhenUsed/>
    <w:rsid w:val="003D5D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708</Words>
  <Characters>4510</Characters>
  <Application>Microsoft Office Word</Application>
  <DocSecurity>0</DocSecurity>
  <Lines>180</Lines>
  <Paragraphs>93</Paragraphs>
  <ScaleCrop>false</ScaleCrop>
  <Company>Author-it Software Corporation Ltd.</Company>
  <LinksUpToDate>false</LinksUpToDate>
  <CharactersWithSpaces>5125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UEERE0082 Maintain renewable energy (RE)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2024-11-29T00:52:00Z</dcterms:created>
  <dcterms:modified xsi:type="dcterms:W3CDTF">2024-11-29T00:52:00Z</dcterms:modified>
</cp:coreProperties>
</file>