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74E" w:rsidP="008F774E">
      <w:pPr>
        <w:pStyle w:val="Title"/>
      </w:pPr>
      <w:r>
        <w:fldChar w:fldCharType="begin"/>
      </w:r>
      <w:r>
        <w:instrText xml:space="preserve"> TITLE   \* MERGEFORMAT </w:instrText>
      </w:r>
      <w:r>
        <w:fldChar w:fldCharType="separate"/>
      </w:r>
      <w:r>
        <w:t>Assessment Requirements for UEERE0082 Maintain renewable energy (RE) apparatus</w:t>
      </w:r>
      <w:r>
        <w:fldChar w:fldCharType="end"/>
      </w:r>
    </w:p>
    <w:p w:rsidR="008F774E" w:rsidP="008F774E">
      <w:pPr>
        <w:pStyle w:val="Version"/>
        <w:sectPr w:rsidSect="000A2A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A65" w:rsidP="000A2A65">
      <w:pPr>
        <w:pStyle w:val="SuperHeading"/>
      </w:pPr>
      <w:r w:rsidRPr="000A2A65">
        <w:t>Assessment Requirements for UEERE0082 Maintain renewable energy (RE) apparatus</w:t>
      </w:r>
    </w:p>
    <w:p w:rsidR="00000000" w:rsidRPr="000A2A65" w:rsidP="000A2A65">
      <w:pPr>
        <w:pStyle w:val="Heading1"/>
      </w:pPr>
      <w:bookmarkStart w:id="1" w:name="O_1268438"/>
      <w:bookmarkEnd w:id="1"/>
      <w:r w:rsidRPr="000A2A65">
        <w:t>Modification History</w:t>
      </w:r>
    </w:p>
    <w:tbl>
      <w:tblPr>
        <w:tblW w:w="9497" w:type="dxa"/>
        <w:tblLayout w:type="fixed"/>
        <w:tblCellMar>
          <w:left w:w="62" w:type="dxa"/>
          <w:right w:w="62" w:type="dxa"/>
        </w:tblCellMar>
        <w:tblLook w:val="0000"/>
      </w:tblPr>
      <w:tblGrid>
        <w:gridCol w:w="9497"/>
      </w:tblGrid>
      <w:tr w:rsidTr="000A2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65" w:rsidP="000A2A65">
            <w:pPr>
              <w:pStyle w:val="BodyText"/>
            </w:pPr>
            <w:r w:rsidRPr="000A2A65">
              <w:t>Release 1. This is the first release of this unit of competency in the UEE Electrotechnology Training Package.</w:t>
            </w:r>
          </w:p>
        </w:tc>
      </w:tr>
    </w:tbl>
    <w:p w:rsidR="00000000" w:rsidRPr="000A2A65" w:rsidP="000A2A65">
      <w:pPr>
        <w:pStyle w:val="NoPaddingFontSize1"/>
      </w:pPr>
    </w:p>
    <w:p w:rsidR="00000000" w:rsidRPr="000A2A65" w:rsidP="000A2A65">
      <w:pPr>
        <w:pStyle w:val="AllowPageBreak"/>
      </w:pPr>
    </w:p>
    <w:p w:rsidR="00000000" w:rsidRPr="000A2A65" w:rsidP="000A2A65">
      <w:pPr>
        <w:pStyle w:val="Heading1"/>
      </w:pPr>
      <w:bookmarkStart w:id="2" w:name="O_1268439"/>
      <w:bookmarkEnd w:id="2"/>
      <w:r w:rsidRPr="000A2A65">
        <w:t>Performance Evidence</w:t>
      </w:r>
    </w:p>
    <w:tbl>
      <w:tblPr>
        <w:tblW w:w="9497" w:type="dxa"/>
        <w:tblLayout w:type="fixed"/>
        <w:tblCellMar>
          <w:left w:w="62" w:type="dxa"/>
          <w:right w:w="62" w:type="dxa"/>
        </w:tblCellMar>
        <w:tblLook w:val="0000"/>
      </w:tblPr>
      <w:tblGrid>
        <w:gridCol w:w="9497"/>
      </w:tblGrid>
      <w:tr w:rsidTr="000A2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2A65">
            <w:pPr>
              <w:pStyle w:val="BodyText"/>
              <w:rPr>
                <w:lang w:val="en-NZ"/>
              </w:rPr>
            </w:pPr>
            <w:r w:rsidRPr="000A2A65">
              <w:t>Evidence required to demonstrate competence in this unit must be relevant to and satisfy all of the requirements of the elements, performance criteria and range of conditions on at least two occasions and include:</w:t>
            </w:r>
          </w:p>
        </w:tc>
      </w:tr>
      <w:tr w:rsidTr="000A2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65" w:rsidP="000A2A65">
            <w:pPr>
              <w:pStyle w:val="ListBullet"/>
            </w:pPr>
            <w:r w:rsidRPr="000A2A65">
              <w:t>applying relevant w</w:t>
            </w:r>
            <w:r w:rsidRPr="000A2A65">
              <w:t>ork health and safety (WHS)/occupational health and safety (OHS) requirements, including the use of risk control measures</w:t>
            </w:r>
          </w:p>
          <w:p w:rsidR="00000000" w:rsidRPr="000A2A65" w:rsidP="000A2A65">
            <w:pPr>
              <w:pStyle w:val="ListBullet"/>
            </w:pPr>
            <w:r w:rsidRPr="000A2A65">
              <w:t>completing visual inspection of system and identifying any hazards and/or anomalies</w:t>
            </w:r>
          </w:p>
          <w:p w:rsidR="00000000" w:rsidRPr="000A2A65" w:rsidP="000A2A65">
            <w:pPr>
              <w:pStyle w:val="ListBullet"/>
            </w:pPr>
            <w:r w:rsidRPr="000A2A65">
              <w:t>completing routine scheduled maintenance in accord</w:t>
            </w:r>
            <w:r w:rsidRPr="000A2A65">
              <w:t>ance with maintenance schedule, technical standards and safety requirements</w:t>
            </w:r>
          </w:p>
          <w:p w:rsidR="00000000" w:rsidRPr="000A2A65" w:rsidP="000A2A65">
            <w:pPr>
              <w:pStyle w:val="ListBullet"/>
            </w:pPr>
            <w:r w:rsidRPr="000A2A65">
              <w:t>monitoring and documenting performance of system</w:t>
            </w:r>
          </w:p>
          <w:p w:rsidR="00000000" w:rsidRPr="000A2A65" w:rsidP="000A2A65">
            <w:pPr>
              <w:pStyle w:val="ListBullet"/>
            </w:pPr>
            <w:r w:rsidRPr="000A2A65">
              <w:t>completing physical repairs</w:t>
            </w:r>
          </w:p>
          <w:p w:rsidR="00000000" w:rsidRPr="000A2A65" w:rsidP="000A2A65">
            <w:pPr>
              <w:pStyle w:val="ListBullet"/>
            </w:pPr>
            <w:r w:rsidRPr="000A2A65">
              <w:t>completing required documentation.</w:t>
            </w:r>
          </w:p>
        </w:tc>
      </w:tr>
    </w:tbl>
    <w:p w:rsidR="00000000" w:rsidRPr="000A2A65" w:rsidP="000A2A65">
      <w:pPr>
        <w:pStyle w:val="NoPaddingFontSize1"/>
      </w:pPr>
    </w:p>
    <w:p w:rsidR="00000000" w:rsidRPr="000A2A65" w:rsidP="000A2A65">
      <w:pPr>
        <w:pStyle w:val="AllowPageBreak"/>
      </w:pPr>
    </w:p>
    <w:p w:rsidR="00000000" w:rsidRPr="000A2A65" w:rsidP="000A2A65">
      <w:pPr>
        <w:pStyle w:val="Heading1"/>
      </w:pPr>
      <w:bookmarkStart w:id="3" w:name="O_1268440"/>
      <w:bookmarkEnd w:id="3"/>
      <w:r w:rsidRPr="000A2A65">
        <w:t>Knowledge Evidence</w:t>
      </w:r>
    </w:p>
    <w:tbl>
      <w:tblPr>
        <w:tblW w:w="9497" w:type="dxa"/>
        <w:tblLayout w:type="fixed"/>
        <w:tblCellMar>
          <w:left w:w="62" w:type="dxa"/>
          <w:right w:w="62" w:type="dxa"/>
        </w:tblCellMar>
        <w:tblLook w:val="0000"/>
      </w:tblPr>
      <w:tblGrid>
        <w:gridCol w:w="9497"/>
      </w:tblGrid>
      <w:tr w:rsidTr="000A2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2A65">
            <w:pPr>
              <w:pStyle w:val="BodyText"/>
              <w:rPr>
                <w:lang w:val="en-NZ"/>
              </w:rPr>
            </w:pPr>
            <w:r w:rsidRPr="000A2A65">
              <w:t>Evidence required to demonstrate competence in this unit must be relevant to and satisfy all of the requirements of the elements, performance criteria and range of conditions and include knowledge of:</w:t>
            </w:r>
          </w:p>
        </w:tc>
      </w:tr>
      <w:tr w:rsidTr="000A2A65">
        <w:tblPrEx>
          <w:tblW w:w="9497" w:type="dxa"/>
          <w:tblLayout w:type="fixed"/>
          <w:tblCellMar>
            <w:left w:w="62" w:type="dxa"/>
            <w:right w:w="62" w:type="dxa"/>
          </w:tblCellMar>
          <w:tblLook w:val="0000"/>
        </w:tblPrEx>
        <w:trPr>
          <w:trHeight w:val="7290"/>
        </w:trPr>
        <w:tc>
          <w:tcPr>
            <w:tcW w:w="9497" w:type="dxa"/>
            <w:tcBorders>
              <w:top w:val="nil"/>
              <w:left w:val="nil"/>
              <w:bottom w:val="nil"/>
              <w:right w:val="nil"/>
            </w:tcBorders>
            <w:tcMar>
              <w:top w:w="0" w:type="dxa"/>
              <w:left w:w="62" w:type="dxa"/>
              <w:bottom w:w="0" w:type="dxa"/>
              <w:right w:w="62" w:type="dxa"/>
            </w:tcMar>
          </w:tcPr>
          <w:p w:rsidR="00000000" w:rsidRPr="000A2A65" w:rsidP="000A2A65">
            <w:pPr>
              <w:pStyle w:val="ListBullet"/>
            </w:pPr>
            <w:r w:rsidRPr="000A2A65">
              <w:t>relevant WHS/OHS requirements</w:t>
            </w:r>
          </w:p>
          <w:p w:rsidR="00000000" w:rsidRPr="000A2A65" w:rsidP="000A2A65">
            <w:pPr>
              <w:pStyle w:val="ListBullet"/>
            </w:pPr>
            <w:r w:rsidRPr="000A2A65">
              <w:t>relevant workplace docu</w:t>
            </w:r>
            <w:r w:rsidRPr="000A2A65">
              <w:t>mentation, policies and procedures</w:t>
            </w:r>
          </w:p>
          <w:p w:rsidR="00000000" w:rsidRPr="000A2A65" w:rsidP="000A2A65">
            <w:pPr>
              <w:pStyle w:val="ListBullet"/>
            </w:pPr>
            <w:r w:rsidRPr="000A2A65">
              <w:t>relevant manufacturer specifications, technical standards and maintenance guidelines</w:t>
            </w:r>
          </w:p>
          <w:p w:rsidR="00000000" w:rsidRPr="000A2A65" w:rsidP="000A2A65">
            <w:pPr>
              <w:pStyle w:val="ListBullet"/>
            </w:pPr>
            <w:r w:rsidRPr="000A2A65">
              <w:t>relevant regulations including licencing requirements for electrical work</w:t>
            </w:r>
          </w:p>
          <w:p w:rsidR="00000000" w:rsidRPr="000A2A65" w:rsidP="000A2A65">
            <w:pPr>
              <w:pStyle w:val="ListBullet"/>
            </w:pPr>
            <w:r w:rsidRPr="000A2A65">
              <w:t xml:space="preserve">commonly used renewable energy generating and storage systems </w:t>
            </w:r>
            <w:r w:rsidRPr="000A2A65">
              <w:t>including different equipment types, layout and their componentry</w:t>
            </w:r>
          </w:p>
          <w:p w:rsidR="00000000" w:rsidRPr="000A2A65" w:rsidP="000A2A65">
            <w:pPr>
              <w:pStyle w:val="ListBullet"/>
            </w:pPr>
            <w:r w:rsidRPr="000A2A65">
              <w:t>maintenance procedures for:</w:t>
            </w:r>
          </w:p>
          <w:p w:rsidR="00000000" w:rsidRPr="000A2A65" w:rsidP="000A2A65">
            <w:pPr>
              <w:pStyle w:val="ListBullet2"/>
            </w:pPr>
            <w:r w:rsidRPr="000A2A65">
              <w:t>PV arrays</w:t>
            </w:r>
          </w:p>
          <w:p w:rsidR="00000000" w:rsidRPr="000A2A65" w:rsidP="000A2A65">
            <w:pPr>
              <w:pStyle w:val="ListBullet2"/>
            </w:pPr>
            <w:r w:rsidRPr="000A2A65">
              <w:t>batteries</w:t>
            </w:r>
          </w:p>
          <w:p w:rsidR="00000000" w:rsidRPr="000A2A65" w:rsidP="000A2A65">
            <w:pPr>
              <w:pStyle w:val="ListBullet2"/>
            </w:pPr>
            <w:r w:rsidRPr="000A2A65">
              <w:t>generators</w:t>
            </w:r>
          </w:p>
          <w:p w:rsidR="00000000" w:rsidRPr="000A2A65" w:rsidP="000A2A65">
            <w:pPr>
              <w:pStyle w:val="ListBullet2"/>
            </w:pPr>
            <w:r w:rsidRPr="000A2A65">
              <w:t>Power Conversion Equipment (PCEs)</w:t>
            </w:r>
          </w:p>
          <w:p w:rsidR="00000000" w:rsidRPr="000A2A65" w:rsidP="000A2A65">
            <w:pPr>
              <w:pStyle w:val="ListBullet"/>
            </w:pPr>
            <w:r w:rsidRPr="000A2A65">
              <w:t>maintenance processes including:</w:t>
            </w:r>
          </w:p>
          <w:p w:rsidR="00000000" w:rsidRPr="000A2A65" w:rsidP="000A2A65">
            <w:pPr>
              <w:pStyle w:val="ListBullet2"/>
            </w:pPr>
            <w:r w:rsidRPr="000A2A65">
              <w:t>maintenance terminology</w:t>
            </w:r>
          </w:p>
          <w:p w:rsidR="00000000" w:rsidRPr="000A2A65" w:rsidP="000A2A65">
            <w:pPr>
              <w:pStyle w:val="ListBullet2"/>
            </w:pPr>
            <w:r w:rsidRPr="000A2A65">
              <w:t>maintenance function and role of maintenance department</w:t>
            </w:r>
          </w:p>
          <w:p w:rsidR="00000000" w:rsidRPr="000A2A65" w:rsidP="000A2A65">
            <w:pPr>
              <w:pStyle w:val="ListBullet2"/>
            </w:pPr>
            <w:r w:rsidRPr="000A2A65">
              <w:t>system maintenance including:</w:t>
            </w:r>
          </w:p>
          <w:p w:rsidR="00000000" w:rsidRPr="000A2A65" w:rsidP="000A2A65">
            <w:pPr>
              <w:pStyle w:val="ListBullet3"/>
            </w:pPr>
            <w:r w:rsidRPr="000A2A65">
              <w:t>visual site and system inspection</w:t>
            </w:r>
          </w:p>
          <w:p w:rsidR="00000000" w:rsidRPr="000A2A65" w:rsidP="000A2A65">
            <w:pPr>
              <w:pStyle w:val="ListBullet3"/>
            </w:pPr>
            <w:r w:rsidRPr="000A2A65">
              <w:t>scheduled preventative maintenance</w:t>
            </w:r>
          </w:p>
          <w:p w:rsidR="00000000" w:rsidRPr="000A2A65" w:rsidP="000A2A65">
            <w:pPr>
              <w:pStyle w:val="ListBullet3"/>
            </w:pPr>
            <w:r w:rsidRPr="000A2A65">
              <w:t>predictive maintenance</w:t>
            </w:r>
          </w:p>
          <w:p w:rsidR="00000000" w:rsidRPr="000A2A65" w:rsidP="000A2A65">
            <w:pPr>
              <w:pStyle w:val="ListBullet3"/>
            </w:pPr>
            <w:r w:rsidRPr="000A2A65">
              <w:t>corrective maintenance</w:t>
            </w:r>
          </w:p>
          <w:p w:rsidR="00000000" w:rsidRPr="000A2A65" w:rsidP="000A2A65">
            <w:pPr>
              <w:pStyle w:val="ListBullet2"/>
            </w:pPr>
            <w:r w:rsidRPr="000A2A65">
              <w:t>correct isolation, shut down and re-energisation processes and procedures</w:t>
            </w:r>
          </w:p>
          <w:p w:rsidR="00000000" w:rsidRPr="000A2A65" w:rsidP="000A2A65">
            <w:pPr>
              <w:pStyle w:val="ListBullet2"/>
            </w:pPr>
            <w:r w:rsidRPr="000A2A65">
              <w:t>appropriate maintenance methods for system components using appropriate safety procedures</w:t>
            </w:r>
          </w:p>
          <w:p w:rsidR="00000000" w:rsidRPr="000A2A65" w:rsidP="000A2A65">
            <w:pPr>
              <w:pStyle w:val="ListBullet2"/>
            </w:pPr>
            <w:r w:rsidRPr="000A2A65">
              <w:t>maintenance data acquisition</w:t>
            </w:r>
          </w:p>
          <w:p w:rsidR="00000000" w:rsidRPr="000A2A65" w:rsidP="000A2A65">
            <w:pPr>
              <w:pStyle w:val="ListBullet2"/>
            </w:pPr>
            <w:r w:rsidRPr="000A2A65">
              <w:t>procedures for maintenance quality checks.</w:t>
            </w:r>
          </w:p>
        </w:tc>
      </w:tr>
    </w:tbl>
    <w:p w:rsidR="00000000" w:rsidRPr="000A2A65" w:rsidP="000A2A65">
      <w:pPr>
        <w:pStyle w:val="NoPaddingFontSize1"/>
      </w:pPr>
    </w:p>
    <w:p w:rsidR="00000000" w:rsidRPr="000A2A65" w:rsidP="000A2A65">
      <w:pPr>
        <w:pStyle w:val="AllowPageBreak"/>
      </w:pPr>
    </w:p>
    <w:p w:rsidR="00000000" w:rsidRPr="000A2A65" w:rsidP="000A2A65">
      <w:pPr>
        <w:pStyle w:val="Heading1"/>
      </w:pPr>
      <w:bookmarkStart w:id="4" w:name="O_1268441"/>
      <w:bookmarkEnd w:id="4"/>
      <w:r w:rsidRPr="000A2A65">
        <w:t>Assessment Conditions</w:t>
      </w:r>
    </w:p>
    <w:tbl>
      <w:tblPr>
        <w:tblW w:w="9497" w:type="dxa"/>
        <w:tblLayout w:type="fixed"/>
        <w:tblCellMar>
          <w:left w:w="62" w:type="dxa"/>
          <w:right w:w="62" w:type="dxa"/>
        </w:tblCellMar>
        <w:tblLook w:val="0000"/>
      </w:tblPr>
      <w:tblGrid>
        <w:gridCol w:w="9497"/>
      </w:tblGrid>
      <w:tr w:rsidTr="000A2A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A65" w:rsidP="000A2A65">
            <w:pPr>
              <w:pStyle w:val="BodyText"/>
            </w:pPr>
            <w:r w:rsidRPr="000A2A65">
              <w:t>Assessors must hold credentials specified within the Standards for Registered Training Organisations current at the time of assessment.</w:t>
            </w:r>
          </w:p>
          <w:p w:rsidR="00000000" w:rsidRPr="000A2A65" w:rsidP="000A2A65">
            <w:pPr>
              <w:pStyle w:val="BodyText"/>
            </w:pPr>
            <w:r w:rsidRPr="000A2A65">
              <w:t>Assessment must satisfy the Principles of Assessment and Rules of Evidence and all regula</w:t>
            </w:r>
            <w:r w:rsidRPr="000A2A65">
              <w:t>tory requirements included within the Standards for Registered Training Organisations current at the time of assessment.</w:t>
            </w:r>
          </w:p>
          <w:p w:rsidR="00000000" w:rsidRPr="000A2A65" w:rsidP="000A2A65">
            <w:pPr>
              <w:pStyle w:val="BodyText"/>
            </w:pPr>
            <w:r w:rsidRPr="000A2A65">
              <w:t>Assessment must occur in suitable workplace operational situations where it is appropriate to do so; where this is not appropriate, ass</w:t>
            </w:r>
            <w:r w:rsidRPr="000A2A65">
              <w:t>essment must occur in suitable simulated workplace operational situations that replicate workplace conditions.</w:t>
            </w:r>
          </w:p>
          <w:p w:rsidR="00000000" w:rsidRPr="000A2A65" w:rsidP="000A2A65">
            <w:pPr>
              <w:pStyle w:val="BodyText"/>
            </w:pPr>
            <w:r w:rsidRPr="000A2A65">
              <w:t>Assessment processes and techniques must be appropriate to the language, literacy and numeracy requirements of the work being performed and the n</w:t>
            </w:r>
            <w:r w:rsidRPr="000A2A65">
              <w:t>eeds of the candidate.</w:t>
            </w:r>
          </w:p>
          <w:p w:rsidR="00000000" w:rsidRPr="000A2A65" w:rsidP="000A2A65">
            <w:pPr>
              <w:pStyle w:val="BodyText"/>
            </w:pPr>
            <w:r w:rsidRPr="000A2A65">
              <w:t>Resources for assessment must include access to:</w:t>
            </w:r>
          </w:p>
          <w:p w:rsidR="00000000" w:rsidRPr="000A2A65" w:rsidP="000A2A65">
            <w:pPr>
              <w:pStyle w:val="ListBullet"/>
            </w:pPr>
            <w:r w:rsidRPr="000A2A65">
              <w:t>a range of relevant exercises, case studies and/or other simulations</w:t>
            </w:r>
          </w:p>
          <w:p w:rsidR="00000000" w:rsidRPr="000A2A65" w:rsidP="000A2A65">
            <w:pPr>
              <w:pStyle w:val="ListBullet"/>
            </w:pPr>
            <w:r w:rsidRPr="000A2A65">
              <w:t>relevant and appropriate materials, tools, equipment and personal protective equipment (PPE) currently used in ind</w:t>
            </w:r>
            <w:r w:rsidRPr="000A2A65">
              <w:t>ustry</w:t>
            </w:r>
          </w:p>
          <w:p w:rsidR="00000000" w:rsidRPr="000A2A65" w:rsidP="000A2A65">
            <w:pPr>
              <w:pStyle w:val="ListBullet"/>
            </w:pPr>
            <w:r w:rsidRPr="000A2A65">
              <w:t>resources that reflect current industry practices in relation to carrying out repairs to RE apparatus by replacement of components</w:t>
            </w:r>
          </w:p>
          <w:p w:rsidR="00000000" w:rsidRPr="000A2A65" w:rsidP="000A2A65">
            <w:pPr>
              <w:pStyle w:val="ListBullet"/>
            </w:pPr>
            <w:r w:rsidRPr="000A2A65">
              <w:t xml:space="preserve">applicable documentation, including workplace procedures, equipment specifications, regulations, codes of practice and </w:t>
            </w:r>
            <w:r w:rsidRPr="000A2A65">
              <w:t>operation manuals.</w:t>
            </w:r>
          </w:p>
        </w:tc>
      </w:tr>
    </w:tbl>
    <w:p w:rsidR="00000000" w:rsidRPr="000A2A65" w:rsidP="000A2A65">
      <w:pPr>
        <w:pStyle w:val="NoPaddingFontSize1"/>
      </w:pPr>
    </w:p>
    <w:p w:rsidR="00000000" w:rsidRPr="000A2A65" w:rsidP="000A2A65">
      <w:pPr>
        <w:pStyle w:val="AllowPageBreak"/>
      </w:pPr>
    </w:p>
    <w:p w:rsidR="00000000" w:rsidRPr="000A2A65" w:rsidP="000A2A65">
      <w:pPr>
        <w:pStyle w:val="Heading1"/>
      </w:pPr>
      <w:bookmarkStart w:id="5" w:name="O_1268444"/>
      <w:bookmarkEnd w:id="5"/>
      <w:r w:rsidRPr="000A2A65">
        <w:t>Links</w:t>
      </w:r>
    </w:p>
    <w:p w:rsidR="00000000" w:rsidRPr="000A2A65" w:rsidP="008F774E">
      <w:pPr>
        <w:pStyle w:val="BodyText"/>
      </w:pPr>
      <w:r w:rsidRPr="000A2A6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C0A89">
        <w:rPr>
          <w:rStyle w:val="Hyperlink"/>
        </w:rPr>
        <w:t>https://vetnet.gov.au/Pages/TrainingDocs.aspx?q=b8a8f136-5421-4ce1-92e0-2b50341431b6</w:t>
      </w:r>
      <w:r>
        <w:fldChar w:fldCharType="end"/>
      </w:r>
    </w:p>
    <w:p w:rsidR="00000000" w:rsidRPr="000A2A65" w:rsidP="000A2A65"/>
    <w:sectPr w:rsidSect="000A2A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5" w:rsidRPr="008F774E" w:rsidP="008F7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4E" w:rsidP="000A2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774E" w:rsidP="000A2A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774E" w:rsidP="000A2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A65" w:rsidRPr="008F774E" w:rsidP="008F7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4E" w:rsidRPr="002D2AF8" w:rsidP="000A2A65">
    <w:pPr>
      <w:pStyle w:val="Header"/>
      <w:framePr w:wrap="around"/>
    </w:pPr>
    <w:r>
      <w:fldChar w:fldCharType="begin"/>
    </w:r>
    <w:r>
      <w:instrText xml:space="preserve"> TITLE   \* MERGEFORMAT </w:instrText>
    </w:r>
    <w:r>
      <w:fldChar w:fldCharType="separate"/>
    </w:r>
    <w:r>
      <w:t>Assessment Requirements for UEERE0082 Maintain renewable energy (RE)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F774E" w:rsidP="000A2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32B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6F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61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A65"/>
    <w:pPr>
      <w:spacing w:before="360" w:after="60"/>
      <w:outlineLvl w:val="0"/>
    </w:pPr>
    <w:rPr>
      <w:sz w:val="32"/>
    </w:rPr>
  </w:style>
  <w:style w:type="paragraph" w:styleId="Heading2">
    <w:name w:val="heading 2"/>
    <w:basedOn w:val="HeadingBase"/>
    <w:next w:val="BodyText"/>
    <w:link w:val="Heading2Char"/>
    <w:qFormat/>
    <w:rsid w:val="000A2A65"/>
    <w:pPr>
      <w:keepLines/>
      <w:spacing w:before="240" w:after="120"/>
      <w:outlineLvl w:val="1"/>
    </w:pPr>
    <w:rPr>
      <w:sz w:val="28"/>
      <w:szCs w:val="40"/>
    </w:rPr>
  </w:style>
  <w:style w:type="paragraph" w:styleId="Heading3">
    <w:name w:val="heading 3"/>
    <w:basedOn w:val="HeadingBase"/>
    <w:next w:val="BodyText"/>
    <w:link w:val="Heading3Char"/>
    <w:qFormat/>
    <w:rsid w:val="000A2A65"/>
    <w:pPr>
      <w:spacing w:before="180" w:after="120"/>
      <w:outlineLvl w:val="2"/>
    </w:pPr>
    <w:rPr>
      <w:spacing w:val="-10"/>
      <w:kern w:val="32"/>
    </w:rPr>
  </w:style>
  <w:style w:type="paragraph" w:styleId="Heading4">
    <w:name w:val="heading 4"/>
    <w:basedOn w:val="HeadingBase"/>
    <w:next w:val="BodyText"/>
    <w:link w:val="Heading4Char"/>
    <w:qFormat/>
    <w:rsid w:val="000A2A65"/>
    <w:pPr>
      <w:spacing w:before="160" w:after="120"/>
      <w:outlineLvl w:val="3"/>
    </w:pPr>
    <w:rPr>
      <w:sz w:val="22"/>
    </w:rPr>
  </w:style>
  <w:style w:type="paragraph" w:styleId="Heading5">
    <w:name w:val="heading 5"/>
    <w:basedOn w:val="HeadingBase"/>
    <w:next w:val="Normal"/>
    <w:link w:val="Heading5Char"/>
    <w:qFormat/>
    <w:rsid w:val="000A2A65"/>
    <w:pPr>
      <w:spacing w:before="80"/>
      <w:outlineLvl w:val="4"/>
    </w:pPr>
    <w:rPr>
      <w:color w:val="918585"/>
      <w:sz w:val="20"/>
    </w:rPr>
  </w:style>
  <w:style w:type="paragraph" w:styleId="Heading6">
    <w:name w:val="heading 6"/>
    <w:basedOn w:val="HeadingBase"/>
    <w:next w:val="Normal"/>
    <w:link w:val="Heading6Char"/>
    <w:qFormat/>
    <w:rsid w:val="000A2A65"/>
    <w:pPr>
      <w:spacing w:before="60"/>
      <w:outlineLvl w:val="5"/>
    </w:pPr>
    <w:rPr>
      <w:color w:val="918585"/>
      <w:sz w:val="20"/>
    </w:rPr>
  </w:style>
  <w:style w:type="paragraph" w:styleId="Heading7">
    <w:name w:val="heading 7"/>
    <w:basedOn w:val="Normal"/>
    <w:next w:val="Normal"/>
    <w:link w:val="Heading7Char"/>
    <w:qFormat/>
    <w:rsid w:val="000A2A65"/>
    <w:pPr>
      <w:ind w:left="720"/>
      <w:outlineLvl w:val="6"/>
    </w:pPr>
    <w:rPr>
      <w:i/>
    </w:rPr>
  </w:style>
  <w:style w:type="paragraph" w:styleId="Heading8">
    <w:name w:val="heading 8"/>
    <w:basedOn w:val="Normal"/>
    <w:next w:val="Normal"/>
    <w:link w:val="Heading8Char"/>
    <w:qFormat/>
    <w:rsid w:val="000A2A65"/>
    <w:pPr>
      <w:ind w:left="720"/>
      <w:outlineLvl w:val="7"/>
    </w:pPr>
    <w:rPr>
      <w:i/>
    </w:rPr>
  </w:style>
  <w:style w:type="paragraph" w:styleId="Heading9">
    <w:name w:val="heading 9"/>
    <w:basedOn w:val="Normal"/>
    <w:next w:val="Normal"/>
    <w:link w:val="Heading9Char"/>
    <w:qFormat/>
    <w:rsid w:val="000A2A65"/>
    <w:pPr>
      <w:ind w:left="720"/>
      <w:outlineLvl w:val="8"/>
    </w:pPr>
    <w:rPr>
      <w:i/>
    </w:rPr>
  </w:style>
  <w:style w:type="character" w:default="1" w:styleId="DefaultParagraphFont">
    <w:name w:val="Default Paragraph Font"/>
    <w:uiPriority w:val="1"/>
    <w:unhideWhenUsed/>
    <w:rsid w:val="000A2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A65"/>
  </w:style>
  <w:style w:type="character" w:customStyle="1" w:styleId="Heading1Char">
    <w:name w:val="Heading 1 Char"/>
    <w:basedOn w:val="DefaultParagraphFont"/>
    <w:link w:val="Heading1"/>
    <w:rsid w:val="000A2A65"/>
    <w:rPr>
      <w:rFonts w:ascii="Times New Roman" w:eastAsia="Times New Roman" w:hAnsi="Times New Roman" w:cs="Times New Roman"/>
      <w:b/>
      <w:sz w:val="32"/>
      <w:szCs w:val="20"/>
      <w:lang w:eastAsia="en-US"/>
    </w:rPr>
  </w:style>
  <w:style w:type="paragraph" w:styleId="BodyText">
    <w:name w:val="Body Text"/>
    <w:basedOn w:val="Normal"/>
    <w:link w:val="BodyTextChar"/>
    <w:rsid w:val="000A2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A65"/>
    <w:rPr>
      <w:rFonts w:ascii="Times New Roman" w:eastAsia="Times New Roman" w:hAnsi="Times New Roman" w:cs="Times New Roman"/>
      <w:sz w:val="24"/>
      <w:lang w:eastAsia="en-US"/>
    </w:rPr>
  </w:style>
  <w:style w:type="paragraph" w:styleId="ListBullet">
    <w:name w:val="List Bullet"/>
    <w:basedOn w:val="List"/>
    <w:rsid w:val="000A2A65"/>
    <w:pPr>
      <w:numPr>
        <w:numId w:val="13"/>
      </w:numPr>
      <w:tabs>
        <w:tab w:val="clear" w:pos="340"/>
      </w:tabs>
      <w:spacing w:before="40" w:after="40"/>
    </w:pPr>
  </w:style>
  <w:style w:type="paragraph" w:styleId="ListBullet2">
    <w:name w:val="List Bullet 2"/>
    <w:basedOn w:val="List2"/>
    <w:rsid w:val="000A2A65"/>
    <w:pPr>
      <w:numPr>
        <w:numId w:val="14"/>
      </w:numPr>
      <w:tabs>
        <w:tab w:val="clear" w:pos="680"/>
      </w:tabs>
    </w:pPr>
  </w:style>
  <w:style w:type="paragraph" w:customStyle="1" w:styleId="SuperHeading">
    <w:name w:val="SuperHeading"/>
    <w:basedOn w:val="Normal"/>
    <w:rsid w:val="000A2A65"/>
    <w:pPr>
      <w:spacing w:before="240" w:after="120"/>
      <w:outlineLvl w:val="0"/>
    </w:pPr>
    <w:rPr>
      <w:rFonts w:ascii="Times New Roman" w:hAnsi="Times New Roman"/>
      <w:b/>
      <w:sz w:val="32"/>
    </w:rPr>
  </w:style>
  <w:style w:type="paragraph" w:customStyle="1" w:styleId="AllowPageBreak">
    <w:name w:val="AllowPageBreak"/>
    <w:rsid w:val="000A2A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2A6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2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A65"/>
    <w:rPr>
      <w:rFonts w:ascii="Courier New" w:eastAsia="Times New Roman" w:hAnsi="Courier New" w:cs="Times New Roman"/>
      <w:i/>
      <w:szCs w:val="20"/>
      <w:lang w:eastAsia="en-US"/>
    </w:rPr>
  </w:style>
  <w:style w:type="paragraph" w:customStyle="1" w:styleId="HeadingBase">
    <w:name w:val="Heading Base"/>
    <w:rsid w:val="000A2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A65"/>
    <w:pPr>
      <w:tabs>
        <w:tab w:val="right" w:leader="dot" w:pos="9072"/>
      </w:tabs>
      <w:ind w:left="567"/>
    </w:pPr>
    <w:rPr>
      <w:szCs w:val="22"/>
    </w:rPr>
  </w:style>
  <w:style w:type="paragraph" w:customStyle="1" w:styleId="TOCBase">
    <w:name w:val="TOC Base"/>
    <w:rsid w:val="000A2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A65"/>
    <w:pPr>
      <w:tabs>
        <w:tab w:val="right" w:leader="dot" w:pos="9072"/>
      </w:tabs>
      <w:spacing w:before="40" w:after="40"/>
      <w:ind w:left="284"/>
    </w:pPr>
    <w:rPr>
      <w:rFonts w:ascii="Times New Roman" w:hAnsi="Times New Roman"/>
    </w:rPr>
  </w:style>
  <w:style w:type="paragraph" w:styleId="TOC1">
    <w:name w:val="toc 1"/>
    <w:basedOn w:val="TOCBase"/>
    <w:next w:val="Normal"/>
    <w:rsid w:val="000A2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A65"/>
    <w:rPr>
      <w:rFonts w:ascii="Times New Roman" w:eastAsia="Times New Roman" w:hAnsi="Times New Roman" w:cs="Times New Roman"/>
      <w:sz w:val="16"/>
      <w:lang w:eastAsia="en-US"/>
    </w:rPr>
  </w:style>
  <w:style w:type="paragraph" w:styleId="Title">
    <w:name w:val="Title"/>
    <w:basedOn w:val="HeadingBase"/>
    <w:link w:val="TitleChar"/>
    <w:qFormat/>
    <w:rsid w:val="000A2A65"/>
    <w:pPr>
      <w:spacing w:before="5040"/>
      <w:jc w:val="center"/>
    </w:pPr>
    <w:rPr>
      <w:sz w:val="48"/>
      <w:szCs w:val="72"/>
      <w:lang w:val="en-US"/>
    </w:rPr>
  </w:style>
  <w:style w:type="character" w:customStyle="1" w:styleId="TitleChar">
    <w:name w:val="Title Char"/>
    <w:basedOn w:val="DefaultParagraphFont"/>
    <w:link w:val="Title"/>
    <w:rsid w:val="000A2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A65"/>
    <w:pPr>
      <w:tabs>
        <w:tab w:val="left" w:pos="3600"/>
        <w:tab w:val="left" w:pos="3958"/>
      </w:tabs>
    </w:pPr>
  </w:style>
  <w:style w:type="paragraph" w:styleId="List">
    <w:name w:val="List"/>
    <w:basedOn w:val="BodyText"/>
    <w:next w:val="BodyText"/>
    <w:rsid w:val="000A2A65"/>
    <w:pPr>
      <w:tabs>
        <w:tab w:val="left" w:pos="340"/>
      </w:tabs>
      <w:spacing w:before="60" w:after="60"/>
      <w:ind w:left="340" w:hanging="340"/>
    </w:pPr>
  </w:style>
  <w:style w:type="paragraph" w:customStyle="1" w:styleId="Note">
    <w:name w:val="Note"/>
    <w:basedOn w:val="BodyText"/>
    <w:rsid w:val="000A2A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A65"/>
    <w:rPr>
      <w:b/>
      <w:spacing w:val="0"/>
    </w:rPr>
  </w:style>
  <w:style w:type="paragraph" w:customStyle="1" w:styleId="SuperTitle">
    <w:name w:val="SuperTitle"/>
    <w:basedOn w:val="Title"/>
    <w:rsid w:val="000A2A65"/>
    <w:pPr>
      <w:framePr w:wrap="auto" w:hAnchor="text" w:y="6049"/>
    </w:pPr>
    <w:rPr>
      <w:color w:val="000000"/>
      <w:sz w:val="40"/>
    </w:rPr>
  </w:style>
  <w:style w:type="paragraph" w:customStyle="1" w:styleId="TOCTitle">
    <w:name w:val="TOCTitle"/>
    <w:basedOn w:val="Heading1"/>
    <w:rsid w:val="000A2A65"/>
    <w:pPr>
      <w:spacing w:after="240"/>
      <w:jc w:val="center"/>
      <w:outlineLvl w:val="9"/>
    </w:pPr>
    <w:rPr>
      <w:caps/>
    </w:rPr>
  </w:style>
  <w:style w:type="paragraph" w:customStyle="1" w:styleId="Version">
    <w:name w:val="Version"/>
    <w:rsid w:val="000A2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A65"/>
    <w:pPr>
      <w:keepNext w:val="0"/>
      <w:tabs>
        <w:tab w:val="right" w:pos="4176"/>
      </w:tabs>
      <w:ind w:left="198" w:hanging="198"/>
    </w:pPr>
    <w:rPr>
      <w:rFonts w:ascii="Garamond" w:hAnsi="Garamond"/>
    </w:rPr>
  </w:style>
  <w:style w:type="paragraph" w:styleId="IndexHeading">
    <w:name w:val="index heading"/>
    <w:basedOn w:val="Normal"/>
    <w:next w:val="Index1"/>
    <w:semiHidden/>
    <w:rsid w:val="000A2A65"/>
    <w:pPr>
      <w:spacing w:before="120" w:after="120"/>
    </w:pPr>
    <w:rPr>
      <w:rFonts w:ascii="Arial" w:hAnsi="Arial"/>
      <w:b/>
      <w:color w:val="918585"/>
      <w:sz w:val="24"/>
    </w:rPr>
  </w:style>
  <w:style w:type="paragraph" w:styleId="Header">
    <w:name w:val="header"/>
    <w:basedOn w:val="Normal"/>
    <w:link w:val="HeaderChar"/>
    <w:rsid w:val="000A2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A65"/>
    <w:rPr>
      <w:rFonts w:ascii="Times New Roman" w:eastAsia="Times New Roman" w:hAnsi="Times New Roman" w:cs="Times New Roman"/>
      <w:sz w:val="16"/>
      <w:szCs w:val="20"/>
      <w:lang w:val="en-GB" w:eastAsia="en-US"/>
    </w:rPr>
  </w:style>
  <w:style w:type="paragraph" w:customStyle="1" w:styleId="Chapter">
    <w:name w:val="Chapter"/>
    <w:basedOn w:val="Normal"/>
    <w:rsid w:val="000A2A65"/>
    <w:pPr>
      <w:spacing w:before="240"/>
    </w:pPr>
    <w:rPr>
      <w:rFonts w:ascii="Times New Roman" w:hAnsi="Times New Roman"/>
      <w:smallCaps/>
      <w:spacing w:val="80"/>
      <w:sz w:val="28"/>
    </w:rPr>
  </w:style>
  <w:style w:type="paragraph" w:customStyle="1" w:styleId="InChapter">
    <w:name w:val="InChapter"/>
    <w:basedOn w:val="Heading3"/>
    <w:rsid w:val="000A2A65"/>
    <w:pPr>
      <w:spacing w:after="240"/>
      <w:outlineLvl w:val="9"/>
    </w:pPr>
    <w:rPr>
      <w:noProof/>
    </w:rPr>
  </w:style>
  <w:style w:type="paragraph" w:styleId="Index2">
    <w:name w:val="index 2"/>
    <w:basedOn w:val="Normal"/>
    <w:next w:val="Normal"/>
    <w:semiHidden/>
    <w:rsid w:val="000A2A65"/>
    <w:pPr>
      <w:tabs>
        <w:tab w:val="right" w:pos="4176"/>
      </w:tabs>
      <w:ind w:left="568" w:hanging="284"/>
    </w:pPr>
    <w:rPr>
      <w:rFonts w:ascii="Garamond" w:hAnsi="Garamond"/>
    </w:rPr>
  </w:style>
  <w:style w:type="paragraph" w:customStyle="1" w:styleId="Byline">
    <w:name w:val="Byline"/>
    <w:rsid w:val="000A2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A65"/>
    <w:pPr>
      <w:tabs>
        <w:tab w:val="clear" w:pos="3600"/>
        <w:tab w:val="clear" w:pos="3958"/>
      </w:tabs>
      <w:jc w:val="right"/>
    </w:pPr>
  </w:style>
  <w:style w:type="character" w:styleId="Emphasis">
    <w:name w:val="Emphasis"/>
    <w:basedOn w:val="DefaultParagraphFont"/>
    <w:qFormat/>
    <w:rsid w:val="000A2A65"/>
    <w:rPr>
      <w:i/>
    </w:rPr>
  </w:style>
  <w:style w:type="paragraph" w:styleId="Caption">
    <w:name w:val="caption"/>
    <w:basedOn w:val="BodyText"/>
    <w:next w:val="Normal"/>
    <w:qFormat/>
    <w:rsid w:val="000A2A65"/>
    <w:pPr>
      <w:framePr w:w="2268" w:hSpace="181" w:vSpace="181" w:wrap="around" w:vAnchor="text" w:hAnchor="page" w:x="1135" w:y="285" w:anchorLock="1"/>
    </w:pPr>
    <w:rPr>
      <w:i/>
    </w:rPr>
  </w:style>
  <w:style w:type="paragraph" w:customStyle="1" w:styleId="MiniTOCTitle">
    <w:name w:val="MiniTOCTitle"/>
    <w:basedOn w:val="Heading4"/>
    <w:rsid w:val="000A2A65"/>
    <w:pPr>
      <w:spacing w:before="240"/>
      <w:outlineLvl w:val="9"/>
    </w:pPr>
    <w:rPr>
      <w:noProof/>
      <w:sz w:val="24"/>
    </w:rPr>
  </w:style>
  <w:style w:type="paragraph" w:customStyle="1" w:styleId="MiniTOCItem">
    <w:name w:val="MiniTOCItem"/>
    <w:basedOn w:val="ListBullet"/>
    <w:rsid w:val="000A2A65"/>
    <w:pPr>
      <w:numPr>
        <w:numId w:val="0"/>
      </w:numPr>
      <w:tabs>
        <w:tab w:val="right" w:leader="dot" w:pos="6521"/>
      </w:tabs>
      <w:spacing w:before="0" w:after="0"/>
    </w:pPr>
  </w:style>
  <w:style w:type="paragraph" w:customStyle="1" w:styleId="TOFTitle">
    <w:name w:val="TOFTitle"/>
    <w:basedOn w:val="TOCTitle"/>
    <w:rsid w:val="000A2A65"/>
  </w:style>
  <w:style w:type="paragraph" w:styleId="TableofFigures">
    <w:name w:val="table of figures"/>
    <w:basedOn w:val="Normal"/>
    <w:next w:val="Normal"/>
    <w:semiHidden/>
    <w:rsid w:val="000A2A65"/>
    <w:pPr>
      <w:tabs>
        <w:tab w:val="right" w:leader="dot" w:pos="9072"/>
      </w:tabs>
      <w:ind w:left="970" w:hanging="403"/>
    </w:pPr>
    <w:rPr>
      <w:rFonts w:ascii="Times New Roman" w:hAnsi="Times New Roman"/>
      <w:b/>
    </w:rPr>
  </w:style>
  <w:style w:type="paragraph" w:styleId="ListNumber">
    <w:name w:val="List Number"/>
    <w:basedOn w:val="List"/>
    <w:rsid w:val="000A2A65"/>
    <w:pPr>
      <w:numPr>
        <w:numId w:val="16"/>
      </w:numPr>
      <w:tabs>
        <w:tab w:val="clear" w:pos="340"/>
      </w:tabs>
    </w:pPr>
  </w:style>
  <w:style w:type="character" w:customStyle="1" w:styleId="WingdingSymbols">
    <w:name w:val="Wingding Symbols"/>
    <w:rsid w:val="000A2A65"/>
    <w:rPr>
      <w:rFonts w:ascii="Wingdings" w:hAnsi="Wingdings"/>
    </w:rPr>
  </w:style>
  <w:style w:type="paragraph" w:customStyle="1" w:styleId="TableHeading">
    <w:name w:val="Table Heading"/>
    <w:basedOn w:val="HeadingBase"/>
    <w:rsid w:val="000A2A65"/>
    <w:pPr>
      <w:keepLines/>
      <w:pBdr>
        <w:bottom w:val="single" w:sz="6" w:space="1" w:color="918585"/>
      </w:pBdr>
      <w:spacing w:before="240"/>
    </w:pPr>
  </w:style>
  <w:style w:type="character" w:customStyle="1" w:styleId="HotSpot">
    <w:name w:val="HotSpot"/>
    <w:rsid w:val="000A2A65"/>
    <w:rPr>
      <w:color w:val="0033CC"/>
      <w:u w:val="none"/>
    </w:rPr>
  </w:style>
  <w:style w:type="paragraph" w:customStyle="1" w:styleId="BodyTextRight">
    <w:name w:val="Body Text Right"/>
    <w:basedOn w:val="BodyText"/>
    <w:rsid w:val="000A2A65"/>
    <w:pPr>
      <w:spacing w:before="0" w:after="0"/>
      <w:jc w:val="right"/>
    </w:pPr>
  </w:style>
  <w:style w:type="paragraph" w:styleId="Index3">
    <w:name w:val="index 3"/>
    <w:basedOn w:val="ListNumber2"/>
    <w:next w:val="Normal"/>
    <w:semiHidden/>
    <w:rsid w:val="000A2A65"/>
    <w:pPr>
      <w:numPr>
        <w:numId w:val="0"/>
      </w:numPr>
      <w:tabs>
        <w:tab w:val="right" w:leader="dot" w:pos="4176"/>
      </w:tabs>
    </w:pPr>
  </w:style>
  <w:style w:type="paragraph" w:styleId="ListNumber2">
    <w:name w:val="List Number 2"/>
    <w:basedOn w:val="List2"/>
    <w:rsid w:val="000A2A65"/>
    <w:pPr>
      <w:numPr>
        <w:numId w:val="11"/>
      </w:numPr>
      <w:tabs>
        <w:tab w:val="clear" w:pos="1060"/>
      </w:tabs>
    </w:pPr>
  </w:style>
  <w:style w:type="paragraph" w:customStyle="1" w:styleId="MarginNote">
    <w:name w:val="Margin Note"/>
    <w:basedOn w:val="BodyText"/>
    <w:rsid w:val="000A2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A65"/>
    <w:rPr>
      <w:sz w:val="32"/>
    </w:rPr>
  </w:style>
  <w:style w:type="paragraph" w:customStyle="1" w:styleId="HeadingProcedure">
    <w:name w:val="Heading Procedure"/>
    <w:basedOn w:val="HeadingBase"/>
    <w:next w:val="Normal"/>
    <w:rsid w:val="000A2A65"/>
    <w:pPr>
      <w:tabs>
        <w:tab w:val="left" w:pos="0"/>
      </w:tabs>
      <w:spacing w:before="120" w:after="60"/>
    </w:pPr>
    <w:rPr>
      <w:i/>
      <w:color w:val="918585"/>
      <w:sz w:val="22"/>
    </w:rPr>
  </w:style>
  <w:style w:type="paragraph" w:customStyle="1" w:styleId="TableBodyText">
    <w:name w:val="Table Body Text"/>
    <w:basedOn w:val="BodyText"/>
    <w:rsid w:val="000A2A65"/>
    <w:pPr>
      <w:spacing w:before="60" w:after="60"/>
    </w:pPr>
  </w:style>
  <w:style w:type="paragraph" w:styleId="ListContinue">
    <w:name w:val="List Continue"/>
    <w:basedOn w:val="List"/>
    <w:rsid w:val="000A2A65"/>
    <w:pPr>
      <w:ind w:firstLine="0"/>
    </w:pPr>
  </w:style>
  <w:style w:type="paragraph" w:customStyle="1" w:styleId="ListNote">
    <w:name w:val="List Note"/>
    <w:basedOn w:val="List"/>
    <w:rsid w:val="000A2A65"/>
    <w:pPr>
      <w:pBdr>
        <w:top w:val="single" w:sz="6" w:space="2" w:color="918585"/>
        <w:bottom w:val="single" w:sz="6" w:space="2" w:color="918585"/>
      </w:pBdr>
      <w:tabs>
        <w:tab w:val="left" w:pos="1021"/>
      </w:tabs>
      <w:ind w:firstLine="0"/>
    </w:pPr>
  </w:style>
  <w:style w:type="paragraph" w:customStyle="1" w:styleId="Warning">
    <w:name w:val="Warning"/>
    <w:basedOn w:val="BodyText"/>
    <w:rsid w:val="000A2A65"/>
    <w:pPr>
      <w:shd w:val="clear" w:color="auto" w:fill="D9D9D9"/>
      <w:tabs>
        <w:tab w:val="left" w:pos="992"/>
      </w:tabs>
      <w:ind w:left="119" w:right="119"/>
    </w:pPr>
    <w:rPr>
      <w:sz w:val="20"/>
    </w:rPr>
  </w:style>
  <w:style w:type="paragraph" w:customStyle="1" w:styleId="MarginIcons">
    <w:name w:val="Margin Icons"/>
    <w:basedOn w:val="BodyText"/>
    <w:rsid w:val="000A2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A65"/>
    <w:rPr>
      <w:rFonts w:ascii="Courier New" w:hAnsi="Courier New"/>
    </w:rPr>
  </w:style>
  <w:style w:type="paragraph" w:customStyle="1" w:styleId="NoteBullet">
    <w:name w:val="Note Bullet"/>
    <w:basedOn w:val="Note"/>
    <w:rsid w:val="000A2A65"/>
    <w:pPr>
      <w:tabs>
        <w:tab w:val="clear" w:pos="680"/>
      </w:tabs>
      <w:spacing w:before="60" w:after="60"/>
    </w:pPr>
  </w:style>
  <w:style w:type="paragraph" w:customStyle="1" w:styleId="SubHeading2">
    <w:name w:val="SubHeading2"/>
    <w:basedOn w:val="HeadingBase"/>
    <w:rsid w:val="000A2A65"/>
    <w:pPr>
      <w:spacing w:before="240" w:after="60"/>
    </w:pPr>
    <w:rPr>
      <w:sz w:val="20"/>
    </w:rPr>
  </w:style>
  <w:style w:type="paragraph" w:customStyle="1" w:styleId="SubHeading1">
    <w:name w:val="SubHeading1"/>
    <w:basedOn w:val="HeadingBase"/>
    <w:rsid w:val="000A2A65"/>
    <w:pPr>
      <w:spacing w:before="240" w:after="60"/>
    </w:pPr>
    <w:rPr>
      <w:color w:val="918585"/>
      <w:sz w:val="22"/>
    </w:rPr>
  </w:style>
  <w:style w:type="paragraph" w:customStyle="1" w:styleId="SideHeading">
    <w:name w:val="Side Heading"/>
    <w:basedOn w:val="HeadingBase"/>
    <w:rsid w:val="000A2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A65"/>
    <w:pPr>
      <w:numPr>
        <w:numId w:val="12"/>
      </w:numPr>
    </w:pPr>
  </w:style>
  <w:style w:type="paragraph" w:styleId="PlainText">
    <w:name w:val="Plain Text"/>
    <w:basedOn w:val="Normal"/>
    <w:link w:val="PlainTextChar"/>
    <w:rsid w:val="000A2A65"/>
    <w:rPr>
      <w:sz w:val="20"/>
    </w:rPr>
  </w:style>
  <w:style w:type="character" w:customStyle="1" w:styleId="PlainTextChar">
    <w:name w:val="Plain Text Char"/>
    <w:basedOn w:val="DefaultParagraphFont"/>
    <w:link w:val="PlainText"/>
    <w:rsid w:val="000A2A65"/>
    <w:rPr>
      <w:rFonts w:ascii="Courier New" w:eastAsia="Times New Roman" w:hAnsi="Courier New" w:cs="Times New Roman"/>
      <w:sz w:val="20"/>
      <w:szCs w:val="20"/>
      <w:lang w:eastAsia="en-US"/>
    </w:rPr>
  </w:style>
  <w:style w:type="character" w:customStyle="1" w:styleId="MenuOption">
    <w:name w:val="Menu Option"/>
    <w:basedOn w:val="DefaultParagraphFont"/>
    <w:rsid w:val="000A2A65"/>
    <w:rPr>
      <w:b/>
      <w:smallCaps/>
    </w:rPr>
  </w:style>
  <w:style w:type="paragraph" w:customStyle="1" w:styleId="TableListNumber">
    <w:name w:val="Table List Number"/>
    <w:basedOn w:val="ListNumber"/>
    <w:rsid w:val="000A2A65"/>
    <w:pPr>
      <w:numPr>
        <w:numId w:val="0"/>
      </w:numPr>
    </w:pPr>
  </w:style>
  <w:style w:type="paragraph" w:styleId="TOC4">
    <w:name w:val="toc 4"/>
    <w:basedOn w:val="TOCBase"/>
    <w:next w:val="Normal"/>
    <w:semiHidden/>
    <w:rsid w:val="000A2A65"/>
    <w:pPr>
      <w:tabs>
        <w:tab w:val="right" w:leader="dot" w:pos="9071"/>
      </w:tabs>
      <w:ind w:left="1701"/>
    </w:pPr>
  </w:style>
  <w:style w:type="paragraph" w:customStyle="1" w:styleId="ListAlpha">
    <w:name w:val="List Alpha"/>
    <w:basedOn w:val="List"/>
    <w:rsid w:val="000A2A65"/>
    <w:pPr>
      <w:numPr>
        <w:numId w:val="10"/>
      </w:numPr>
    </w:pPr>
  </w:style>
  <w:style w:type="paragraph" w:customStyle="1" w:styleId="ListAlpha2">
    <w:name w:val="List Alpha 2"/>
    <w:basedOn w:val="List2"/>
    <w:rsid w:val="000A2A65"/>
    <w:pPr>
      <w:numPr>
        <w:numId w:val="9"/>
      </w:numPr>
    </w:pPr>
  </w:style>
  <w:style w:type="paragraph" w:styleId="List2">
    <w:name w:val="List 2"/>
    <w:basedOn w:val="BodyText"/>
    <w:rsid w:val="000A2A65"/>
    <w:pPr>
      <w:tabs>
        <w:tab w:val="left" w:pos="680"/>
      </w:tabs>
      <w:spacing w:before="60" w:after="60"/>
      <w:ind w:left="680" w:hanging="340"/>
    </w:pPr>
  </w:style>
  <w:style w:type="paragraph" w:styleId="List3">
    <w:name w:val="List 3"/>
    <w:basedOn w:val="BodyText"/>
    <w:rsid w:val="000A2A65"/>
    <w:pPr>
      <w:tabs>
        <w:tab w:val="left" w:pos="1021"/>
      </w:tabs>
      <w:spacing w:before="60" w:after="60"/>
      <w:ind w:left="1020" w:hanging="340"/>
    </w:pPr>
  </w:style>
  <w:style w:type="paragraph" w:styleId="List4">
    <w:name w:val="List 4"/>
    <w:basedOn w:val="BodyText"/>
    <w:rsid w:val="000A2A65"/>
    <w:pPr>
      <w:tabs>
        <w:tab w:val="left" w:pos="1361"/>
      </w:tabs>
      <w:spacing w:before="60" w:after="60"/>
      <w:ind w:left="1361" w:hanging="340"/>
    </w:pPr>
  </w:style>
  <w:style w:type="paragraph" w:styleId="List5">
    <w:name w:val="List 5"/>
    <w:basedOn w:val="BodyText"/>
    <w:rsid w:val="000A2A65"/>
    <w:pPr>
      <w:tabs>
        <w:tab w:val="left" w:pos="1701"/>
      </w:tabs>
      <w:spacing w:before="60" w:after="60"/>
      <w:ind w:left="1701" w:hanging="340"/>
    </w:pPr>
  </w:style>
  <w:style w:type="paragraph" w:styleId="ListBullet4">
    <w:name w:val="List Bullet 4"/>
    <w:basedOn w:val="List4"/>
    <w:rsid w:val="000A2A65"/>
    <w:pPr>
      <w:numPr>
        <w:numId w:val="4"/>
      </w:numPr>
      <w:tabs>
        <w:tab w:val="clear" w:pos="1361"/>
      </w:tabs>
    </w:pPr>
  </w:style>
  <w:style w:type="paragraph" w:styleId="ListBullet5">
    <w:name w:val="List Bullet 5"/>
    <w:basedOn w:val="List5"/>
    <w:rsid w:val="000A2A65"/>
    <w:pPr>
      <w:numPr>
        <w:numId w:val="5"/>
      </w:numPr>
    </w:pPr>
  </w:style>
  <w:style w:type="paragraph" w:styleId="ListContinue2">
    <w:name w:val="List Continue 2"/>
    <w:basedOn w:val="List2"/>
    <w:rsid w:val="000A2A65"/>
    <w:pPr>
      <w:ind w:firstLine="0"/>
    </w:pPr>
  </w:style>
  <w:style w:type="paragraph" w:styleId="ListContinue3">
    <w:name w:val="List Continue 3"/>
    <w:basedOn w:val="List3"/>
    <w:rsid w:val="000A2A65"/>
    <w:pPr>
      <w:ind w:left="1021" w:firstLine="0"/>
    </w:pPr>
  </w:style>
  <w:style w:type="paragraph" w:styleId="ListContinue4">
    <w:name w:val="List Continue 4"/>
    <w:basedOn w:val="List4"/>
    <w:rsid w:val="000A2A65"/>
    <w:pPr>
      <w:ind w:firstLine="0"/>
    </w:pPr>
  </w:style>
  <w:style w:type="paragraph" w:styleId="ListContinue5">
    <w:name w:val="List Continue 5"/>
    <w:basedOn w:val="List5"/>
    <w:rsid w:val="000A2A65"/>
    <w:pPr>
      <w:ind w:firstLine="0"/>
    </w:pPr>
  </w:style>
  <w:style w:type="paragraph" w:styleId="ListNumber3">
    <w:name w:val="List Number 3"/>
    <w:basedOn w:val="List3"/>
    <w:rsid w:val="000A2A65"/>
    <w:pPr>
      <w:numPr>
        <w:numId w:val="6"/>
      </w:numPr>
    </w:pPr>
  </w:style>
  <w:style w:type="paragraph" w:styleId="ListNumber4">
    <w:name w:val="List Number 4"/>
    <w:basedOn w:val="List4"/>
    <w:rsid w:val="000A2A65"/>
    <w:pPr>
      <w:numPr>
        <w:numId w:val="7"/>
      </w:numPr>
    </w:pPr>
  </w:style>
  <w:style w:type="paragraph" w:styleId="ListNumber5">
    <w:name w:val="List Number 5"/>
    <w:basedOn w:val="List5"/>
    <w:rsid w:val="000A2A65"/>
    <w:pPr>
      <w:numPr>
        <w:numId w:val="8"/>
      </w:numPr>
    </w:pPr>
  </w:style>
  <w:style w:type="paragraph" w:styleId="BlockText">
    <w:name w:val="Block Text"/>
    <w:basedOn w:val="Normal"/>
    <w:rsid w:val="000A2A65"/>
    <w:pPr>
      <w:spacing w:after="120"/>
      <w:ind w:left="1440" w:right="1440"/>
    </w:pPr>
  </w:style>
  <w:style w:type="character" w:customStyle="1" w:styleId="Subscript">
    <w:name w:val="Subscript"/>
    <w:basedOn w:val="DefaultParagraphFont"/>
    <w:rsid w:val="000A2A65"/>
    <w:rPr>
      <w:sz w:val="16"/>
      <w:vertAlign w:val="subscript"/>
    </w:rPr>
  </w:style>
  <w:style w:type="character" w:customStyle="1" w:styleId="Superscript">
    <w:name w:val="Superscript"/>
    <w:basedOn w:val="DefaultParagraphFont"/>
    <w:rsid w:val="000A2A65"/>
    <w:rPr>
      <w:sz w:val="16"/>
      <w:vertAlign w:val="superscript"/>
    </w:rPr>
  </w:style>
  <w:style w:type="character" w:customStyle="1" w:styleId="Symbols">
    <w:name w:val="Symbols"/>
    <w:basedOn w:val="DefaultParagraphFont"/>
    <w:rsid w:val="000A2A65"/>
    <w:rPr>
      <w:rFonts w:ascii="Symbol" w:hAnsi="Symbol"/>
    </w:rPr>
  </w:style>
  <w:style w:type="character" w:customStyle="1" w:styleId="MenuOptions">
    <w:name w:val="Menu Options"/>
    <w:basedOn w:val="DefaultParagraphFont"/>
    <w:rsid w:val="000A2A65"/>
    <w:rPr>
      <w:rFonts w:ascii="Arial Narrow" w:hAnsi="Arial Narrow"/>
      <w:smallCaps/>
    </w:rPr>
  </w:style>
  <w:style w:type="character" w:customStyle="1" w:styleId="Buttons">
    <w:name w:val="Buttons"/>
    <w:basedOn w:val="DefaultParagraphFont"/>
    <w:rsid w:val="000A2A65"/>
    <w:rPr>
      <w:b/>
    </w:rPr>
  </w:style>
  <w:style w:type="character" w:customStyle="1" w:styleId="Underlined">
    <w:name w:val="Underlined"/>
    <w:basedOn w:val="DefaultParagraphFont"/>
    <w:rsid w:val="000A2A65"/>
    <w:rPr>
      <w:u w:val="single"/>
    </w:rPr>
  </w:style>
  <w:style w:type="paragraph" w:customStyle="1" w:styleId="TableBodyTextRight">
    <w:name w:val="Table Body Text Right"/>
    <w:basedOn w:val="TableBodyText"/>
    <w:rsid w:val="000A2A65"/>
    <w:pPr>
      <w:widowControl w:val="0"/>
      <w:autoSpaceDE w:val="0"/>
      <w:autoSpaceDN w:val="0"/>
      <w:adjustRightInd w:val="0"/>
      <w:jc w:val="right"/>
    </w:pPr>
    <w:rPr>
      <w:rFonts w:cs="Arial"/>
      <w:szCs w:val="18"/>
    </w:rPr>
  </w:style>
  <w:style w:type="paragraph" w:customStyle="1" w:styleId="CopyrightText">
    <w:name w:val="Copyright Text"/>
    <w:basedOn w:val="BodyText"/>
    <w:rsid w:val="000A2A65"/>
    <w:rPr>
      <w:sz w:val="18"/>
    </w:rPr>
  </w:style>
  <w:style w:type="paragraph" w:customStyle="1" w:styleId="BodySmallRight">
    <w:name w:val="Body Small Right"/>
    <w:basedOn w:val="BodyTextRight"/>
    <w:rsid w:val="000A2A65"/>
    <w:rPr>
      <w:sz w:val="18"/>
      <w:szCs w:val="18"/>
    </w:rPr>
  </w:style>
  <w:style w:type="paragraph" w:customStyle="1" w:styleId="MarginEdition">
    <w:name w:val="Margin Edition"/>
    <w:basedOn w:val="MarginNote"/>
    <w:rsid w:val="000A2A65"/>
    <w:pPr>
      <w:spacing w:before="0" w:after="0"/>
    </w:pPr>
    <w:rPr>
      <w:rFonts w:ascii="Times New Roman" w:hAnsi="Times New Roman"/>
      <w:color w:val="999999"/>
    </w:rPr>
  </w:style>
  <w:style w:type="paragraph" w:customStyle="1" w:styleId="Spacer">
    <w:name w:val="Spacer"/>
    <w:basedOn w:val="Normal"/>
    <w:rsid w:val="000A2A65"/>
    <w:rPr>
      <w:sz w:val="2"/>
      <w:szCs w:val="2"/>
    </w:rPr>
  </w:style>
  <w:style w:type="character" w:customStyle="1" w:styleId="Small">
    <w:name w:val="Small"/>
    <w:basedOn w:val="DefaultParagraphFont"/>
    <w:rsid w:val="000A2A65"/>
    <w:rPr>
      <w:sz w:val="16"/>
    </w:rPr>
  </w:style>
  <w:style w:type="paragraph" w:customStyle="1" w:styleId="WideTable">
    <w:name w:val="Wide Table"/>
    <w:basedOn w:val="Normal"/>
    <w:rsid w:val="000A2A65"/>
    <w:pPr>
      <w:ind w:left="-1418"/>
    </w:pPr>
    <w:rPr>
      <w:sz w:val="2"/>
      <w:szCs w:val="2"/>
    </w:rPr>
  </w:style>
  <w:style w:type="character" w:styleId="PageNumber">
    <w:name w:val="page number"/>
    <w:basedOn w:val="DefaultParagraphFont"/>
    <w:rsid w:val="000A2A65"/>
  </w:style>
  <w:style w:type="paragraph" w:styleId="Quote">
    <w:name w:val="Quote"/>
    <w:basedOn w:val="Heading1"/>
    <w:link w:val="QuoteChar"/>
    <w:qFormat/>
    <w:rsid w:val="000A2A65"/>
    <w:rPr>
      <w:b w:val="0"/>
      <w:sz w:val="72"/>
      <w:szCs w:val="72"/>
      <w:lang w:val="en-NZ"/>
    </w:rPr>
  </w:style>
  <w:style w:type="character" w:customStyle="1" w:styleId="QuoteChar">
    <w:name w:val="Quote Char"/>
    <w:basedOn w:val="DefaultParagraphFont"/>
    <w:link w:val="Quote"/>
    <w:rsid w:val="000A2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A65"/>
    <w:pPr>
      <w:pageBreakBefore/>
    </w:pPr>
  </w:style>
  <w:style w:type="paragraph" w:customStyle="1" w:styleId="Border">
    <w:name w:val="Border"/>
    <w:basedOn w:val="Normal"/>
    <w:qFormat/>
    <w:rsid w:val="000A2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A65"/>
    <w:rPr>
      <w:b/>
      <w:bCs/>
      <w:i/>
      <w:iCs/>
      <w:color w:val="auto"/>
    </w:rPr>
  </w:style>
  <w:style w:type="paragraph" w:styleId="IntenseQuote">
    <w:name w:val="Intense Quote"/>
    <w:basedOn w:val="Normal"/>
    <w:next w:val="Normal"/>
    <w:link w:val="IntenseQuoteChar"/>
    <w:uiPriority w:val="30"/>
    <w:qFormat/>
    <w:rsid w:val="000A2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A65"/>
    <w:rPr>
      <w:smallCaps/>
      <w:color w:val="auto"/>
      <w:u w:val="single"/>
    </w:rPr>
  </w:style>
  <w:style w:type="character" w:styleId="IntenseReference">
    <w:name w:val="Intense Reference"/>
    <w:basedOn w:val="DefaultParagraphFont"/>
    <w:uiPriority w:val="32"/>
    <w:qFormat/>
    <w:rsid w:val="000A2A65"/>
    <w:rPr>
      <w:b/>
      <w:bCs/>
      <w:smallCaps/>
      <w:color w:val="auto"/>
      <w:spacing w:val="5"/>
      <w:u w:val="single"/>
    </w:rPr>
  </w:style>
  <w:style w:type="paragraph" w:customStyle="1" w:styleId="2ColumnHeading">
    <w:name w:val="2Column Heading"/>
    <w:basedOn w:val="BodyText"/>
    <w:qFormat/>
    <w:rsid w:val="000A2A65"/>
    <w:pPr>
      <w:spacing w:after="60"/>
      <w:ind w:left="-2268"/>
    </w:pPr>
    <w:rPr>
      <w:b/>
    </w:rPr>
  </w:style>
  <w:style w:type="paragraph" w:customStyle="1" w:styleId="Heading1TOC">
    <w:name w:val="Heading1 TOC"/>
    <w:basedOn w:val="Normal"/>
    <w:qFormat/>
    <w:rsid w:val="000A2A65"/>
    <w:pPr>
      <w:spacing w:before="240" w:after="120"/>
    </w:pPr>
    <w:rPr>
      <w:rFonts w:ascii="Times New Roman" w:hAnsi="Times New Roman"/>
      <w:b/>
      <w:sz w:val="32"/>
    </w:rPr>
  </w:style>
  <w:style w:type="paragraph" w:customStyle="1" w:styleId="Heading2TOC">
    <w:name w:val="Heading2 TOC"/>
    <w:basedOn w:val="Normal"/>
    <w:qFormat/>
    <w:rsid w:val="000A2A65"/>
    <w:pPr>
      <w:spacing w:before="240" w:after="60"/>
    </w:pPr>
    <w:rPr>
      <w:rFonts w:ascii="Times New Roman" w:hAnsi="Times New Roman"/>
      <w:b/>
      <w:sz w:val="28"/>
    </w:rPr>
  </w:style>
  <w:style w:type="character" w:customStyle="1" w:styleId="Underline">
    <w:name w:val="Underline"/>
    <w:basedOn w:val="DefaultParagraphFont"/>
    <w:qFormat/>
    <w:rsid w:val="000A2A65"/>
    <w:rPr>
      <w:u w:val="single"/>
    </w:rPr>
  </w:style>
  <w:style w:type="character" w:customStyle="1" w:styleId="BoldandItalics">
    <w:name w:val="Bold and Italics"/>
    <w:qFormat/>
    <w:rsid w:val="000A2A65"/>
    <w:rPr>
      <w:b/>
      <w:i/>
      <w:u w:val="none"/>
    </w:rPr>
  </w:style>
  <w:style w:type="paragraph" w:styleId="BalloonText">
    <w:name w:val="Balloon Text"/>
    <w:basedOn w:val="Normal"/>
    <w:link w:val="BalloonTextChar"/>
    <w:rsid w:val="000A2A65"/>
    <w:rPr>
      <w:rFonts w:ascii="Tahoma" w:hAnsi="Tahoma" w:cs="Tahoma"/>
      <w:sz w:val="16"/>
      <w:szCs w:val="16"/>
    </w:rPr>
  </w:style>
  <w:style w:type="character" w:customStyle="1" w:styleId="BalloonTextChar">
    <w:name w:val="Balloon Text Char"/>
    <w:basedOn w:val="DefaultParagraphFont"/>
    <w:link w:val="BalloonText"/>
    <w:rsid w:val="000A2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A65"/>
    <w:rPr>
      <w:b/>
      <w:color w:val="660033"/>
      <w:spacing w:val="0"/>
    </w:rPr>
  </w:style>
  <w:style w:type="paragraph" w:customStyle="1" w:styleId="Nameditemlist">
    <w:name w:val="Named item list"/>
    <w:basedOn w:val="BodyText"/>
    <w:qFormat/>
    <w:rsid w:val="000A2A65"/>
    <w:pPr>
      <w:tabs>
        <w:tab w:val="left" w:pos="2835"/>
      </w:tabs>
      <w:ind w:left="2835" w:hanging="2835"/>
    </w:pPr>
  </w:style>
  <w:style w:type="paragraph" w:customStyle="1" w:styleId="BodyTextnopadding">
    <w:name w:val="Body Text no padding"/>
    <w:basedOn w:val="BodyText"/>
    <w:qFormat/>
    <w:rsid w:val="000A2A65"/>
    <w:pPr>
      <w:spacing w:before="0" w:after="0"/>
    </w:pPr>
  </w:style>
  <w:style w:type="paragraph" w:customStyle="1" w:styleId="BodyTextBold">
    <w:name w:val="Body Text Bold"/>
    <w:basedOn w:val="BodyText"/>
    <w:qFormat/>
    <w:rsid w:val="000A2A65"/>
    <w:rPr>
      <w:b/>
    </w:rPr>
  </w:style>
  <w:style w:type="character" w:styleId="Hyperlink">
    <w:name w:val="Hyperlink"/>
    <w:basedOn w:val="DefaultParagraphFont"/>
    <w:uiPriority w:val="99"/>
    <w:unhideWhenUsed/>
    <w:rsid w:val="008F7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3334</Characters>
  <Application>Microsoft Office Word</Application>
  <DocSecurity>0</DocSecurity>
  <Lines>83</Lines>
  <Paragraphs>57</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UEERE0082 Maintain renewable energy (RE)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