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6D1" w:rsidP="006E06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UEERE0081 Install photovoltaic systems to power conversion equipment</w:t>
      </w:r>
      <w:r>
        <w:fldChar w:fldCharType="end"/>
      </w:r>
    </w:p>
    <w:p w:rsidR="006E06D1" w:rsidP="006E06D1">
      <w:pPr>
        <w:pStyle w:val="Version"/>
        <w:sectPr w:rsidSect="007B6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62EF" w:rsidP="007B62EF">
      <w:pPr>
        <w:pStyle w:val="SuperHeading"/>
      </w:pPr>
      <w:r w:rsidRPr="007B62EF">
        <w:t>Assessment Requirements for UEERE0081 Install photovoltaic systems to power conversion equipment</w:t>
      </w:r>
    </w:p>
    <w:p w:rsidR="00000000" w:rsidRPr="007B62EF" w:rsidP="007B62EF">
      <w:pPr>
        <w:pStyle w:val="Heading1"/>
      </w:pPr>
      <w:bookmarkStart w:id="1" w:name="O_1268419"/>
      <w:bookmarkEnd w:id="1"/>
      <w:r w:rsidRPr="007B62E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EF" w:rsidP="007B62EF">
            <w:pPr>
              <w:pStyle w:val="BodyText"/>
            </w:pPr>
            <w:r w:rsidRPr="007B62EF">
              <w:t>Release 1. This is the first release of this unit of competency in the UEE Electrotechnology Training Package.</w:t>
            </w:r>
          </w:p>
          <w:p w:rsidR="00000000" w:rsidRPr="007B62EF" w:rsidP="007B62EF">
            <w:pPr>
              <w:pStyle w:val="BodyText"/>
            </w:pPr>
            <w:r w:rsidRPr="007B62EF">
              <w:t>This unit replaces and is not equivalent to UEERE0016 Install, configure and commission LV grid-connected photovoltaic power systems. Modifications include:</w:t>
            </w:r>
          </w:p>
          <w:p w:rsidR="00000000" w:rsidRPr="007B62EF" w:rsidP="007B62EF">
            <w:pPr>
              <w:pStyle w:val="ListBullet"/>
            </w:pPr>
            <w:r w:rsidRPr="007B62EF">
              <w:t>Unit title changed</w:t>
            </w:r>
          </w:p>
          <w:p w:rsidR="00000000" w:rsidRPr="007B62EF" w:rsidP="007B62EF">
            <w:pPr>
              <w:pStyle w:val="ListBullet"/>
            </w:pPr>
            <w:r w:rsidRPr="007B62EF">
              <w:t>Unit application updated</w:t>
            </w:r>
          </w:p>
          <w:p w:rsidR="00000000" w:rsidRPr="007B62EF" w:rsidP="007B62EF">
            <w:pPr>
              <w:pStyle w:val="ListBullet"/>
            </w:pPr>
            <w:r w:rsidRPr="007B62EF">
              <w:t>Prerequisites changed</w:t>
            </w:r>
          </w:p>
          <w:p w:rsidR="00000000" w:rsidRPr="007B62EF" w:rsidP="007B62EF">
            <w:pPr>
              <w:pStyle w:val="ListBullet"/>
            </w:pPr>
            <w:r w:rsidRPr="007B62EF">
              <w:t>Significant amendments made to E</w:t>
            </w:r>
            <w:r w:rsidRPr="007B62EF">
              <w:t>lements and Performance Criteria</w:t>
            </w:r>
          </w:p>
          <w:p w:rsidR="00000000" w:rsidRPr="007B62EF" w:rsidP="007B62EF">
            <w:pPr>
              <w:pStyle w:val="ListBullet"/>
            </w:pPr>
            <w:r w:rsidRPr="007B62EF">
              <w:t>Range of conditions updated</w:t>
            </w:r>
          </w:p>
          <w:p w:rsidR="00000000" w:rsidRPr="007B62EF" w:rsidP="007B62EF">
            <w:pPr>
              <w:pStyle w:val="ListBullet"/>
            </w:pPr>
            <w:r w:rsidRPr="007B62EF">
              <w:t>Significant amendments to Performance and Knowledge Evidence.</w:t>
            </w:r>
          </w:p>
        </w:tc>
      </w:tr>
    </w:tbl>
    <w:p w:rsidR="00000000" w:rsidRPr="007B62EF" w:rsidP="007B62EF">
      <w:pPr>
        <w:pStyle w:val="NoPaddingFontSize1"/>
      </w:pPr>
    </w:p>
    <w:p w:rsidR="00000000" w:rsidRPr="007B62EF" w:rsidP="007B62EF">
      <w:pPr>
        <w:pStyle w:val="AllowPageBreak"/>
      </w:pPr>
    </w:p>
    <w:p w:rsidR="00000000" w:rsidRPr="007B62EF" w:rsidP="007B62EF">
      <w:pPr>
        <w:pStyle w:val="Heading1"/>
      </w:pPr>
      <w:bookmarkStart w:id="2" w:name="O_1268420"/>
      <w:bookmarkEnd w:id="2"/>
      <w:r w:rsidRPr="007B62E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EF">
            <w:pPr>
              <w:pStyle w:val="BodyText"/>
              <w:rPr>
                <w:lang w:val="en-NZ"/>
              </w:rPr>
            </w:pPr>
            <w:r w:rsidRPr="007B62EF">
              <w:t>Evidence required to demonstrate competence in this unit must be relevant to and satisfy al</w:t>
            </w:r>
            <w:r w:rsidRPr="007B62EF">
              <w:t>l of the requirements of the elements, performance criteria and range of conditions on at least two occasions and include:</w:t>
            </w:r>
          </w:p>
        </w:tc>
      </w:tr>
      <w:tr w:rsidTr="007B6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EF" w:rsidP="007B62EF">
            <w:pPr>
              <w:pStyle w:val="ListBullet"/>
            </w:pPr>
            <w:r w:rsidRPr="007B62EF">
              <w:t>installing photovoltaic (PV) array, including:</w:t>
            </w:r>
          </w:p>
          <w:p w:rsidR="00000000" w:rsidRPr="007B62EF" w:rsidP="007B62EF">
            <w:pPr>
              <w:pStyle w:val="ListBullet2"/>
            </w:pPr>
            <w:r w:rsidRPr="007B62EF">
              <w:t>applying relevant work health and safety (WHS)/occupational health and safety (OHS) requirements, including using risk control measures</w:t>
            </w:r>
          </w:p>
          <w:p w:rsidR="00000000" w:rsidRPr="007B62EF" w:rsidP="007B62EF">
            <w:pPr>
              <w:pStyle w:val="ListBullet2"/>
            </w:pPr>
            <w:r w:rsidRPr="007B62EF">
              <w:t>verifying design and resolving any issues with designer</w:t>
            </w:r>
          </w:p>
          <w:p w:rsidR="00000000" w:rsidRPr="007B62EF" w:rsidP="007B62EF">
            <w:pPr>
              <w:pStyle w:val="ListBullet2"/>
            </w:pPr>
            <w:r w:rsidRPr="007B62EF">
              <w:t xml:space="preserve">coordinating work with relevant person/s </w:t>
            </w:r>
          </w:p>
          <w:p w:rsidR="00000000" w:rsidRPr="007B62EF" w:rsidP="007B62EF">
            <w:pPr>
              <w:pStyle w:val="ListBullet2"/>
            </w:pPr>
            <w:r w:rsidRPr="007B62EF">
              <w:t>determining and applyi</w:t>
            </w:r>
            <w:r w:rsidRPr="007B62EF">
              <w:t>ng live testing, measurement and isolation requirements</w:t>
            </w:r>
          </w:p>
          <w:p w:rsidR="00000000" w:rsidRPr="007B62EF" w:rsidP="007B62EF">
            <w:pPr>
              <w:pStyle w:val="ListBullet2"/>
            </w:pPr>
            <w:r w:rsidRPr="007B62EF">
              <w:t>reading and interpreting drawings/diagrams related to apparatus locations and circuit connections</w:t>
            </w:r>
          </w:p>
          <w:p w:rsidR="00000000" w:rsidRPr="007B62EF" w:rsidP="007B62EF">
            <w:pPr>
              <w:pStyle w:val="ListBullet2"/>
            </w:pPr>
            <w:r w:rsidRPr="007B62EF">
              <w:t>applying appropriate array mounting methods for roof sections</w:t>
            </w:r>
          </w:p>
          <w:p w:rsidR="00000000" w:rsidRPr="007B62EF" w:rsidP="007B62EF">
            <w:pPr>
              <w:pStyle w:val="ListBullet2"/>
            </w:pPr>
            <w:r w:rsidRPr="007B62EF">
              <w:t>placing and securing components</w:t>
            </w:r>
          </w:p>
          <w:p w:rsidR="00000000" w:rsidRPr="007B62EF" w:rsidP="007B62EF">
            <w:pPr>
              <w:pStyle w:val="ListBullet2"/>
            </w:pPr>
            <w:r w:rsidRPr="007B62EF">
              <w:t>terminating wiring correctly and safety</w:t>
            </w:r>
          </w:p>
          <w:p w:rsidR="00000000" w:rsidRPr="007B62EF" w:rsidP="007B62EF">
            <w:pPr>
              <w:pStyle w:val="ListBullet2"/>
            </w:pPr>
            <w:r w:rsidRPr="007B62EF">
              <w:t>testing and verification PV systems safely</w:t>
            </w:r>
          </w:p>
          <w:p w:rsidR="00000000" w:rsidRPr="007B62EF" w:rsidP="007B62EF">
            <w:pPr>
              <w:pStyle w:val="ListBullet2"/>
            </w:pPr>
            <w:r w:rsidRPr="007B62EF">
              <w:t>connecting and commissioning in accordance with industry standards and regulations</w:t>
            </w:r>
          </w:p>
          <w:p w:rsidR="00000000" w:rsidRPr="007B62EF" w:rsidP="007B62EF">
            <w:pPr>
              <w:pStyle w:val="ListBullet2"/>
            </w:pPr>
            <w:r w:rsidRPr="007B62EF">
              <w:t>completing documentation according to regulatory and industry standards.</w:t>
            </w:r>
          </w:p>
        </w:tc>
      </w:tr>
    </w:tbl>
    <w:p w:rsidR="00000000" w:rsidRPr="007B62EF" w:rsidP="007B62EF">
      <w:pPr>
        <w:pStyle w:val="NoPaddingFontSize1"/>
      </w:pPr>
    </w:p>
    <w:p w:rsidR="00000000" w:rsidRPr="007B62EF" w:rsidP="007B62EF">
      <w:pPr>
        <w:pStyle w:val="AllowPageBreak"/>
      </w:pPr>
    </w:p>
    <w:p w:rsidR="00000000" w:rsidRPr="007B62EF" w:rsidP="007B62EF">
      <w:pPr>
        <w:pStyle w:val="Heading1"/>
      </w:pPr>
      <w:bookmarkStart w:id="3" w:name="O_1268421"/>
      <w:bookmarkEnd w:id="3"/>
      <w:r w:rsidRPr="007B62E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2EF">
            <w:pPr>
              <w:pStyle w:val="BodyText"/>
              <w:rPr>
                <w:lang w:val="en-NZ"/>
              </w:rPr>
            </w:pPr>
            <w:r w:rsidRPr="007B62EF">
              <w:t xml:space="preserve">Evidence required to demonstrate competence in this unit must be relevant to and satisfy all of the requirements of the elements, performance criteria and range of conditions and include </w:t>
            </w:r>
            <w:r w:rsidRPr="007B62EF">
              <w:t xml:space="preserve">knowledge of: </w:t>
            </w:r>
          </w:p>
        </w:tc>
      </w:tr>
      <w:tr w:rsidTr="007B6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EF" w:rsidP="007B62EF">
            <w:pPr>
              <w:pStyle w:val="ListBullet"/>
            </w:pPr>
            <w:r w:rsidRPr="007B62EF">
              <w:t>PV array installation require</w:t>
            </w:r>
            <w:r w:rsidRPr="007B62EF">
              <w:t>ments, including:</w:t>
            </w:r>
          </w:p>
          <w:p w:rsidR="00000000" w:rsidRPr="007B62EF" w:rsidP="007B62EF">
            <w:pPr>
              <w:pStyle w:val="ListBullet2"/>
            </w:pPr>
            <w:r w:rsidRPr="007B62EF">
              <w:t>WHS/OHS requirements and methods for working on roofs</w:t>
            </w:r>
          </w:p>
          <w:p w:rsidR="00000000" w:rsidRPr="007B62EF" w:rsidP="007B62EF">
            <w:pPr>
              <w:pStyle w:val="ListBullet2"/>
            </w:pPr>
            <w:r w:rsidRPr="007B62EF">
              <w:t>methods to ensure integrity of building and waterproofing</w:t>
            </w:r>
          </w:p>
          <w:p w:rsidR="00000000" w:rsidRPr="007B62EF" w:rsidP="007B62EF">
            <w:pPr>
              <w:pStyle w:val="ListBullet2"/>
            </w:pPr>
            <w:r w:rsidRPr="007B62EF">
              <w:t>common types of PV array mounting frame construction and fixing methods</w:t>
            </w:r>
          </w:p>
          <w:p w:rsidR="00000000" w:rsidRPr="007B62EF" w:rsidP="007B62EF">
            <w:pPr>
              <w:pStyle w:val="ListBullet2"/>
            </w:pPr>
            <w:r w:rsidRPr="007B62EF">
              <w:t>methods of tilt angle adjustment</w:t>
            </w:r>
          </w:p>
          <w:p w:rsidR="00000000" w:rsidRPr="007B62EF" w:rsidP="007B62EF">
            <w:pPr>
              <w:pStyle w:val="ListBullet"/>
            </w:pPr>
            <w:r w:rsidRPr="007B62EF">
              <w:t>electrical PV array installation requirements, including:</w:t>
            </w:r>
          </w:p>
          <w:p w:rsidR="00000000" w:rsidRPr="007B62EF" w:rsidP="007B62EF">
            <w:pPr>
              <w:pStyle w:val="ListBullet2"/>
            </w:pPr>
            <w:r w:rsidRPr="007B62EF">
              <w:t>methods used in wiring and connecting PV arrays in accordance with relevant industry standards</w:t>
            </w:r>
          </w:p>
          <w:p w:rsidR="00000000" w:rsidRPr="007B62EF" w:rsidP="007B62EF">
            <w:pPr>
              <w:pStyle w:val="ListBullet2"/>
            </w:pPr>
            <w:r w:rsidRPr="007B62EF">
              <w:t>considerations involved in:</w:t>
            </w:r>
          </w:p>
          <w:p w:rsidR="00000000" w:rsidRPr="007B62EF" w:rsidP="007B62EF">
            <w:pPr>
              <w:pStyle w:val="ListBullet3"/>
            </w:pPr>
            <w:r w:rsidRPr="007B62EF">
              <w:t>wiring of PV arrays</w:t>
            </w:r>
          </w:p>
          <w:p w:rsidR="00000000" w:rsidRPr="007B62EF" w:rsidP="007B62EF">
            <w:pPr>
              <w:pStyle w:val="ListBullet3"/>
            </w:pPr>
            <w:r w:rsidRPr="007B62EF">
              <w:t>the location of associated system equipment</w:t>
            </w:r>
          </w:p>
          <w:p w:rsidR="00000000" w:rsidRPr="007B62EF" w:rsidP="007B62EF">
            <w:pPr>
              <w:pStyle w:val="ListBullet3"/>
            </w:pPr>
            <w:r w:rsidRPr="007B62EF">
              <w:t>cable route from PV array/s to power conversion equipment (PCE)</w:t>
            </w:r>
          </w:p>
          <w:p w:rsidR="00000000" w:rsidRPr="007B62EF" w:rsidP="007B62EF">
            <w:pPr>
              <w:pStyle w:val="ListBullet"/>
            </w:pPr>
            <w:r w:rsidRPr="007B62EF">
              <w:t>system installation including:</w:t>
            </w:r>
          </w:p>
          <w:p w:rsidR="00000000" w:rsidRPr="007B62EF" w:rsidP="007B62EF">
            <w:pPr>
              <w:pStyle w:val="ListBullet2"/>
            </w:pPr>
            <w:r w:rsidRPr="007B62EF">
              <w:t>installation of a PV array in accordance with relevant industry standards and WHS/OHS guidelines</w:t>
            </w:r>
          </w:p>
          <w:p w:rsidR="00000000" w:rsidRPr="007B62EF" w:rsidP="007B62EF">
            <w:pPr>
              <w:pStyle w:val="ListBullet2"/>
            </w:pPr>
            <w:r w:rsidRPr="007B62EF">
              <w:t>correct isolation and shutdown procedures</w:t>
            </w:r>
          </w:p>
          <w:p w:rsidR="00000000" w:rsidRPr="007B62EF" w:rsidP="007B62EF">
            <w:pPr>
              <w:pStyle w:val="ListBullet2"/>
            </w:pPr>
            <w:r w:rsidRPr="007B62EF">
              <w:t>required vegetation control to remove or reduce shading or soiling on a PV array</w:t>
            </w:r>
          </w:p>
          <w:p w:rsidR="00000000" w:rsidRPr="007B62EF" w:rsidP="007B62EF">
            <w:pPr>
              <w:pStyle w:val="ListBullet"/>
            </w:pPr>
            <w:r w:rsidRPr="007B62EF">
              <w:tab/>
              <w:t>PCE including:</w:t>
            </w:r>
          </w:p>
          <w:p w:rsidR="00000000" w:rsidRPr="007B62EF" w:rsidP="007B62EF">
            <w:pPr>
              <w:pStyle w:val="ListBullet2"/>
            </w:pPr>
            <w:r w:rsidRPr="007B62EF">
              <w:t>types of PCEs used in renewable energy systems</w:t>
            </w:r>
          </w:p>
          <w:p w:rsidR="00000000" w:rsidRPr="007B62EF" w:rsidP="007B62EF">
            <w:pPr>
              <w:pStyle w:val="ListBullet2"/>
            </w:pPr>
            <w:r w:rsidRPr="007B62EF">
              <w:t>the basic function of a PCE</w:t>
            </w:r>
          </w:p>
          <w:p w:rsidR="00000000" w:rsidRPr="007B62EF" w:rsidP="007B62EF">
            <w:pPr>
              <w:pStyle w:val="ListBullet2"/>
            </w:pPr>
            <w:r w:rsidRPr="007B62EF">
              <w:t>PCE operation</w:t>
            </w:r>
          </w:p>
          <w:p w:rsidR="00000000" w:rsidRPr="007B62EF" w:rsidP="007B62EF">
            <w:pPr>
              <w:pStyle w:val="ListBullet2"/>
            </w:pPr>
            <w:r w:rsidRPr="007B62EF">
              <w:t>PCE characteristics</w:t>
            </w:r>
          </w:p>
          <w:p w:rsidR="00000000" w:rsidRPr="007B62EF" w:rsidP="007B62EF">
            <w:pPr>
              <w:pStyle w:val="ListBullet"/>
            </w:pPr>
            <w:r w:rsidRPr="007B62EF">
              <w:t>PV modules, including:</w:t>
            </w:r>
          </w:p>
          <w:p w:rsidR="00000000" w:rsidRPr="007B62EF" w:rsidP="007B62EF">
            <w:pPr>
              <w:pStyle w:val="ListBullet2"/>
            </w:pPr>
            <w:r w:rsidRPr="007B62EF">
              <w:t>cell, module, array</w:t>
            </w:r>
          </w:p>
          <w:p w:rsidR="00000000" w:rsidRPr="007B62EF" w:rsidP="007B62EF">
            <w:pPr>
              <w:pStyle w:val="ListBullet2"/>
            </w:pPr>
            <w:r w:rsidRPr="007B62EF">
              <w:t>eff</w:t>
            </w:r>
            <w:r w:rsidRPr="007B62EF">
              <w:t>iciency</w:t>
            </w:r>
          </w:p>
          <w:p w:rsidR="00000000" w:rsidRPr="007B62EF" w:rsidP="007B62EF">
            <w:pPr>
              <w:pStyle w:val="ListBullet2"/>
            </w:pPr>
            <w:r w:rsidRPr="007B62EF">
              <w:t>typical applications</w:t>
            </w:r>
          </w:p>
          <w:p w:rsidR="00000000" w:rsidRPr="007B62EF" w:rsidP="007B62EF">
            <w:pPr>
              <w:pStyle w:val="ListBullet2"/>
            </w:pPr>
            <w:r w:rsidRPr="007B62EF">
              <w:t>mechanical and electrical features necessary for the long life of a PV module</w:t>
            </w:r>
          </w:p>
          <w:p w:rsidR="00000000" w:rsidRPr="007B62EF" w:rsidP="007B62EF">
            <w:pPr>
              <w:pStyle w:val="ListBullet"/>
            </w:pPr>
            <w:r w:rsidRPr="007B62EF">
              <w:t>module characteristics including:</w:t>
            </w:r>
          </w:p>
          <w:p w:rsidR="00000000" w:rsidRPr="007B62EF" w:rsidP="007B62EF">
            <w:pPr>
              <w:pStyle w:val="ListBullet2"/>
            </w:pPr>
            <w:r w:rsidRPr="007B62EF">
              <w:t>I-V curve, operating point, MPP, power and voltage temperature co-efficient, Standard Test Conditions (STC), nomi</w:t>
            </w:r>
            <w:r w:rsidRPr="007B62EF">
              <w:t>nal operating cell temperature (NOCT)</w:t>
            </w:r>
          </w:p>
          <w:p w:rsidR="00000000" w:rsidRPr="007B62EF" w:rsidP="007B62EF">
            <w:pPr>
              <w:pStyle w:val="ListBullet2"/>
            </w:pPr>
            <w:r w:rsidRPr="007B62EF">
              <w:t>major ratings of a PV module from manufacturer’s information or nameplate data</w:t>
            </w:r>
          </w:p>
          <w:p w:rsidR="00000000" w:rsidRPr="007B62EF" w:rsidP="007B62EF">
            <w:pPr>
              <w:pStyle w:val="ListBullet2"/>
            </w:pPr>
            <w:r w:rsidRPr="007B62EF">
              <w:t>configuration of a typical PV array</w:t>
            </w:r>
          </w:p>
          <w:p w:rsidR="00000000" w:rsidRPr="007B62EF" w:rsidP="007B62EF">
            <w:pPr>
              <w:pStyle w:val="ListBullet2"/>
            </w:pPr>
            <w:r w:rsidRPr="007B62EF">
              <w:t>the effect of partial shading of a PV module or array</w:t>
            </w:r>
          </w:p>
          <w:p w:rsidR="00000000" w:rsidRPr="007B62EF" w:rsidP="007B62EF">
            <w:pPr>
              <w:pStyle w:val="ListBullet"/>
            </w:pPr>
            <w:r w:rsidRPr="007B62EF">
              <w:t>Industry Standard requirements for the verification of system components selection including:</w:t>
            </w:r>
          </w:p>
          <w:p w:rsidR="00000000" w:rsidRPr="007B62EF" w:rsidP="007B62EF">
            <w:pPr>
              <w:pStyle w:val="ListBullet2"/>
            </w:pPr>
            <w:r w:rsidRPr="007B62EF">
              <w:t>balance of the system components, including cabling and wiring systems, circuit protection and isolation equipment for a grid-connected PV system</w:t>
            </w:r>
          </w:p>
          <w:p w:rsidR="00000000" w:rsidRPr="007B62EF" w:rsidP="007B62EF">
            <w:pPr>
              <w:pStyle w:val="ListBullet2"/>
            </w:pPr>
            <w:r w:rsidRPr="007B62EF">
              <w:t>schematic diagr</w:t>
            </w:r>
            <w:r w:rsidRPr="007B62EF">
              <w:t xml:space="preserve">ams of common grid-connected PCE circuit configurations, including metering arrangements, isolation and connection with respect to residual circuit devices </w:t>
            </w:r>
            <w:r w:rsidRPr="007B62EF">
              <w:t>(RCDs)</w:t>
            </w:r>
            <w:r>
              <w:t>”</w:t>
            </w:r>
          </w:p>
          <w:p w:rsidR="00000000" w:rsidRPr="007B62EF" w:rsidP="007B62EF">
            <w:pPr>
              <w:pStyle w:val="ListBullet"/>
            </w:pPr>
            <w:r w:rsidRPr="007B62EF">
              <w:t>system documentation required by industry standards</w:t>
            </w:r>
          </w:p>
          <w:p w:rsidR="00000000" w:rsidRPr="007B62EF" w:rsidP="007B62EF">
            <w:pPr>
              <w:pStyle w:val="ListBullet"/>
            </w:pPr>
            <w:r w:rsidRPr="007B62EF">
              <w:t>relevant manufacturer specifications</w:t>
            </w:r>
          </w:p>
          <w:p w:rsidR="00000000" w:rsidRPr="007B62EF" w:rsidP="007B62EF">
            <w:pPr>
              <w:pStyle w:val="ListBullet"/>
            </w:pPr>
            <w:r w:rsidRPr="007B62EF">
              <w:t>re</w:t>
            </w:r>
            <w:r w:rsidRPr="007B62EF">
              <w:t>levant industry standards</w:t>
            </w:r>
          </w:p>
          <w:p w:rsidR="00000000" w:rsidRPr="007B62EF" w:rsidP="007B62EF">
            <w:pPr>
              <w:pStyle w:val="ListBullet"/>
            </w:pPr>
            <w:r w:rsidRPr="007B62EF">
              <w:t>relevant WHS/OHS legislated requirements</w:t>
            </w:r>
          </w:p>
          <w:p w:rsidR="00000000" w:rsidRPr="007B62EF" w:rsidP="007B62EF">
            <w:pPr>
              <w:pStyle w:val="ListBullet"/>
            </w:pPr>
            <w:r w:rsidRPr="007B62EF">
              <w:t>relevant workplace documentation, policies, procedures and standards</w:t>
            </w:r>
          </w:p>
          <w:p w:rsidR="00000000" w:rsidRPr="007B62EF" w:rsidP="007B62EF">
            <w:pPr>
              <w:pStyle w:val="ListBullet"/>
            </w:pPr>
            <w:r w:rsidRPr="007B62EF">
              <w:t>risk mitigation processes.</w:t>
            </w:r>
          </w:p>
        </w:tc>
      </w:tr>
    </w:tbl>
    <w:p w:rsidR="00000000" w:rsidRPr="007B62EF" w:rsidP="007B62EF">
      <w:pPr>
        <w:pStyle w:val="NoPaddingFontSize1"/>
      </w:pPr>
    </w:p>
    <w:p w:rsidR="00000000" w:rsidRPr="007B62EF" w:rsidP="007B62EF">
      <w:pPr>
        <w:pStyle w:val="AllowPageBreak"/>
      </w:pPr>
    </w:p>
    <w:p w:rsidR="00000000" w:rsidRPr="007B62EF" w:rsidP="007B62EF">
      <w:pPr>
        <w:pStyle w:val="Heading1"/>
      </w:pPr>
      <w:bookmarkStart w:id="4" w:name="O_1268422"/>
      <w:bookmarkEnd w:id="4"/>
      <w:r w:rsidRPr="007B62EF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B62E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2EF" w:rsidP="007B62EF">
            <w:pPr>
              <w:pStyle w:val="BodyText"/>
            </w:pPr>
            <w:r w:rsidRPr="007B62EF">
              <w:t xml:space="preserve">Assessors must hold credentials specified within the Standards for Registered Training Organisations current at the time of assessment. </w:t>
            </w:r>
          </w:p>
          <w:p w:rsidR="00000000" w:rsidRPr="007B62EF" w:rsidP="007B62EF">
            <w:pPr>
              <w:pStyle w:val="BodyText"/>
            </w:pPr>
            <w:r w:rsidRPr="007B62EF">
              <w:t>Assessment must satisfy the Principles of Assessment and Rules of Evidence and all regulatory requirements included wit</w:t>
            </w:r>
            <w:r w:rsidRPr="007B62EF">
              <w:t>hin the Standards for Registered Training Organisations current at the time of assessment.</w:t>
            </w:r>
          </w:p>
          <w:p w:rsidR="00000000" w:rsidRPr="007B62EF" w:rsidP="007B62EF">
            <w:pPr>
              <w:pStyle w:val="BodyText"/>
            </w:pPr>
            <w:r w:rsidRPr="007B62EF">
              <w:t>Assessment must occur in workplace operational situations where it is appropriate to do so; where this is not appropriate, assessment must occur in simulated workpla</w:t>
            </w:r>
            <w:r w:rsidRPr="007B62EF">
              <w:t>ce operational situations that replicate workplace conditions.</w:t>
            </w:r>
          </w:p>
          <w:p w:rsidR="00000000" w:rsidRPr="007B62EF" w:rsidP="007B62EF">
            <w:pPr>
              <w:pStyle w:val="BodyText"/>
            </w:pPr>
            <w:r w:rsidRPr="007B62EF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B62EF" w:rsidP="007B62EF">
            <w:pPr>
              <w:pStyle w:val="BodyText"/>
            </w:pPr>
            <w:r w:rsidRPr="007B62EF">
              <w:t xml:space="preserve">Resources for assessment </w:t>
            </w:r>
            <w:r w:rsidRPr="007B62EF">
              <w:t>must include access to:</w:t>
            </w:r>
          </w:p>
          <w:p w:rsidR="00000000" w:rsidRPr="007B62EF" w:rsidP="007B62EF">
            <w:pPr>
              <w:pStyle w:val="ListBullet"/>
            </w:pPr>
            <w:r w:rsidRPr="007B62EF">
              <w:t>a range of relevant exercises, case studies and/or other simulations</w:t>
            </w:r>
          </w:p>
          <w:p w:rsidR="00000000" w:rsidRPr="007B62EF" w:rsidP="007B62EF">
            <w:pPr>
              <w:pStyle w:val="ListBullet"/>
            </w:pPr>
            <w:r w:rsidRPr="007B62EF">
              <w:t xml:space="preserve">relevant and appropriate materials, tools, equipment and personal protective equipment (PPE) currently used in industry </w:t>
            </w:r>
          </w:p>
          <w:p w:rsidR="00000000" w:rsidRPr="007B62EF" w:rsidP="007B62EF">
            <w:pPr>
              <w:pStyle w:val="ListBullet"/>
            </w:pPr>
            <w:r w:rsidRPr="007B62EF">
              <w:t>applicable documentation, including workp</w:t>
            </w:r>
            <w:r w:rsidRPr="007B62EF">
              <w:t>lace procedures, equipment specifications, regulations, codes of practice and operation manuals.</w:t>
            </w:r>
          </w:p>
        </w:tc>
      </w:tr>
    </w:tbl>
    <w:p w:rsidR="00000000" w:rsidRPr="007B62EF" w:rsidP="007B62EF">
      <w:pPr>
        <w:pStyle w:val="NoPaddingFontSize1"/>
      </w:pPr>
    </w:p>
    <w:p w:rsidR="00000000" w:rsidRPr="007B62EF" w:rsidP="007B62EF">
      <w:pPr>
        <w:pStyle w:val="AllowPageBreak"/>
      </w:pPr>
    </w:p>
    <w:p w:rsidR="00000000" w:rsidRPr="007B62EF" w:rsidP="007B62EF">
      <w:pPr>
        <w:pStyle w:val="Heading1"/>
      </w:pPr>
      <w:bookmarkStart w:id="5" w:name="O_1268425"/>
      <w:bookmarkEnd w:id="5"/>
      <w:r w:rsidRPr="007B62EF">
        <w:t>Links</w:t>
      </w:r>
    </w:p>
    <w:p w:rsidR="00000000" w:rsidRPr="007B62EF" w:rsidP="006E06D1">
      <w:pPr>
        <w:pStyle w:val="BodyText"/>
      </w:pPr>
      <w:r w:rsidRPr="007B62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75ED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7B62EF" w:rsidP="007B62EF"/>
    <w:sectPr w:rsidSect="007B6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EF" w:rsidRPr="006E06D1" w:rsidP="006E06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D1" w:rsidP="007B6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6D1" w:rsidP="007B6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E06D1" w:rsidP="007B6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2EF" w:rsidRPr="006E06D1" w:rsidP="006E06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6D1" w:rsidRPr="002D2AF8" w:rsidP="007B6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UEERE0081 Install photovoltaic systems to power conversion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E06D1" w:rsidP="007B6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8CD0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B6AC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26245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2EF"/>
  </w:style>
  <w:style w:type="character" w:customStyle="1" w:styleId="Heading1Char">
    <w:name w:val="Heading 1 Char"/>
    <w:basedOn w:val="DefaultParagraphFont"/>
    <w:link w:val="Heading1"/>
    <w:rsid w:val="007B6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2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2E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62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6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B62EF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6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2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62EF"/>
    <w:rPr>
      <w:b/>
      <w:spacing w:val="0"/>
    </w:rPr>
  </w:style>
  <w:style w:type="paragraph" w:customStyle="1" w:styleId="SuperTitle">
    <w:name w:val="SuperTitle"/>
    <w:basedOn w:val="Title"/>
    <w:rsid w:val="007B6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6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2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2EF"/>
    <w:rPr>
      <w:i/>
    </w:rPr>
  </w:style>
  <w:style w:type="paragraph" w:styleId="Caption">
    <w:name w:val="caption"/>
    <w:basedOn w:val="BodyText"/>
    <w:next w:val="Normal"/>
    <w:qFormat/>
    <w:rsid w:val="007B6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2EF"/>
  </w:style>
  <w:style w:type="paragraph" w:styleId="TableofFigures">
    <w:name w:val="table of figures"/>
    <w:basedOn w:val="Normal"/>
    <w:next w:val="Normal"/>
    <w:semiHidden/>
    <w:rsid w:val="007B6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2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B62EF"/>
    <w:rPr>
      <w:rFonts w:ascii="Wingdings" w:hAnsi="Wingdings"/>
    </w:rPr>
  </w:style>
  <w:style w:type="paragraph" w:customStyle="1" w:styleId="TableHeading">
    <w:name w:val="Table Heading"/>
    <w:basedOn w:val="HeadingBase"/>
    <w:rsid w:val="007B6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2EF"/>
    <w:rPr>
      <w:color w:val="0033CC"/>
      <w:u w:val="none"/>
    </w:rPr>
  </w:style>
  <w:style w:type="paragraph" w:customStyle="1" w:styleId="BodyTextRight">
    <w:name w:val="Body Text Right"/>
    <w:basedOn w:val="BodyText"/>
    <w:rsid w:val="007B6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2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2EF"/>
    <w:rPr>
      <w:sz w:val="32"/>
    </w:rPr>
  </w:style>
  <w:style w:type="paragraph" w:customStyle="1" w:styleId="HeadingProcedure">
    <w:name w:val="Heading Procedure"/>
    <w:basedOn w:val="HeadingBase"/>
    <w:next w:val="Normal"/>
    <w:rsid w:val="007B6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2EF"/>
    <w:pPr>
      <w:spacing w:before="60" w:after="60"/>
    </w:pPr>
  </w:style>
  <w:style w:type="paragraph" w:styleId="ListContinue">
    <w:name w:val="List Continue"/>
    <w:basedOn w:val="List"/>
    <w:rsid w:val="007B62EF"/>
    <w:pPr>
      <w:ind w:firstLine="0"/>
    </w:pPr>
  </w:style>
  <w:style w:type="paragraph" w:customStyle="1" w:styleId="ListNote">
    <w:name w:val="List Note"/>
    <w:basedOn w:val="List"/>
    <w:rsid w:val="007B6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2EF"/>
    <w:rPr>
      <w:rFonts w:ascii="Courier New" w:hAnsi="Courier New"/>
    </w:rPr>
  </w:style>
  <w:style w:type="paragraph" w:customStyle="1" w:styleId="NoteBullet">
    <w:name w:val="Note Bullet"/>
    <w:basedOn w:val="Note"/>
    <w:rsid w:val="007B6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2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B6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2EF"/>
    <w:rPr>
      <w:b/>
      <w:smallCaps/>
    </w:rPr>
  </w:style>
  <w:style w:type="paragraph" w:customStyle="1" w:styleId="TableListNumber">
    <w:name w:val="Table List Number"/>
    <w:basedOn w:val="ListNumber"/>
    <w:rsid w:val="007B6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2EF"/>
    <w:pPr>
      <w:numPr>
        <w:numId w:val="10"/>
      </w:numPr>
    </w:pPr>
  </w:style>
  <w:style w:type="paragraph" w:customStyle="1" w:styleId="ListAlpha2">
    <w:name w:val="List Alpha 2"/>
    <w:basedOn w:val="List2"/>
    <w:rsid w:val="007B62EF"/>
    <w:pPr>
      <w:numPr>
        <w:numId w:val="9"/>
      </w:numPr>
    </w:pPr>
  </w:style>
  <w:style w:type="paragraph" w:styleId="List2">
    <w:name w:val="List 2"/>
    <w:basedOn w:val="BodyText"/>
    <w:rsid w:val="007B6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2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B62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B62EF"/>
    <w:pPr>
      <w:numPr>
        <w:numId w:val="5"/>
      </w:numPr>
    </w:pPr>
  </w:style>
  <w:style w:type="paragraph" w:styleId="ListContinue2">
    <w:name w:val="List Continue 2"/>
    <w:basedOn w:val="List2"/>
    <w:rsid w:val="007B62EF"/>
    <w:pPr>
      <w:ind w:firstLine="0"/>
    </w:pPr>
  </w:style>
  <w:style w:type="paragraph" w:styleId="ListContinue3">
    <w:name w:val="List Continue 3"/>
    <w:basedOn w:val="List3"/>
    <w:rsid w:val="007B62EF"/>
    <w:pPr>
      <w:ind w:left="1021" w:firstLine="0"/>
    </w:pPr>
  </w:style>
  <w:style w:type="paragraph" w:styleId="ListContinue4">
    <w:name w:val="List Continue 4"/>
    <w:basedOn w:val="List4"/>
    <w:rsid w:val="007B62EF"/>
    <w:pPr>
      <w:ind w:firstLine="0"/>
    </w:pPr>
  </w:style>
  <w:style w:type="paragraph" w:styleId="ListContinue5">
    <w:name w:val="List Continue 5"/>
    <w:basedOn w:val="List5"/>
    <w:rsid w:val="007B62EF"/>
    <w:pPr>
      <w:ind w:firstLine="0"/>
    </w:pPr>
  </w:style>
  <w:style w:type="paragraph" w:styleId="ListNumber3">
    <w:name w:val="List Number 3"/>
    <w:basedOn w:val="List3"/>
    <w:rsid w:val="007B62EF"/>
    <w:pPr>
      <w:numPr>
        <w:numId w:val="6"/>
      </w:numPr>
    </w:pPr>
  </w:style>
  <w:style w:type="paragraph" w:styleId="ListNumber4">
    <w:name w:val="List Number 4"/>
    <w:basedOn w:val="List4"/>
    <w:rsid w:val="007B62EF"/>
    <w:pPr>
      <w:numPr>
        <w:numId w:val="7"/>
      </w:numPr>
    </w:pPr>
  </w:style>
  <w:style w:type="paragraph" w:styleId="ListNumber5">
    <w:name w:val="List Number 5"/>
    <w:basedOn w:val="List5"/>
    <w:rsid w:val="007B62EF"/>
    <w:pPr>
      <w:numPr>
        <w:numId w:val="8"/>
      </w:numPr>
    </w:pPr>
  </w:style>
  <w:style w:type="paragraph" w:styleId="BlockText">
    <w:name w:val="Block Text"/>
    <w:basedOn w:val="Normal"/>
    <w:rsid w:val="007B6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2EF"/>
    <w:rPr>
      <w:sz w:val="16"/>
      <w:vertAlign w:val="superscript"/>
    </w:rPr>
  </w:style>
  <w:style w:type="character" w:customStyle="1" w:styleId="Symbols">
    <w:name w:val="Symbols"/>
    <w:basedOn w:val="DefaultParagraphFont"/>
    <w:rsid w:val="007B62EF"/>
    <w:rPr>
      <w:rFonts w:ascii="Symbol" w:hAnsi="Symbol"/>
    </w:rPr>
  </w:style>
  <w:style w:type="character" w:customStyle="1" w:styleId="MenuOptions">
    <w:name w:val="Menu Options"/>
    <w:basedOn w:val="DefaultParagraphFont"/>
    <w:rsid w:val="007B6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2EF"/>
    <w:rPr>
      <w:b/>
    </w:rPr>
  </w:style>
  <w:style w:type="character" w:customStyle="1" w:styleId="Underlined">
    <w:name w:val="Underlined"/>
    <w:basedOn w:val="DefaultParagraphFont"/>
    <w:rsid w:val="007B62EF"/>
    <w:rPr>
      <w:u w:val="single"/>
    </w:rPr>
  </w:style>
  <w:style w:type="paragraph" w:customStyle="1" w:styleId="TableBodyTextRight">
    <w:name w:val="Table Body Text Right"/>
    <w:basedOn w:val="TableBodyText"/>
    <w:rsid w:val="007B6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2EF"/>
    <w:rPr>
      <w:sz w:val="18"/>
    </w:rPr>
  </w:style>
  <w:style w:type="paragraph" w:customStyle="1" w:styleId="BodySmallRight">
    <w:name w:val="Body Small Right"/>
    <w:basedOn w:val="BodyTextRight"/>
    <w:rsid w:val="007B62EF"/>
    <w:rPr>
      <w:sz w:val="18"/>
      <w:szCs w:val="18"/>
    </w:rPr>
  </w:style>
  <w:style w:type="paragraph" w:customStyle="1" w:styleId="MarginEdition">
    <w:name w:val="Margin Edition"/>
    <w:basedOn w:val="MarginNote"/>
    <w:rsid w:val="007B6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2EF"/>
    <w:rPr>
      <w:sz w:val="2"/>
      <w:szCs w:val="2"/>
    </w:rPr>
  </w:style>
  <w:style w:type="character" w:customStyle="1" w:styleId="Small">
    <w:name w:val="Small"/>
    <w:basedOn w:val="DefaultParagraphFont"/>
    <w:rsid w:val="007B62EF"/>
    <w:rPr>
      <w:sz w:val="16"/>
    </w:rPr>
  </w:style>
  <w:style w:type="paragraph" w:customStyle="1" w:styleId="WideTable">
    <w:name w:val="Wide Table"/>
    <w:basedOn w:val="Normal"/>
    <w:rsid w:val="007B6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2EF"/>
  </w:style>
  <w:style w:type="paragraph" w:styleId="Quote">
    <w:name w:val="Quote"/>
    <w:basedOn w:val="Heading1"/>
    <w:link w:val="QuoteChar"/>
    <w:qFormat/>
    <w:rsid w:val="007B6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2EF"/>
    <w:pPr>
      <w:pageBreakBefore/>
    </w:pPr>
  </w:style>
  <w:style w:type="paragraph" w:customStyle="1" w:styleId="Border">
    <w:name w:val="Border"/>
    <w:basedOn w:val="Normal"/>
    <w:qFormat/>
    <w:rsid w:val="007B6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2EF"/>
    <w:rPr>
      <w:u w:val="single"/>
    </w:rPr>
  </w:style>
  <w:style w:type="character" w:customStyle="1" w:styleId="BoldandItalics">
    <w:name w:val="Bold and Italics"/>
    <w:qFormat/>
    <w:rsid w:val="007B62EF"/>
    <w:rPr>
      <w:b/>
      <w:i/>
      <w:u w:val="none"/>
    </w:rPr>
  </w:style>
  <w:style w:type="paragraph" w:styleId="BalloonText">
    <w:name w:val="Balloon Text"/>
    <w:basedOn w:val="Normal"/>
    <w:link w:val="BalloonTextChar"/>
    <w:rsid w:val="007B6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2EF"/>
    <w:pPr>
      <w:spacing w:before="0" w:after="0"/>
    </w:pPr>
  </w:style>
  <w:style w:type="paragraph" w:customStyle="1" w:styleId="BodyTextBold">
    <w:name w:val="Body Text Bold"/>
    <w:basedOn w:val="BodyText"/>
    <w:qFormat/>
    <w:rsid w:val="007B62EF"/>
    <w:rPr>
      <w:b/>
    </w:rPr>
  </w:style>
  <w:style w:type="character" w:styleId="Hyperlink">
    <w:name w:val="Hyperlink"/>
    <w:basedOn w:val="DefaultParagraphFont"/>
    <w:uiPriority w:val="99"/>
    <w:unhideWhenUsed/>
    <w:rsid w:val="006E06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722</Words>
  <Characters>4847</Characters>
  <Application>Microsoft Office Word</Application>
  <DocSecurity>0</DocSecurity>
  <Lines>118</Lines>
  <Paragraphs>91</Paragraphs>
  <ScaleCrop>false</ScaleCrop>
  <Company>Author-it Software Corporation Ltd.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UEERE0081 Install photovoltaic systems to power conversion equipment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