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A91" w:rsidP="00363A91">
      <w:pPr>
        <w:pStyle w:val="Title"/>
      </w:pPr>
      <w:r>
        <w:fldChar w:fldCharType="begin"/>
      </w:r>
      <w:r>
        <w:instrText xml:space="preserve"> TITLE   \* MERGEFORMAT </w:instrText>
      </w:r>
      <w:r>
        <w:fldChar w:fldCharType="separate"/>
      </w:r>
      <w:r>
        <w:t>UEERE0074 Inspect off-grid renewable energy systems</w:t>
      </w:r>
      <w:r>
        <w:fldChar w:fldCharType="end"/>
      </w:r>
    </w:p>
    <w:p w:rsidR="00363A91" w:rsidP="00363A91">
      <w:pPr>
        <w:pStyle w:val="Version"/>
        <w:sectPr w:rsidSect="00100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A6C" w:rsidP="00100A6C">
      <w:pPr>
        <w:pStyle w:val="SuperHeading"/>
      </w:pPr>
      <w:r w:rsidRPr="00100A6C">
        <w:t>UEERE0074 Inspect off-grid renewable energy systems</w:t>
      </w:r>
    </w:p>
    <w:p w:rsidR="00000000" w:rsidRPr="00100A6C" w:rsidP="00100A6C">
      <w:pPr>
        <w:pStyle w:val="Heading1"/>
      </w:pPr>
      <w:bookmarkStart w:id="1" w:name="O_1268257"/>
      <w:bookmarkEnd w:id="1"/>
      <w:r w:rsidRPr="00100A6C">
        <w:t>Modification History</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Release 1. This is the first release of this unit of competency in the Electrotechnology Training Package.</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2" w:name="O_1268258"/>
      <w:bookmarkEnd w:id="2"/>
      <w:r w:rsidRPr="00100A6C">
        <w:t>Application</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 xml:space="preserve">This unit involves the skills and knowledge required to conduct compliance inspection </w:t>
            </w:r>
            <w:r w:rsidRPr="00100A6C">
              <w:t>of off-grid renewable energy systems.</w:t>
            </w:r>
          </w:p>
          <w:p w:rsidR="00000000" w:rsidRPr="00100A6C" w:rsidP="00100A6C">
            <w:pPr>
              <w:pStyle w:val="BodyText"/>
            </w:pPr>
            <w:r w:rsidRPr="00100A6C">
              <w:t>It includes reviewing relevant industry/regulatory standards that must be complied with, preparing inspection checklist, conducting compliance inspection, and actioning and reporting on findings.</w:t>
            </w:r>
          </w:p>
          <w:p w:rsidR="00000000" w:rsidRPr="00100A6C" w:rsidP="00100A6C">
            <w:pPr>
              <w:pStyle w:val="BodyText"/>
            </w:pPr>
            <w:r w:rsidRPr="00100A6C">
              <w:t>The skills and knowled</w:t>
            </w:r>
            <w:r w:rsidRPr="00100A6C">
              <w:t>ge described in this unit require a licence or permit to practice in the workplace where work is carried out on electrical installations which are designed to operate at voltages greater than 50 volt (V) alternating current (a.c.) or 120 V direct current (</w:t>
            </w:r>
            <w:r w:rsidRPr="00100A6C">
              <w:t>d.c.).</w:t>
            </w:r>
          </w:p>
          <w:p w:rsidR="00000000" w:rsidRPr="00100A6C" w:rsidP="00100A6C">
            <w:pPr>
              <w:pStyle w:val="BodyText"/>
            </w:pPr>
            <w:r w:rsidRPr="00100A6C">
              <w:t>Competency development activities in this unit are subject to regulations directly related to licensing.</w:t>
            </w:r>
          </w:p>
          <w:p w:rsidR="00000000" w:rsidRPr="00100A6C" w:rsidP="00100A6C">
            <w:pPr>
              <w:pStyle w:val="BodyText"/>
            </w:pPr>
            <w:r w:rsidRPr="00100A6C">
              <w:t xml:space="preserve">Additional and/or other conditions may apply in some jurisdictions subject to regulations related to electrical work. Practice in the workplace </w:t>
            </w:r>
            <w:r w:rsidRPr="00100A6C">
              <w:t>and during training is also subject to work health and safety (WHS)/occupational health and safety (OHS) regulations.</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3" w:name="O_1268259"/>
      <w:bookmarkEnd w:id="3"/>
      <w:r w:rsidRPr="00100A6C">
        <w:t>Pre-requisite Unit</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UEEEL0039 Design, install and verify compliance and functionality of general electrical installati</w:t>
            </w:r>
            <w:r w:rsidRPr="00100A6C">
              <w:t>ons</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4" w:name="O_1268260"/>
      <w:bookmarkEnd w:id="4"/>
      <w:r w:rsidRPr="00100A6C">
        <w:t>Competency Field</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Renewable Energy</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5" w:name="O_1268261"/>
      <w:bookmarkEnd w:id="5"/>
      <w:r w:rsidRPr="00100A6C">
        <w:t>Unit Sector</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Electrotechnology</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6" w:name="O_1268262"/>
      <w:bookmarkEnd w:id="6"/>
      <w:r w:rsidRPr="00100A6C">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100A6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PERFORMANCE CRITERIA</w:t>
            </w:r>
          </w:p>
        </w:tc>
      </w:tr>
      <w:tr w:rsidTr="00100A6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 xml:space="preserve">Elements describe the essential </w:t>
            </w:r>
            <w:r w:rsidRPr="00100A6C">
              <w:t>outcomes.</w:t>
            </w:r>
          </w:p>
        </w:tc>
        <w:tc>
          <w:tcPr>
            <w:tcW w:w="6242" w:type="dxa"/>
            <w:gridSpan w:val="2"/>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 xml:space="preserve">Performance criteria describe the performance needed to </w:t>
            </w:r>
            <w:r w:rsidRPr="00100A6C">
              <w:t>demonstrate achievement of the element.</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Prepare to conduct off-grid system compliance inspection</w:t>
            </w: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WHS/OHS processes and procedures for work are identified and applied in accordance with workpl</w:t>
            </w:r>
            <w:r w:rsidRPr="00100A6C">
              <w:t>ace procedures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Installation documentation and relevant industry/regulatory standards are reviewed and applied</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Inspection checklists are prepared in accordance with relevant industry standards and regulatory requirements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Appropriate person/s is consulted to ensure the work is coordinated effectively with others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Tools, equipment and testing devices to verify compliance are obtained and checked for operation and safety in accordance with workplace procedures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Ne</w:t>
            </w:r>
            <w:r w:rsidRPr="00100A6C">
              <w:t>ed to test and measure live electrical work is determined in accordance with WHS/OHS requirements and workplace procedures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Conduct compliance inspection of off-grid renewable energy system</w:t>
            </w: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Circuits/machines/plant are checked and isolated in accordance with WHS/OHS requirements and workplace procedures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Inspection of the system is conducted against checklist in accordance with relevant industry standards and regulatory requirements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2</w:t>
            </w:r>
            <w:r w:rsidRPr="00100A6C">
              <w:rPr>
                <w:rStyle w:val="SpecialBold"/>
              </w:rPr>
              <w:t>.3</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Electrical equipment compliance with relevant safety requirements and industry standards is obtained from appropriate person/s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Areas of compliance are verified, and non-compliance identified in accordance with relevant industry standards and regu</w:t>
            </w:r>
            <w:r w:rsidRPr="00100A6C">
              <w:t>latory requirements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rPr>
                <w:rStyle w:val="SpecialBold"/>
              </w:rPr>
              <w:t>Act and report on off-grid system inspection findings</w:t>
            </w: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Inspection findings are documented in accordance with relevant industry standards and regulatory requirements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Actions for non-compliance within the scope of inspection responsibilities are determined in accordance with relevant industry standards and regulatory requirements</w:t>
            </w:r>
          </w:p>
        </w:tc>
      </w:tr>
      <w:tr w:rsidTr="00100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100A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Inspection report is completed and issued to appropriate person/s in accordance with</w:t>
            </w:r>
            <w:r w:rsidRPr="00100A6C">
              <w:t xml:space="preserve"> relevant industry standards </w:t>
            </w:r>
            <w:r w:rsidRPr="00100A6C">
              <w:t>and regulatory requirements</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7" w:name="O_1268263"/>
      <w:bookmarkEnd w:id="7"/>
      <w:r w:rsidRPr="00100A6C">
        <w:t>Foundation Skills</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Foundation skills essential to performance are explicit in the performance criteria of this unit of competency.</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8" w:name="O_1268264"/>
      <w:bookmarkEnd w:id="8"/>
      <w:r w:rsidRPr="00100A6C">
        <w:t>Range of Conditions</w:t>
      </w:r>
    </w:p>
    <w:tbl>
      <w:tblPr>
        <w:tblW w:w="9497" w:type="dxa"/>
        <w:tblLayout w:type="fixed"/>
        <w:tblCellMar>
          <w:left w:w="62" w:type="dxa"/>
          <w:right w:w="62" w:type="dxa"/>
        </w:tblCellMar>
        <w:tblLook w:val="0000"/>
      </w:tblPr>
      <w:tblGrid>
        <w:gridCol w:w="4638"/>
        <w:gridCol w:w="4859"/>
      </w:tblGrid>
      <w:tr w:rsidTr="00100A6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Range is restricted to essential operating conditions and any other variables essential to the work environment.</w:t>
            </w:r>
          </w:p>
          <w:p w:rsidR="00000000" w:rsidP="00100A6C">
            <w:pPr>
              <w:pStyle w:val="BodyText"/>
              <w:rPr>
                <w:lang w:val="en-NZ"/>
              </w:rPr>
            </w:pPr>
            <w:r w:rsidRPr="00100A6C">
              <w:t>Non-essential conditions may be found in the Electrotechnology Training Package Companion Volume Implementation Guide.</w:t>
            </w:r>
          </w:p>
        </w:tc>
      </w:tr>
      <w:tr w:rsidTr="00100A6C">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Inspection of off-grid</w:t>
            </w:r>
            <w:r w:rsidRPr="00100A6C">
              <w:t xml:space="preserve"> renewable energy systems must include:</w:t>
            </w:r>
          </w:p>
        </w:tc>
        <w:tc>
          <w:tcPr>
            <w:tcW w:w="4859" w:type="dxa"/>
            <w:tcBorders>
              <w:top w:val="nil"/>
              <w:left w:val="nil"/>
              <w:bottom w:val="nil"/>
              <w:right w:val="nil"/>
            </w:tcBorders>
            <w:tcMar>
              <w:top w:w="0" w:type="dxa"/>
              <w:left w:w="62" w:type="dxa"/>
              <w:bottom w:w="0" w:type="dxa"/>
              <w:right w:w="62" w:type="dxa"/>
            </w:tcMar>
          </w:tcPr>
          <w:p w:rsidR="00000000" w:rsidRPr="00100A6C" w:rsidP="00100A6C">
            <w:pPr>
              <w:pStyle w:val="ListBullet"/>
            </w:pPr>
            <w:r w:rsidRPr="00100A6C">
              <w:t>two different types of systems</w:t>
            </w:r>
          </w:p>
          <w:p w:rsidR="00000000" w:rsidRPr="00100A6C" w:rsidP="00100A6C">
            <w:pPr>
              <w:pStyle w:val="ListBullet"/>
            </w:pPr>
            <w:r w:rsidRPr="00100A6C">
              <w:t>energy generation equipment</w:t>
            </w:r>
          </w:p>
          <w:p w:rsidR="00000000" w:rsidRPr="00100A6C" w:rsidP="00100A6C">
            <w:pPr>
              <w:pStyle w:val="ListBullet"/>
            </w:pPr>
            <w:r w:rsidRPr="00100A6C">
              <w:t>energy storage equipment</w:t>
            </w:r>
          </w:p>
          <w:p w:rsidR="00000000" w:rsidRPr="00100A6C" w:rsidP="00100A6C">
            <w:pPr>
              <w:pStyle w:val="ListBullet"/>
            </w:pPr>
            <w:r w:rsidRPr="00100A6C">
              <w:t>power conversion equipment.</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9" w:name="O_1268265"/>
      <w:bookmarkEnd w:id="9"/>
      <w:r w:rsidRPr="00100A6C">
        <w:t>Unit Mapping Information</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This is a new unit.</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10" w:name="O_1268272"/>
      <w:bookmarkEnd w:id="10"/>
      <w:r w:rsidRPr="00100A6C">
        <w:t>Links</w:t>
      </w:r>
    </w:p>
    <w:p w:rsidR="00000000" w:rsidRPr="00100A6C" w:rsidP="00363A91">
      <w:pPr>
        <w:pStyle w:val="BodyText"/>
      </w:pPr>
      <w:r w:rsidRPr="00100A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11E83">
        <w:rPr>
          <w:rStyle w:val="Hyperlink"/>
        </w:rPr>
        <w:t>https://vetnet.gov.au/Pages/TrainingDocs.aspx?q=b8a8f136-5421-4ce1-92e0-2b50341431b6</w:t>
      </w:r>
      <w:r>
        <w:fldChar w:fldCharType="end"/>
      </w:r>
    </w:p>
    <w:p w:rsidR="00000000" w:rsidRPr="00100A6C" w:rsidP="00363A91">
      <w:pPr>
        <w:pStyle w:val="BodyText"/>
        <w:sectPr w:rsidSect="00100A6C">
          <w:headerReference w:type="default" r:id="rId10"/>
          <w:footerReference w:type="default" r:id="rId11"/>
          <w:pgSz w:w="11908" w:h="16833"/>
          <w:pgMar w:top="1702" w:right="1418" w:bottom="1702" w:left="1418" w:header="992" w:footer="992" w:gutter="0"/>
          <w:cols w:space="720"/>
          <w:noEndnote/>
          <w:docGrid w:linePitch="299"/>
        </w:sectPr>
      </w:pPr>
    </w:p>
    <w:p w:rsidR="00000000" w:rsidRPr="00100A6C" w:rsidP="00100A6C">
      <w:pPr>
        <w:pStyle w:val="SuperHeading"/>
      </w:pPr>
      <w:r w:rsidRPr="00100A6C">
        <w:t>Assessment Requirements for UEERE0074 Inspect off-grid renewabl</w:t>
      </w:r>
      <w:r w:rsidRPr="00100A6C">
        <w:t>e energy systems</w:t>
      </w:r>
    </w:p>
    <w:p w:rsidR="00000000" w:rsidRPr="00100A6C" w:rsidP="00100A6C">
      <w:pPr>
        <w:pStyle w:val="Heading1"/>
      </w:pPr>
      <w:bookmarkStart w:id="11" w:name="O_1268267"/>
      <w:bookmarkEnd w:id="11"/>
      <w:r w:rsidRPr="00100A6C">
        <w:t>Modification History</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Release 1. This is the first release of this unit of competency in the Electrotechnology Training Package.</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12" w:name="O_1268268"/>
      <w:bookmarkEnd w:id="12"/>
      <w:r w:rsidRPr="00100A6C">
        <w:t>Performance Evidence</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Evidence required to demonstrate competence in this unit must be relevant to and satisfy all of the requirements of the elements and performance criteria on at least two separate occasions and include:</w:t>
            </w:r>
          </w:p>
        </w:tc>
      </w:tr>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ListBullet"/>
            </w:pPr>
            <w:r w:rsidRPr="00100A6C">
              <w:t>applying relevant work health and safety (WHS)/occup</w:t>
            </w:r>
            <w:r w:rsidRPr="00100A6C">
              <w:t>ational health and safety (OHS) requirements, including using risk control measures</w:t>
            </w:r>
          </w:p>
          <w:p w:rsidR="00000000" w:rsidRPr="00100A6C" w:rsidP="00100A6C">
            <w:pPr>
              <w:pStyle w:val="ListBullet"/>
            </w:pPr>
            <w:r w:rsidRPr="00100A6C">
              <w:t>obtaining required information and documentation in preparation for the inspection</w:t>
            </w:r>
          </w:p>
          <w:p w:rsidR="00000000" w:rsidRPr="00100A6C" w:rsidP="00100A6C">
            <w:pPr>
              <w:pStyle w:val="ListBullet"/>
            </w:pPr>
            <w:r w:rsidRPr="00100A6C">
              <w:t>preparing off-grid system inspection checklists based on industry standards and regulator</w:t>
            </w:r>
            <w:r w:rsidRPr="00100A6C">
              <w:t>y requirements</w:t>
            </w:r>
          </w:p>
          <w:p w:rsidR="00000000" w:rsidRPr="00100A6C" w:rsidP="00100A6C">
            <w:pPr>
              <w:pStyle w:val="ListBullet"/>
            </w:pPr>
            <w:r w:rsidRPr="00100A6C">
              <w:t>conducting detailed inspections and testing of off-grid systems</w:t>
            </w:r>
          </w:p>
          <w:p w:rsidR="00000000" w:rsidRPr="00100A6C" w:rsidP="00100A6C">
            <w:pPr>
              <w:pStyle w:val="ListBullet"/>
            </w:pPr>
            <w:r w:rsidRPr="00100A6C">
              <w:t>verifying off-grid system compliance, and identifying non-compliance, with industry/regulatory standards</w:t>
            </w:r>
          </w:p>
          <w:p w:rsidR="00000000" w:rsidRPr="00100A6C" w:rsidP="00100A6C">
            <w:pPr>
              <w:pStyle w:val="ListBullet"/>
            </w:pPr>
            <w:r w:rsidRPr="00100A6C">
              <w:t>acting within the inspection authority when dealing with non-compliance</w:t>
            </w:r>
          </w:p>
          <w:p w:rsidR="00000000" w:rsidRPr="00100A6C" w:rsidP="00100A6C">
            <w:pPr>
              <w:pStyle w:val="ListBullet"/>
            </w:pPr>
            <w:r w:rsidRPr="00100A6C">
              <w:t>documenting and reporting inspection findings.</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13" w:name="O_1268269"/>
      <w:bookmarkEnd w:id="13"/>
      <w:r w:rsidRPr="00100A6C">
        <w:t>Knowledge Evidence</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0A6C">
            <w:pPr>
              <w:pStyle w:val="BodyText"/>
              <w:rPr>
                <w:lang w:val="en-NZ"/>
              </w:rPr>
            </w:pPr>
            <w:r w:rsidRPr="00100A6C">
              <w:t xml:space="preserve">Evidence required to demonstrate competence in this unit must be relevant to and satisfy all of the requirements of the elements and performance criteria and </w:t>
            </w:r>
            <w:r w:rsidRPr="00100A6C">
              <w:t xml:space="preserve">include knowledge of the following. Additional advice and definitions for some items is provided in the UEE Training Package Companion Volume Implementation Guide (CVIG): </w:t>
            </w:r>
          </w:p>
        </w:tc>
      </w:tr>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ListBullet"/>
            </w:pPr>
            <w:r w:rsidRPr="00100A6C">
              <w:t>inspections and safety compliance audits of off-grid renewable energy systems, inc</w:t>
            </w:r>
            <w:r w:rsidRPr="00100A6C">
              <w:t>luding:</w:t>
            </w:r>
          </w:p>
          <w:p w:rsidR="00000000" w:rsidRPr="00100A6C" w:rsidP="00100A6C">
            <w:pPr>
              <w:pStyle w:val="ListBullet2"/>
            </w:pPr>
            <w:r w:rsidRPr="00100A6C">
              <w:t>inspection types and their scope</w:t>
            </w:r>
          </w:p>
          <w:p w:rsidR="00000000" w:rsidRPr="00100A6C" w:rsidP="00100A6C">
            <w:pPr>
              <w:pStyle w:val="ListBullet2"/>
            </w:pPr>
            <w:r w:rsidRPr="00100A6C">
              <w:t>scope of inspection responsibilities</w:t>
            </w:r>
          </w:p>
          <w:p w:rsidR="00000000" w:rsidRPr="00100A6C" w:rsidP="00100A6C">
            <w:pPr>
              <w:pStyle w:val="ListBullet2"/>
            </w:pPr>
            <w:r w:rsidRPr="00100A6C">
              <w:t>inspection methods and procedures</w:t>
            </w:r>
          </w:p>
          <w:p w:rsidR="00000000" w:rsidRPr="00100A6C" w:rsidP="00100A6C">
            <w:pPr>
              <w:pStyle w:val="ListBullet2"/>
            </w:pPr>
            <w:r w:rsidRPr="00100A6C">
              <w:t>inspection documentation</w:t>
            </w:r>
          </w:p>
          <w:p w:rsidR="00000000" w:rsidRPr="00100A6C" w:rsidP="00100A6C">
            <w:pPr>
              <w:pStyle w:val="ListBullet2"/>
            </w:pPr>
            <w:r w:rsidRPr="00100A6C">
              <w:t>off-grid renewable energy systems including:</w:t>
            </w:r>
          </w:p>
          <w:p w:rsidR="00000000" w:rsidRPr="00100A6C" w:rsidP="00100A6C">
            <w:pPr>
              <w:pStyle w:val="ListBullet3"/>
            </w:pPr>
            <w:r w:rsidRPr="00100A6C">
              <w:t>installation of photovoltaic systems to power conversion equipment</w:t>
            </w:r>
          </w:p>
          <w:p w:rsidR="00000000" w:rsidRPr="00100A6C" w:rsidP="00100A6C">
            <w:pPr>
              <w:pStyle w:val="ListBullet3"/>
            </w:pPr>
            <w:r w:rsidRPr="00100A6C">
              <w:t>installation of battery storage to power conversion equipment</w:t>
            </w:r>
          </w:p>
          <w:p w:rsidR="00000000" w:rsidRPr="00100A6C" w:rsidP="00100A6C">
            <w:pPr>
              <w:pStyle w:val="ListBullet3"/>
            </w:pPr>
            <w:r w:rsidRPr="00100A6C">
              <w:t>installation and maintenance of wind energy systems to power conversion equipment</w:t>
            </w:r>
          </w:p>
          <w:p w:rsidR="00000000" w:rsidRPr="00100A6C" w:rsidP="00100A6C">
            <w:pPr>
              <w:pStyle w:val="ListBullet3"/>
            </w:pPr>
            <w:r w:rsidRPr="00100A6C">
              <w:t>installation and maintenance of micro hydro energy systems to power conversion equipment</w:t>
            </w:r>
          </w:p>
          <w:p w:rsidR="00000000" w:rsidRPr="00100A6C" w:rsidP="00100A6C">
            <w:pPr>
              <w:pStyle w:val="ListBullet3"/>
            </w:pPr>
            <w:r w:rsidRPr="00100A6C">
              <w:t>installation of off-gri</w:t>
            </w:r>
            <w:r w:rsidRPr="00100A6C">
              <w:t>d power conversion equipment to electrical installation</w:t>
            </w:r>
          </w:p>
          <w:p w:rsidR="00000000" w:rsidRPr="00100A6C" w:rsidP="00100A6C">
            <w:pPr>
              <w:pStyle w:val="ListBullet3"/>
            </w:pPr>
            <w:r w:rsidRPr="00100A6C">
              <w:t>fault finding and repair off-grid photovoltaic/generating set systems to an electrical installation</w:t>
            </w:r>
          </w:p>
          <w:p w:rsidR="00000000" w:rsidRPr="00100A6C" w:rsidP="00100A6C">
            <w:pPr>
              <w:pStyle w:val="ListBullet2"/>
            </w:pPr>
            <w:r w:rsidRPr="00100A6C">
              <w:t>relevant industry standards</w:t>
            </w:r>
          </w:p>
          <w:p w:rsidR="00000000" w:rsidRPr="00100A6C" w:rsidP="00100A6C">
            <w:pPr>
              <w:pStyle w:val="ListBullet2"/>
            </w:pPr>
            <w:r w:rsidRPr="00100A6C">
              <w:t>relevant regulatory requirements</w:t>
            </w:r>
          </w:p>
          <w:p w:rsidR="00000000" w:rsidRPr="00100A6C" w:rsidP="00100A6C">
            <w:pPr>
              <w:pStyle w:val="ListBullet2"/>
            </w:pPr>
            <w:r w:rsidRPr="00100A6C">
              <w:t>relevant manufacturer specifications</w:t>
            </w:r>
          </w:p>
          <w:p w:rsidR="00000000" w:rsidRPr="00100A6C" w:rsidP="00100A6C">
            <w:pPr>
              <w:pStyle w:val="ListBullet2"/>
            </w:pPr>
            <w:r w:rsidRPr="00100A6C">
              <w:t>considerations when inspecting different types of installations</w:t>
            </w:r>
          </w:p>
          <w:p w:rsidR="00000000" w:rsidRPr="00100A6C" w:rsidP="00100A6C">
            <w:pPr>
              <w:pStyle w:val="ListBullet2"/>
            </w:pPr>
            <w:r w:rsidRPr="00100A6C">
              <w:t>processes for confirming that performance standards have been met</w:t>
            </w:r>
          </w:p>
          <w:p w:rsidR="00000000" w:rsidRPr="00100A6C" w:rsidP="00100A6C">
            <w:pPr>
              <w:pStyle w:val="ListBullet2"/>
            </w:pPr>
            <w:r w:rsidRPr="00100A6C">
              <w:t>actions and procedures for dealing with non-compliance defect</w:t>
            </w:r>
          </w:p>
          <w:p w:rsidR="00000000" w:rsidRPr="00100A6C" w:rsidP="00100A6C">
            <w:pPr>
              <w:pStyle w:val="ListBullet2"/>
            </w:pPr>
            <w:r w:rsidRPr="00100A6C">
              <w:t>relevant job safety assessments or risk mitigation processes</w:t>
            </w:r>
          </w:p>
          <w:p w:rsidR="00000000" w:rsidRPr="00100A6C" w:rsidP="00100A6C">
            <w:pPr>
              <w:pStyle w:val="ListBullet2"/>
            </w:pPr>
            <w:r w:rsidRPr="00100A6C">
              <w:t>rel</w:t>
            </w:r>
            <w:r w:rsidRPr="00100A6C">
              <w:t>evant WHS/OHS and legislated requirements.</w:t>
            </w:r>
          </w:p>
          <w:p w:rsidR="00000000" w:rsidRPr="00100A6C" w:rsidP="00100A6C">
            <w:pPr>
              <w:pStyle w:val="ListBullet2"/>
            </w:pPr>
            <w:r w:rsidRPr="00100A6C">
              <w:t>relevant workplace documentation, policies and procedures.</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14" w:name="O_1268270"/>
      <w:bookmarkEnd w:id="14"/>
      <w:r w:rsidRPr="00100A6C">
        <w:t>Assessment Conditions</w:t>
      </w:r>
    </w:p>
    <w:tbl>
      <w:tblPr>
        <w:tblW w:w="9497" w:type="dxa"/>
        <w:tblLayout w:type="fixed"/>
        <w:tblCellMar>
          <w:left w:w="62" w:type="dxa"/>
          <w:right w:w="62" w:type="dxa"/>
        </w:tblCellMar>
        <w:tblLook w:val="0000"/>
      </w:tblPr>
      <w:tblGrid>
        <w:gridCol w:w="9497"/>
      </w:tblGrid>
      <w:tr w:rsidTr="00100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0A6C" w:rsidP="00100A6C">
            <w:pPr>
              <w:pStyle w:val="BodyText"/>
            </w:pPr>
            <w:r w:rsidRPr="00100A6C">
              <w:t>Assessors must hold credentials specified within the Standards for Registered Training Organisations current at</w:t>
            </w:r>
            <w:r w:rsidRPr="00100A6C">
              <w:t xml:space="preserve"> the time of assessment. </w:t>
            </w:r>
          </w:p>
          <w:p w:rsidR="00000000" w:rsidRPr="00100A6C" w:rsidP="00100A6C">
            <w:pPr>
              <w:pStyle w:val="BodyText"/>
            </w:pPr>
            <w:r w:rsidRPr="00100A6C">
              <w:t>Assessment must satisfy the Principles of Assessment and Rules of Evidence and all regulatory requirements included within the Standards for Registered Training Organisations current at the time of assessment.</w:t>
            </w:r>
          </w:p>
          <w:p w:rsidR="00000000" w:rsidRPr="00100A6C" w:rsidP="00100A6C">
            <w:pPr>
              <w:pStyle w:val="BodyText"/>
            </w:pPr>
            <w:r w:rsidRPr="00100A6C">
              <w:t>Assessment must occu</w:t>
            </w:r>
            <w:r w:rsidRPr="00100A6C">
              <w:t>r in workplace operational situations where it is appropriate to do so; where this is not appropriate, assessment must occur in simulated workplace operational situations that replicate workplace conditions.</w:t>
            </w:r>
          </w:p>
          <w:p w:rsidR="00000000" w:rsidRPr="00100A6C" w:rsidP="00100A6C">
            <w:pPr>
              <w:pStyle w:val="BodyText"/>
            </w:pPr>
            <w:r w:rsidRPr="00100A6C">
              <w:t>Assessment processes and techniques must be appr</w:t>
            </w:r>
            <w:r w:rsidRPr="00100A6C">
              <w:t>opriate to the language, literacy and numeracy requirements of the work being performed and the needs of the candidate.</w:t>
            </w:r>
          </w:p>
          <w:p w:rsidR="00000000" w:rsidRPr="00100A6C" w:rsidP="00100A6C">
            <w:pPr>
              <w:pStyle w:val="BodyText"/>
            </w:pPr>
            <w:r w:rsidRPr="00100A6C">
              <w:t>Resources for assessment must include access to:</w:t>
            </w:r>
          </w:p>
          <w:p w:rsidR="00000000" w:rsidRPr="00100A6C" w:rsidP="00100A6C">
            <w:pPr>
              <w:pStyle w:val="ListBullet"/>
            </w:pPr>
            <w:r w:rsidRPr="00100A6C">
              <w:t>a range of relevant exercises, case studies and/or other simulations</w:t>
            </w:r>
          </w:p>
          <w:p w:rsidR="00000000" w:rsidRPr="00100A6C" w:rsidP="00100A6C">
            <w:pPr>
              <w:pStyle w:val="ListBullet"/>
            </w:pPr>
            <w:r w:rsidRPr="00100A6C">
              <w:t xml:space="preserve">relevant and appropriate materials, tools, equipment and personal protective equipment (PPE) currently used in industry </w:t>
            </w:r>
          </w:p>
          <w:p w:rsidR="00000000" w:rsidRPr="00100A6C" w:rsidP="00100A6C">
            <w:pPr>
              <w:pStyle w:val="ListBullet"/>
            </w:pPr>
            <w:r w:rsidRPr="00100A6C">
              <w:t xml:space="preserve">applicable documentation, including workplace procedures, equipment specifications, industry standards, regulations, codes of practice </w:t>
            </w:r>
            <w:r w:rsidRPr="00100A6C">
              <w:t>and operation manuals.</w:t>
            </w:r>
          </w:p>
        </w:tc>
      </w:tr>
    </w:tbl>
    <w:p w:rsidR="00000000" w:rsidRPr="00100A6C" w:rsidP="00100A6C">
      <w:pPr>
        <w:pStyle w:val="NoPaddingFontSize1"/>
      </w:pPr>
    </w:p>
    <w:p w:rsidR="00000000" w:rsidRPr="00100A6C" w:rsidP="00100A6C">
      <w:pPr>
        <w:pStyle w:val="AllowPageBreak"/>
      </w:pPr>
    </w:p>
    <w:p w:rsidR="00000000" w:rsidRPr="00100A6C" w:rsidP="00100A6C">
      <w:pPr>
        <w:pStyle w:val="Heading1"/>
      </w:pPr>
      <w:bookmarkStart w:id="15" w:name="O_1268273"/>
      <w:bookmarkEnd w:id="15"/>
      <w:r w:rsidRPr="00100A6C">
        <w:t>Links</w:t>
      </w:r>
    </w:p>
    <w:p w:rsidR="00000000" w:rsidRPr="00100A6C" w:rsidP="00363A91">
      <w:pPr>
        <w:pStyle w:val="BodyText"/>
      </w:pPr>
      <w:r w:rsidRPr="00100A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11E83">
        <w:rPr>
          <w:rStyle w:val="Hyperlink"/>
        </w:rPr>
        <w:t>https://vetnet.gov.au/Pages/TrainingDocs.aspx?q=b8a8f136-5421-4ce1-92e0-2b50341431b6</w:t>
      </w:r>
      <w:r>
        <w:fldChar w:fldCharType="end"/>
      </w:r>
    </w:p>
    <w:p w:rsidR="00000000" w:rsidRPr="00100A6C" w:rsidP="00100A6C"/>
    <w:sectPr w:rsidSect="00100A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rsidRPr="00363A91" w:rsidP="00363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91" w:rsidP="00100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A91" w:rsidP="00100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3A91" w:rsidP="00100A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rsidP="00100A6C">
    <w:pPr>
      <w:pStyle w:val="Footer"/>
      <w:framePr w:wrap="around"/>
    </w:pPr>
    <w:r>
      <w:fldChar w:fldCharType="begin"/>
    </w:r>
    <w:r>
      <w:instrText xml:space="preserve"> DOCPROPERTY  Subject  \* MERGEFORMAT </w:instrText>
    </w:r>
    <w:r>
      <w:fldChar w:fldCharType="separate"/>
    </w:r>
    <w:r w:rsidR="00363A91">
      <w:t>Approved</w:t>
    </w:r>
    <w:r w:rsidR="00363A91">
      <w:fldChar w:fldCharType="end"/>
    </w:r>
    <w:r>
      <w:tab/>
      <w:t xml:space="preserve">Page </w:t>
    </w:r>
    <w:r>
      <w:fldChar w:fldCharType="begin"/>
    </w:r>
    <w:r>
      <w:instrText xml:space="preserve"> PAGE  \* Arabic  \* MERGEFORMAT </w:instrText>
    </w:r>
    <w:r>
      <w:fldChar w:fldCharType="separate"/>
    </w:r>
    <w:r w:rsidR="00363A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A91">
      <w:rPr>
        <w:noProof/>
      </w:rPr>
      <w:t>4</w:t>
    </w:r>
    <w:r>
      <w:rPr>
        <w:noProof/>
      </w:rPr>
      <w:fldChar w:fldCharType="end"/>
    </w:r>
  </w:p>
  <w:p w:rsidR="00100A6C" w:rsidP="00100A6C">
    <w:pPr>
      <w:pStyle w:val="Footer"/>
      <w:framePr w:wrap="around"/>
    </w:pPr>
    <w:r>
      <w:t xml:space="preserve">© Commonwealth of Australia, </w:t>
    </w:r>
    <w:r>
      <w:fldChar w:fldCharType="begin"/>
    </w:r>
    <w:r>
      <w:instrText xml:space="preserve"> DATE  \@ "yyyy"  \* MERGEFORMAT </w:instrText>
    </w:r>
    <w:r>
      <w:fldChar w:fldCharType="separate"/>
    </w:r>
    <w:r w:rsidR="00363A91">
      <w:rPr>
        <w:noProof/>
      </w:rPr>
      <w:t>2025</w:t>
    </w:r>
    <w:r>
      <w:fldChar w:fldCharType="end"/>
    </w:r>
    <w:r>
      <w:tab/>
    </w:r>
    <w:r>
      <w:fldChar w:fldCharType="begin"/>
    </w:r>
    <w:r>
      <w:instrText xml:space="preserve"> DOCPROPERTY  Author  \* MERGEFORMAT </w:instrText>
    </w:r>
    <w:r>
      <w:fldChar w:fldCharType="separate"/>
    </w:r>
    <w:r w:rsidR="00363A91">
      <w:t>Powering Skills Organisation</w:t>
    </w:r>
    <w:r w:rsidR="00363A91">
      <w:fldChar w:fldCharType="end"/>
    </w:r>
  </w:p>
  <w:p w:rsidR="00100A6C" w:rsidP="00100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A6C" w:rsidRPr="00363A91" w:rsidP="00363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91" w:rsidRPr="002D2AF8" w:rsidP="00100A6C">
    <w:pPr>
      <w:pStyle w:val="Header"/>
      <w:framePr w:wrap="around"/>
    </w:pPr>
    <w:r>
      <w:fldChar w:fldCharType="begin"/>
    </w:r>
    <w:r>
      <w:instrText xml:space="preserve"> TITLE   \* MERGEFORMAT </w:instrText>
    </w:r>
    <w:r>
      <w:fldChar w:fldCharType="separate"/>
    </w:r>
    <w:r>
      <w:t>UEERE0074 Inspect off-grid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A91" w:rsidP="00100A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6C" w:rsidRPr="002D2AF8" w:rsidP="00100A6C">
    <w:pPr>
      <w:pStyle w:val="Header"/>
      <w:framePr w:wrap="around"/>
    </w:pPr>
    <w:r>
      <w:fldChar w:fldCharType="begin"/>
    </w:r>
    <w:r>
      <w:instrText xml:space="preserve"> TITLE   \* MERGEFORMAT </w:instrText>
    </w:r>
    <w:r>
      <w:fldChar w:fldCharType="separate"/>
    </w:r>
    <w:r w:rsidR="00363A91">
      <w:t>UEERE0074 Inspect off-grid renewable energy systems</w:t>
    </w:r>
    <w:r w:rsidR="00363A91">
      <w:fldChar w:fldCharType="end"/>
    </w:r>
    <w:r>
      <w:tab/>
      <w:t xml:space="preserve">Date this document was generated: </w:t>
    </w:r>
    <w:r>
      <w:fldChar w:fldCharType="begin"/>
    </w:r>
    <w:r>
      <w:instrText xml:space="preserve"> CREATEDATE  \@ "d MMMM yyyy"  \* MERGEFORMAT </w:instrText>
    </w:r>
    <w:r>
      <w:fldChar w:fldCharType="separate"/>
    </w:r>
    <w:r w:rsidR="00363A91">
      <w:rPr>
        <w:noProof/>
      </w:rPr>
      <w:t>2 March 2025</w:t>
    </w:r>
    <w:r>
      <w:fldChar w:fldCharType="end"/>
    </w:r>
  </w:p>
  <w:p w:rsidR="00100A6C" w:rsidP="00100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4D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45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41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A6C"/>
    <w:pPr>
      <w:spacing w:before="360" w:after="60"/>
      <w:outlineLvl w:val="0"/>
    </w:pPr>
    <w:rPr>
      <w:sz w:val="32"/>
    </w:rPr>
  </w:style>
  <w:style w:type="paragraph" w:styleId="Heading2">
    <w:name w:val="heading 2"/>
    <w:basedOn w:val="HeadingBase"/>
    <w:next w:val="BodyText"/>
    <w:link w:val="Heading2Char"/>
    <w:qFormat/>
    <w:rsid w:val="00100A6C"/>
    <w:pPr>
      <w:keepLines/>
      <w:spacing w:before="240" w:after="120"/>
      <w:outlineLvl w:val="1"/>
    </w:pPr>
    <w:rPr>
      <w:sz w:val="28"/>
      <w:szCs w:val="40"/>
    </w:rPr>
  </w:style>
  <w:style w:type="paragraph" w:styleId="Heading3">
    <w:name w:val="heading 3"/>
    <w:basedOn w:val="HeadingBase"/>
    <w:next w:val="BodyText"/>
    <w:link w:val="Heading3Char"/>
    <w:qFormat/>
    <w:rsid w:val="00100A6C"/>
    <w:pPr>
      <w:spacing w:before="180" w:after="120"/>
      <w:outlineLvl w:val="2"/>
    </w:pPr>
    <w:rPr>
      <w:spacing w:val="-10"/>
      <w:kern w:val="32"/>
    </w:rPr>
  </w:style>
  <w:style w:type="paragraph" w:styleId="Heading4">
    <w:name w:val="heading 4"/>
    <w:basedOn w:val="HeadingBase"/>
    <w:next w:val="BodyText"/>
    <w:link w:val="Heading4Char"/>
    <w:qFormat/>
    <w:rsid w:val="00100A6C"/>
    <w:pPr>
      <w:spacing w:before="160" w:after="120"/>
      <w:outlineLvl w:val="3"/>
    </w:pPr>
    <w:rPr>
      <w:sz w:val="22"/>
    </w:rPr>
  </w:style>
  <w:style w:type="paragraph" w:styleId="Heading5">
    <w:name w:val="heading 5"/>
    <w:basedOn w:val="HeadingBase"/>
    <w:next w:val="Normal"/>
    <w:link w:val="Heading5Char"/>
    <w:qFormat/>
    <w:rsid w:val="00100A6C"/>
    <w:pPr>
      <w:spacing w:before="80"/>
      <w:outlineLvl w:val="4"/>
    </w:pPr>
    <w:rPr>
      <w:color w:val="918585"/>
      <w:sz w:val="20"/>
    </w:rPr>
  </w:style>
  <w:style w:type="paragraph" w:styleId="Heading6">
    <w:name w:val="heading 6"/>
    <w:basedOn w:val="HeadingBase"/>
    <w:next w:val="Normal"/>
    <w:link w:val="Heading6Char"/>
    <w:qFormat/>
    <w:rsid w:val="00100A6C"/>
    <w:pPr>
      <w:spacing w:before="60"/>
      <w:outlineLvl w:val="5"/>
    </w:pPr>
    <w:rPr>
      <w:color w:val="918585"/>
      <w:sz w:val="20"/>
    </w:rPr>
  </w:style>
  <w:style w:type="paragraph" w:styleId="Heading7">
    <w:name w:val="heading 7"/>
    <w:basedOn w:val="Normal"/>
    <w:next w:val="Normal"/>
    <w:link w:val="Heading7Char"/>
    <w:qFormat/>
    <w:rsid w:val="00100A6C"/>
    <w:pPr>
      <w:ind w:left="720"/>
      <w:outlineLvl w:val="6"/>
    </w:pPr>
    <w:rPr>
      <w:i/>
    </w:rPr>
  </w:style>
  <w:style w:type="paragraph" w:styleId="Heading8">
    <w:name w:val="heading 8"/>
    <w:basedOn w:val="Normal"/>
    <w:next w:val="Normal"/>
    <w:link w:val="Heading8Char"/>
    <w:qFormat/>
    <w:rsid w:val="00100A6C"/>
    <w:pPr>
      <w:ind w:left="720"/>
      <w:outlineLvl w:val="7"/>
    </w:pPr>
    <w:rPr>
      <w:i/>
    </w:rPr>
  </w:style>
  <w:style w:type="paragraph" w:styleId="Heading9">
    <w:name w:val="heading 9"/>
    <w:basedOn w:val="Normal"/>
    <w:next w:val="Normal"/>
    <w:link w:val="Heading9Char"/>
    <w:qFormat/>
    <w:rsid w:val="00100A6C"/>
    <w:pPr>
      <w:ind w:left="720"/>
      <w:outlineLvl w:val="8"/>
    </w:pPr>
    <w:rPr>
      <w:i/>
    </w:rPr>
  </w:style>
  <w:style w:type="character" w:default="1" w:styleId="DefaultParagraphFont">
    <w:name w:val="Default Paragraph Font"/>
    <w:uiPriority w:val="1"/>
    <w:unhideWhenUsed/>
    <w:rsid w:val="00100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A6C"/>
  </w:style>
  <w:style w:type="character" w:customStyle="1" w:styleId="Heading1Char">
    <w:name w:val="Heading 1 Char"/>
    <w:basedOn w:val="DefaultParagraphFont"/>
    <w:link w:val="Heading1"/>
    <w:rsid w:val="00100A6C"/>
    <w:rPr>
      <w:rFonts w:ascii="Times New Roman" w:eastAsia="Times New Roman" w:hAnsi="Times New Roman" w:cs="Times New Roman"/>
      <w:b/>
      <w:sz w:val="32"/>
      <w:szCs w:val="20"/>
      <w:lang w:eastAsia="en-US"/>
    </w:rPr>
  </w:style>
  <w:style w:type="paragraph" w:styleId="BodyText">
    <w:name w:val="Body Text"/>
    <w:basedOn w:val="Normal"/>
    <w:link w:val="BodyTextChar"/>
    <w:rsid w:val="00100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A6C"/>
    <w:rPr>
      <w:rFonts w:ascii="Times New Roman" w:eastAsia="Times New Roman" w:hAnsi="Times New Roman" w:cs="Times New Roman"/>
      <w:sz w:val="24"/>
      <w:lang w:eastAsia="en-US"/>
    </w:rPr>
  </w:style>
  <w:style w:type="paragraph" w:styleId="ListBullet">
    <w:name w:val="List Bullet"/>
    <w:basedOn w:val="List"/>
    <w:rsid w:val="00100A6C"/>
    <w:pPr>
      <w:numPr>
        <w:numId w:val="13"/>
      </w:numPr>
      <w:tabs>
        <w:tab w:val="clear" w:pos="340"/>
      </w:tabs>
      <w:spacing w:before="40" w:after="40"/>
    </w:pPr>
  </w:style>
  <w:style w:type="character" w:customStyle="1" w:styleId="SpecialBold">
    <w:name w:val="Special Bold"/>
    <w:basedOn w:val="DefaultParagraphFont"/>
    <w:rsid w:val="00100A6C"/>
    <w:rPr>
      <w:b/>
      <w:spacing w:val="0"/>
    </w:rPr>
  </w:style>
  <w:style w:type="paragraph" w:styleId="ListBullet2">
    <w:name w:val="List Bullet 2"/>
    <w:basedOn w:val="List2"/>
    <w:rsid w:val="00100A6C"/>
    <w:pPr>
      <w:numPr>
        <w:numId w:val="14"/>
      </w:numPr>
      <w:tabs>
        <w:tab w:val="clear" w:pos="680"/>
      </w:tabs>
    </w:pPr>
  </w:style>
  <w:style w:type="paragraph" w:customStyle="1" w:styleId="SuperHeading">
    <w:name w:val="SuperHeading"/>
    <w:basedOn w:val="Normal"/>
    <w:rsid w:val="00100A6C"/>
    <w:pPr>
      <w:spacing w:before="240" w:after="120"/>
      <w:outlineLvl w:val="0"/>
    </w:pPr>
    <w:rPr>
      <w:rFonts w:ascii="Times New Roman" w:hAnsi="Times New Roman"/>
      <w:b/>
      <w:sz w:val="32"/>
    </w:rPr>
  </w:style>
  <w:style w:type="paragraph" w:customStyle="1" w:styleId="AllowPageBreak">
    <w:name w:val="AllowPageBreak"/>
    <w:rsid w:val="00100A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0A6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0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A6C"/>
    <w:rPr>
      <w:rFonts w:ascii="Courier New" w:eastAsia="Times New Roman" w:hAnsi="Courier New" w:cs="Times New Roman"/>
      <w:i/>
      <w:szCs w:val="20"/>
      <w:lang w:eastAsia="en-US"/>
    </w:rPr>
  </w:style>
  <w:style w:type="paragraph" w:customStyle="1" w:styleId="HeadingBase">
    <w:name w:val="Heading Base"/>
    <w:rsid w:val="00100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A6C"/>
    <w:pPr>
      <w:tabs>
        <w:tab w:val="right" w:leader="dot" w:pos="9072"/>
      </w:tabs>
      <w:ind w:left="567"/>
    </w:pPr>
    <w:rPr>
      <w:szCs w:val="22"/>
    </w:rPr>
  </w:style>
  <w:style w:type="paragraph" w:customStyle="1" w:styleId="TOCBase">
    <w:name w:val="TOC Base"/>
    <w:rsid w:val="00100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A6C"/>
    <w:pPr>
      <w:tabs>
        <w:tab w:val="right" w:leader="dot" w:pos="9072"/>
      </w:tabs>
      <w:spacing w:before="40" w:after="40"/>
      <w:ind w:left="284"/>
    </w:pPr>
    <w:rPr>
      <w:rFonts w:ascii="Times New Roman" w:hAnsi="Times New Roman"/>
    </w:rPr>
  </w:style>
  <w:style w:type="paragraph" w:styleId="TOC1">
    <w:name w:val="toc 1"/>
    <w:basedOn w:val="TOCBase"/>
    <w:next w:val="Normal"/>
    <w:rsid w:val="00100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A6C"/>
    <w:rPr>
      <w:rFonts w:ascii="Times New Roman" w:eastAsia="Times New Roman" w:hAnsi="Times New Roman" w:cs="Times New Roman"/>
      <w:sz w:val="16"/>
      <w:lang w:eastAsia="en-US"/>
    </w:rPr>
  </w:style>
  <w:style w:type="paragraph" w:styleId="Title">
    <w:name w:val="Title"/>
    <w:basedOn w:val="HeadingBase"/>
    <w:link w:val="TitleChar"/>
    <w:qFormat/>
    <w:rsid w:val="00100A6C"/>
    <w:pPr>
      <w:spacing w:before="5040"/>
      <w:jc w:val="center"/>
    </w:pPr>
    <w:rPr>
      <w:sz w:val="48"/>
      <w:szCs w:val="72"/>
      <w:lang w:val="en-US"/>
    </w:rPr>
  </w:style>
  <w:style w:type="character" w:customStyle="1" w:styleId="TitleChar">
    <w:name w:val="Title Char"/>
    <w:basedOn w:val="DefaultParagraphFont"/>
    <w:link w:val="Title"/>
    <w:rsid w:val="00100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A6C"/>
    <w:pPr>
      <w:tabs>
        <w:tab w:val="left" w:pos="3600"/>
        <w:tab w:val="left" w:pos="3958"/>
      </w:tabs>
    </w:pPr>
  </w:style>
  <w:style w:type="paragraph" w:styleId="List">
    <w:name w:val="List"/>
    <w:basedOn w:val="BodyText"/>
    <w:next w:val="BodyText"/>
    <w:rsid w:val="00100A6C"/>
    <w:pPr>
      <w:tabs>
        <w:tab w:val="left" w:pos="340"/>
      </w:tabs>
      <w:spacing w:before="60" w:after="60"/>
      <w:ind w:left="340" w:hanging="340"/>
    </w:pPr>
  </w:style>
  <w:style w:type="paragraph" w:customStyle="1" w:styleId="Note">
    <w:name w:val="Note"/>
    <w:basedOn w:val="BodyText"/>
    <w:rsid w:val="00100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A6C"/>
    <w:pPr>
      <w:framePr w:wrap="auto" w:hAnchor="text" w:y="6049"/>
    </w:pPr>
    <w:rPr>
      <w:color w:val="000000"/>
      <w:sz w:val="40"/>
    </w:rPr>
  </w:style>
  <w:style w:type="paragraph" w:customStyle="1" w:styleId="TOCTitle">
    <w:name w:val="TOCTitle"/>
    <w:basedOn w:val="Heading1"/>
    <w:rsid w:val="00100A6C"/>
    <w:pPr>
      <w:spacing w:after="240"/>
      <w:jc w:val="center"/>
      <w:outlineLvl w:val="9"/>
    </w:pPr>
    <w:rPr>
      <w:caps/>
    </w:rPr>
  </w:style>
  <w:style w:type="paragraph" w:customStyle="1" w:styleId="Version">
    <w:name w:val="Version"/>
    <w:rsid w:val="00100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A6C"/>
    <w:pPr>
      <w:keepNext w:val="0"/>
      <w:tabs>
        <w:tab w:val="right" w:pos="4176"/>
      </w:tabs>
      <w:ind w:left="198" w:hanging="198"/>
    </w:pPr>
    <w:rPr>
      <w:rFonts w:ascii="Garamond" w:hAnsi="Garamond"/>
    </w:rPr>
  </w:style>
  <w:style w:type="paragraph" w:styleId="IndexHeading">
    <w:name w:val="index heading"/>
    <w:basedOn w:val="Normal"/>
    <w:next w:val="Index1"/>
    <w:semiHidden/>
    <w:rsid w:val="00100A6C"/>
    <w:pPr>
      <w:spacing w:before="120" w:after="120"/>
    </w:pPr>
    <w:rPr>
      <w:rFonts w:ascii="Arial" w:hAnsi="Arial"/>
      <w:b/>
      <w:color w:val="918585"/>
      <w:sz w:val="24"/>
    </w:rPr>
  </w:style>
  <w:style w:type="paragraph" w:styleId="Header">
    <w:name w:val="header"/>
    <w:basedOn w:val="Normal"/>
    <w:link w:val="HeaderChar"/>
    <w:rsid w:val="00100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A6C"/>
    <w:rPr>
      <w:rFonts w:ascii="Times New Roman" w:eastAsia="Times New Roman" w:hAnsi="Times New Roman" w:cs="Times New Roman"/>
      <w:sz w:val="16"/>
      <w:szCs w:val="20"/>
      <w:lang w:val="en-GB" w:eastAsia="en-US"/>
    </w:rPr>
  </w:style>
  <w:style w:type="paragraph" w:customStyle="1" w:styleId="Chapter">
    <w:name w:val="Chapter"/>
    <w:basedOn w:val="Normal"/>
    <w:rsid w:val="00100A6C"/>
    <w:pPr>
      <w:spacing w:before="240"/>
    </w:pPr>
    <w:rPr>
      <w:rFonts w:ascii="Times New Roman" w:hAnsi="Times New Roman"/>
      <w:smallCaps/>
      <w:spacing w:val="80"/>
      <w:sz w:val="28"/>
    </w:rPr>
  </w:style>
  <w:style w:type="paragraph" w:customStyle="1" w:styleId="InChapter">
    <w:name w:val="InChapter"/>
    <w:basedOn w:val="Heading3"/>
    <w:rsid w:val="00100A6C"/>
    <w:pPr>
      <w:spacing w:after="240"/>
      <w:outlineLvl w:val="9"/>
    </w:pPr>
    <w:rPr>
      <w:noProof/>
    </w:rPr>
  </w:style>
  <w:style w:type="paragraph" w:styleId="Index2">
    <w:name w:val="index 2"/>
    <w:basedOn w:val="Normal"/>
    <w:next w:val="Normal"/>
    <w:semiHidden/>
    <w:rsid w:val="00100A6C"/>
    <w:pPr>
      <w:tabs>
        <w:tab w:val="right" w:pos="4176"/>
      </w:tabs>
      <w:ind w:left="568" w:hanging="284"/>
    </w:pPr>
    <w:rPr>
      <w:rFonts w:ascii="Garamond" w:hAnsi="Garamond"/>
    </w:rPr>
  </w:style>
  <w:style w:type="paragraph" w:customStyle="1" w:styleId="Byline">
    <w:name w:val="Byline"/>
    <w:rsid w:val="00100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A6C"/>
    <w:pPr>
      <w:tabs>
        <w:tab w:val="clear" w:pos="3600"/>
        <w:tab w:val="clear" w:pos="3958"/>
      </w:tabs>
      <w:jc w:val="right"/>
    </w:pPr>
  </w:style>
  <w:style w:type="character" w:styleId="Emphasis">
    <w:name w:val="Emphasis"/>
    <w:basedOn w:val="DefaultParagraphFont"/>
    <w:qFormat/>
    <w:rsid w:val="00100A6C"/>
    <w:rPr>
      <w:i/>
    </w:rPr>
  </w:style>
  <w:style w:type="paragraph" w:styleId="Caption">
    <w:name w:val="caption"/>
    <w:basedOn w:val="BodyText"/>
    <w:next w:val="Normal"/>
    <w:qFormat/>
    <w:rsid w:val="00100A6C"/>
    <w:pPr>
      <w:framePr w:w="2268" w:hSpace="181" w:vSpace="181" w:wrap="around" w:vAnchor="text" w:hAnchor="page" w:x="1135" w:y="285" w:anchorLock="1"/>
    </w:pPr>
    <w:rPr>
      <w:i/>
    </w:rPr>
  </w:style>
  <w:style w:type="paragraph" w:customStyle="1" w:styleId="MiniTOCTitle">
    <w:name w:val="MiniTOCTitle"/>
    <w:basedOn w:val="Heading4"/>
    <w:rsid w:val="00100A6C"/>
    <w:pPr>
      <w:spacing w:before="240"/>
      <w:outlineLvl w:val="9"/>
    </w:pPr>
    <w:rPr>
      <w:noProof/>
      <w:sz w:val="24"/>
    </w:rPr>
  </w:style>
  <w:style w:type="paragraph" w:customStyle="1" w:styleId="MiniTOCItem">
    <w:name w:val="MiniTOCItem"/>
    <w:basedOn w:val="ListBullet"/>
    <w:rsid w:val="00100A6C"/>
    <w:pPr>
      <w:numPr>
        <w:numId w:val="0"/>
      </w:numPr>
      <w:tabs>
        <w:tab w:val="right" w:leader="dot" w:pos="6521"/>
      </w:tabs>
      <w:spacing w:before="0" w:after="0"/>
    </w:pPr>
  </w:style>
  <w:style w:type="paragraph" w:customStyle="1" w:styleId="TOFTitle">
    <w:name w:val="TOFTitle"/>
    <w:basedOn w:val="TOCTitle"/>
    <w:rsid w:val="00100A6C"/>
  </w:style>
  <w:style w:type="paragraph" w:styleId="TableofFigures">
    <w:name w:val="table of figures"/>
    <w:basedOn w:val="Normal"/>
    <w:next w:val="Normal"/>
    <w:semiHidden/>
    <w:rsid w:val="00100A6C"/>
    <w:pPr>
      <w:tabs>
        <w:tab w:val="right" w:leader="dot" w:pos="9072"/>
      </w:tabs>
      <w:ind w:left="970" w:hanging="403"/>
    </w:pPr>
    <w:rPr>
      <w:rFonts w:ascii="Times New Roman" w:hAnsi="Times New Roman"/>
      <w:b/>
    </w:rPr>
  </w:style>
  <w:style w:type="paragraph" w:styleId="ListNumber">
    <w:name w:val="List Number"/>
    <w:basedOn w:val="List"/>
    <w:rsid w:val="00100A6C"/>
    <w:pPr>
      <w:numPr>
        <w:numId w:val="16"/>
      </w:numPr>
      <w:tabs>
        <w:tab w:val="clear" w:pos="340"/>
      </w:tabs>
    </w:pPr>
  </w:style>
  <w:style w:type="character" w:customStyle="1" w:styleId="WingdingSymbols">
    <w:name w:val="Wingding Symbols"/>
    <w:rsid w:val="00100A6C"/>
    <w:rPr>
      <w:rFonts w:ascii="Wingdings" w:hAnsi="Wingdings"/>
    </w:rPr>
  </w:style>
  <w:style w:type="paragraph" w:customStyle="1" w:styleId="TableHeading">
    <w:name w:val="Table Heading"/>
    <w:basedOn w:val="HeadingBase"/>
    <w:rsid w:val="00100A6C"/>
    <w:pPr>
      <w:keepLines/>
      <w:pBdr>
        <w:bottom w:val="single" w:sz="6" w:space="1" w:color="918585"/>
      </w:pBdr>
      <w:spacing w:before="240"/>
    </w:pPr>
  </w:style>
  <w:style w:type="character" w:customStyle="1" w:styleId="HotSpot">
    <w:name w:val="HotSpot"/>
    <w:rsid w:val="00100A6C"/>
    <w:rPr>
      <w:color w:val="0033CC"/>
      <w:u w:val="none"/>
    </w:rPr>
  </w:style>
  <w:style w:type="paragraph" w:customStyle="1" w:styleId="BodyTextRight">
    <w:name w:val="Body Text Right"/>
    <w:basedOn w:val="BodyText"/>
    <w:rsid w:val="00100A6C"/>
    <w:pPr>
      <w:spacing w:before="0" w:after="0"/>
      <w:jc w:val="right"/>
    </w:pPr>
  </w:style>
  <w:style w:type="paragraph" w:styleId="Index3">
    <w:name w:val="index 3"/>
    <w:basedOn w:val="ListNumber2"/>
    <w:next w:val="Normal"/>
    <w:semiHidden/>
    <w:rsid w:val="00100A6C"/>
    <w:pPr>
      <w:numPr>
        <w:numId w:val="0"/>
      </w:numPr>
      <w:tabs>
        <w:tab w:val="right" w:leader="dot" w:pos="4176"/>
      </w:tabs>
    </w:pPr>
  </w:style>
  <w:style w:type="paragraph" w:styleId="ListNumber2">
    <w:name w:val="List Number 2"/>
    <w:basedOn w:val="List2"/>
    <w:rsid w:val="00100A6C"/>
    <w:pPr>
      <w:numPr>
        <w:numId w:val="11"/>
      </w:numPr>
      <w:tabs>
        <w:tab w:val="clear" w:pos="1060"/>
      </w:tabs>
    </w:pPr>
  </w:style>
  <w:style w:type="paragraph" w:customStyle="1" w:styleId="MarginNote">
    <w:name w:val="Margin Note"/>
    <w:basedOn w:val="BodyText"/>
    <w:rsid w:val="00100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A6C"/>
    <w:rPr>
      <w:sz w:val="32"/>
    </w:rPr>
  </w:style>
  <w:style w:type="paragraph" w:customStyle="1" w:styleId="HeadingProcedure">
    <w:name w:val="Heading Procedure"/>
    <w:basedOn w:val="HeadingBase"/>
    <w:next w:val="Normal"/>
    <w:rsid w:val="00100A6C"/>
    <w:pPr>
      <w:tabs>
        <w:tab w:val="left" w:pos="0"/>
      </w:tabs>
      <w:spacing w:before="120" w:after="60"/>
    </w:pPr>
    <w:rPr>
      <w:i/>
      <w:color w:val="918585"/>
      <w:sz w:val="22"/>
    </w:rPr>
  </w:style>
  <w:style w:type="paragraph" w:customStyle="1" w:styleId="TableBodyText">
    <w:name w:val="Table Body Text"/>
    <w:basedOn w:val="BodyText"/>
    <w:rsid w:val="00100A6C"/>
    <w:pPr>
      <w:spacing w:before="60" w:after="60"/>
    </w:pPr>
  </w:style>
  <w:style w:type="paragraph" w:styleId="ListContinue">
    <w:name w:val="List Continue"/>
    <w:basedOn w:val="List"/>
    <w:rsid w:val="00100A6C"/>
    <w:pPr>
      <w:ind w:firstLine="0"/>
    </w:pPr>
  </w:style>
  <w:style w:type="paragraph" w:customStyle="1" w:styleId="ListNote">
    <w:name w:val="List Note"/>
    <w:basedOn w:val="List"/>
    <w:rsid w:val="00100A6C"/>
    <w:pPr>
      <w:pBdr>
        <w:top w:val="single" w:sz="6" w:space="2" w:color="918585"/>
        <w:bottom w:val="single" w:sz="6" w:space="2" w:color="918585"/>
      </w:pBdr>
      <w:tabs>
        <w:tab w:val="left" w:pos="1021"/>
      </w:tabs>
      <w:ind w:firstLine="0"/>
    </w:pPr>
  </w:style>
  <w:style w:type="paragraph" w:customStyle="1" w:styleId="Warning">
    <w:name w:val="Warning"/>
    <w:basedOn w:val="BodyText"/>
    <w:rsid w:val="00100A6C"/>
    <w:pPr>
      <w:shd w:val="clear" w:color="auto" w:fill="D9D9D9"/>
      <w:tabs>
        <w:tab w:val="left" w:pos="992"/>
      </w:tabs>
      <w:ind w:left="119" w:right="119"/>
    </w:pPr>
    <w:rPr>
      <w:sz w:val="20"/>
    </w:rPr>
  </w:style>
  <w:style w:type="paragraph" w:customStyle="1" w:styleId="MarginIcons">
    <w:name w:val="Margin Icons"/>
    <w:basedOn w:val="BodyText"/>
    <w:rsid w:val="00100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A6C"/>
    <w:rPr>
      <w:rFonts w:ascii="Courier New" w:hAnsi="Courier New"/>
    </w:rPr>
  </w:style>
  <w:style w:type="paragraph" w:customStyle="1" w:styleId="NoteBullet">
    <w:name w:val="Note Bullet"/>
    <w:basedOn w:val="Note"/>
    <w:rsid w:val="00100A6C"/>
    <w:pPr>
      <w:tabs>
        <w:tab w:val="clear" w:pos="680"/>
      </w:tabs>
      <w:spacing w:before="60" w:after="60"/>
    </w:pPr>
  </w:style>
  <w:style w:type="paragraph" w:customStyle="1" w:styleId="SubHeading2">
    <w:name w:val="SubHeading2"/>
    <w:basedOn w:val="HeadingBase"/>
    <w:rsid w:val="00100A6C"/>
    <w:pPr>
      <w:spacing w:before="240" w:after="60"/>
    </w:pPr>
    <w:rPr>
      <w:sz w:val="20"/>
    </w:rPr>
  </w:style>
  <w:style w:type="paragraph" w:customStyle="1" w:styleId="SubHeading1">
    <w:name w:val="SubHeading1"/>
    <w:basedOn w:val="HeadingBase"/>
    <w:rsid w:val="00100A6C"/>
    <w:pPr>
      <w:spacing w:before="240" w:after="60"/>
    </w:pPr>
    <w:rPr>
      <w:color w:val="918585"/>
      <w:sz w:val="22"/>
    </w:rPr>
  </w:style>
  <w:style w:type="paragraph" w:customStyle="1" w:styleId="SideHeading">
    <w:name w:val="Side Heading"/>
    <w:basedOn w:val="HeadingBase"/>
    <w:rsid w:val="00100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A6C"/>
    <w:pPr>
      <w:numPr>
        <w:numId w:val="12"/>
      </w:numPr>
    </w:pPr>
  </w:style>
  <w:style w:type="paragraph" w:styleId="PlainText">
    <w:name w:val="Plain Text"/>
    <w:basedOn w:val="Normal"/>
    <w:link w:val="PlainTextChar"/>
    <w:rsid w:val="00100A6C"/>
    <w:rPr>
      <w:sz w:val="20"/>
    </w:rPr>
  </w:style>
  <w:style w:type="character" w:customStyle="1" w:styleId="PlainTextChar">
    <w:name w:val="Plain Text Char"/>
    <w:basedOn w:val="DefaultParagraphFont"/>
    <w:link w:val="PlainText"/>
    <w:rsid w:val="00100A6C"/>
    <w:rPr>
      <w:rFonts w:ascii="Courier New" w:eastAsia="Times New Roman" w:hAnsi="Courier New" w:cs="Times New Roman"/>
      <w:sz w:val="20"/>
      <w:szCs w:val="20"/>
      <w:lang w:eastAsia="en-US"/>
    </w:rPr>
  </w:style>
  <w:style w:type="character" w:customStyle="1" w:styleId="MenuOption">
    <w:name w:val="Menu Option"/>
    <w:basedOn w:val="DefaultParagraphFont"/>
    <w:rsid w:val="00100A6C"/>
    <w:rPr>
      <w:b/>
      <w:smallCaps/>
    </w:rPr>
  </w:style>
  <w:style w:type="paragraph" w:customStyle="1" w:styleId="TableListNumber">
    <w:name w:val="Table List Number"/>
    <w:basedOn w:val="ListNumber"/>
    <w:rsid w:val="00100A6C"/>
    <w:pPr>
      <w:numPr>
        <w:numId w:val="0"/>
      </w:numPr>
    </w:pPr>
  </w:style>
  <w:style w:type="paragraph" w:styleId="TOC4">
    <w:name w:val="toc 4"/>
    <w:basedOn w:val="TOCBase"/>
    <w:next w:val="Normal"/>
    <w:semiHidden/>
    <w:rsid w:val="00100A6C"/>
    <w:pPr>
      <w:tabs>
        <w:tab w:val="right" w:leader="dot" w:pos="9071"/>
      </w:tabs>
      <w:ind w:left="1701"/>
    </w:pPr>
  </w:style>
  <w:style w:type="paragraph" w:customStyle="1" w:styleId="ListAlpha">
    <w:name w:val="List Alpha"/>
    <w:basedOn w:val="List"/>
    <w:rsid w:val="00100A6C"/>
    <w:pPr>
      <w:numPr>
        <w:numId w:val="10"/>
      </w:numPr>
    </w:pPr>
  </w:style>
  <w:style w:type="paragraph" w:customStyle="1" w:styleId="ListAlpha2">
    <w:name w:val="List Alpha 2"/>
    <w:basedOn w:val="List2"/>
    <w:rsid w:val="00100A6C"/>
    <w:pPr>
      <w:numPr>
        <w:numId w:val="9"/>
      </w:numPr>
    </w:pPr>
  </w:style>
  <w:style w:type="paragraph" w:styleId="List2">
    <w:name w:val="List 2"/>
    <w:basedOn w:val="BodyText"/>
    <w:rsid w:val="00100A6C"/>
    <w:pPr>
      <w:tabs>
        <w:tab w:val="left" w:pos="680"/>
      </w:tabs>
      <w:spacing w:before="60" w:after="60"/>
      <w:ind w:left="680" w:hanging="340"/>
    </w:pPr>
  </w:style>
  <w:style w:type="paragraph" w:styleId="List3">
    <w:name w:val="List 3"/>
    <w:basedOn w:val="BodyText"/>
    <w:rsid w:val="00100A6C"/>
    <w:pPr>
      <w:tabs>
        <w:tab w:val="left" w:pos="1021"/>
      </w:tabs>
      <w:spacing w:before="60" w:after="60"/>
      <w:ind w:left="1020" w:hanging="340"/>
    </w:pPr>
  </w:style>
  <w:style w:type="paragraph" w:styleId="List4">
    <w:name w:val="List 4"/>
    <w:basedOn w:val="BodyText"/>
    <w:rsid w:val="00100A6C"/>
    <w:pPr>
      <w:tabs>
        <w:tab w:val="left" w:pos="1361"/>
      </w:tabs>
      <w:spacing w:before="60" w:after="60"/>
      <w:ind w:left="1361" w:hanging="340"/>
    </w:pPr>
  </w:style>
  <w:style w:type="paragraph" w:styleId="List5">
    <w:name w:val="List 5"/>
    <w:basedOn w:val="BodyText"/>
    <w:rsid w:val="00100A6C"/>
    <w:pPr>
      <w:tabs>
        <w:tab w:val="left" w:pos="1701"/>
      </w:tabs>
      <w:spacing w:before="60" w:after="60"/>
      <w:ind w:left="1701" w:hanging="340"/>
    </w:pPr>
  </w:style>
  <w:style w:type="paragraph" w:styleId="ListBullet4">
    <w:name w:val="List Bullet 4"/>
    <w:basedOn w:val="List4"/>
    <w:rsid w:val="00100A6C"/>
    <w:pPr>
      <w:numPr>
        <w:numId w:val="4"/>
      </w:numPr>
      <w:tabs>
        <w:tab w:val="clear" w:pos="1361"/>
      </w:tabs>
    </w:pPr>
  </w:style>
  <w:style w:type="paragraph" w:styleId="ListBullet5">
    <w:name w:val="List Bullet 5"/>
    <w:basedOn w:val="List5"/>
    <w:rsid w:val="00100A6C"/>
    <w:pPr>
      <w:numPr>
        <w:numId w:val="5"/>
      </w:numPr>
    </w:pPr>
  </w:style>
  <w:style w:type="paragraph" w:styleId="ListContinue2">
    <w:name w:val="List Continue 2"/>
    <w:basedOn w:val="List2"/>
    <w:rsid w:val="00100A6C"/>
    <w:pPr>
      <w:ind w:firstLine="0"/>
    </w:pPr>
  </w:style>
  <w:style w:type="paragraph" w:styleId="ListContinue3">
    <w:name w:val="List Continue 3"/>
    <w:basedOn w:val="List3"/>
    <w:rsid w:val="00100A6C"/>
    <w:pPr>
      <w:ind w:left="1021" w:firstLine="0"/>
    </w:pPr>
  </w:style>
  <w:style w:type="paragraph" w:styleId="ListContinue4">
    <w:name w:val="List Continue 4"/>
    <w:basedOn w:val="List4"/>
    <w:rsid w:val="00100A6C"/>
    <w:pPr>
      <w:ind w:firstLine="0"/>
    </w:pPr>
  </w:style>
  <w:style w:type="paragraph" w:styleId="ListContinue5">
    <w:name w:val="List Continue 5"/>
    <w:basedOn w:val="List5"/>
    <w:rsid w:val="00100A6C"/>
    <w:pPr>
      <w:ind w:firstLine="0"/>
    </w:pPr>
  </w:style>
  <w:style w:type="paragraph" w:styleId="ListNumber3">
    <w:name w:val="List Number 3"/>
    <w:basedOn w:val="List3"/>
    <w:rsid w:val="00100A6C"/>
    <w:pPr>
      <w:numPr>
        <w:numId w:val="6"/>
      </w:numPr>
    </w:pPr>
  </w:style>
  <w:style w:type="paragraph" w:styleId="ListNumber4">
    <w:name w:val="List Number 4"/>
    <w:basedOn w:val="List4"/>
    <w:rsid w:val="00100A6C"/>
    <w:pPr>
      <w:numPr>
        <w:numId w:val="7"/>
      </w:numPr>
    </w:pPr>
  </w:style>
  <w:style w:type="paragraph" w:styleId="ListNumber5">
    <w:name w:val="List Number 5"/>
    <w:basedOn w:val="List5"/>
    <w:rsid w:val="00100A6C"/>
    <w:pPr>
      <w:numPr>
        <w:numId w:val="8"/>
      </w:numPr>
    </w:pPr>
  </w:style>
  <w:style w:type="paragraph" w:styleId="BlockText">
    <w:name w:val="Block Text"/>
    <w:basedOn w:val="Normal"/>
    <w:rsid w:val="00100A6C"/>
    <w:pPr>
      <w:spacing w:after="120"/>
      <w:ind w:left="1440" w:right="1440"/>
    </w:pPr>
  </w:style>
  <w:style w:type="character" w:customStyle="1" w:styleId="Subscript">
    <w:name w:val="Subscript"/>
    <w:basedOn w:val="DefaultParagraphFont"/>
    <w:rsid w:val="00100A6C"/>
    <w:rPr>
      <w:sz w:val="16"/>
      <w:vertAlign w:val="subscript"/>
    </w:rPr>
  </w:style>
  <w:style w:type="character" w:customStyle="1" w:styleId="Superscript">
    <w:name w:val="Superscript"/>
    <w:basedOn w:val="DefaultParagraphFont"/>
    <w:rsid w:val="00100A6C"/>
    <w:rPr>
      <w:sz w:val="16"/>
      <w:vertAlign w:val="superscript"/>
    </w:rPr>
  </w:style>
  <w:style w:type="character" w:customStyle="1" w:styleId="Symbols">
    <w:name w:val="Symbols"/>
    <w:basedOn w:val="DefaultParagraphFont"/>
    <w:rsid w:val="00100A6C"/>
    <w:rPr>
      <w:rFonts w:ascii="Symbol" w:hAnsi="Symbol"/>
    </w:rPr>
  </w:style>
  <w:style w:type="character" w:customStyle="1" w:styleId="MenuOptions">
    <w:name w:val="Menu Options"/>
    <w:basedOn w:val="DefaultParagraphFont"/>
    <w:rsid w:val="00100A6C"/>
    <w:rPr>
      <w:rFonts w:ascii="Arial Narrow" w:hAnsi="Arial Narrow"/>
      <w:smallCaps/>
    </w:rPr>
  </w:style>
  <w:style w:type="character" w:customStyle="1" w:styleId="Buttons">
    <w:name w:val="Buttons"/>
    <w:basedOn w:val="DefaultParagraphFont"/>
    <w:rsid w:val="00100A6C"/>
    <w:rPr>
      <w:b/>
    </w:rPr>
  </w:style>
  <w:style w:type="character" w:customStyle="1" w:styleId="Underlined">
    <w:name w:val="Underlined"/>
    <w:basedOn w:val="DefaultParagraphFont"/>
    <w:rsid w:val="00100A6C"/>
    <w:rPr>
      <w:u w:val="single"/>
    </w:rPr>
  </w:style>
  <w:style w:type="paragraph" w:customStyle="1" w:styleId="TableBodyTextRight">
    <w:name w:val="Table Body Text Right"/>
    <w:basedOn w:val="TableBodyText"/>
    <w:rsid w:val="00100A6C"/>
    <w:pPr>
      <w:widowControl w:val="0"/>
      <w:autoSpaceDE w:val="0"/>
      <w:autoSpaceDN w:val="0"/>
      <w:adjustRightInd w:val="0"/>
      <w:jc w:val="right"/>
    </w:pPr>
    <w:rPr>
      <w:rFonts w:cs="Arial"/>
      <w:szCs w:val="18"/>
    </w:rPr>
  </w:style>
  <w:style w:type="paragraph" w:customStyle="1" w:styleId="CopyrightText">
    <w:name w:val="Copyright Text"/>
    <w:basedOn w:val="BodyText"/>
    <w:rsid w:val="00100A6C"/>
    <w:rPr>
      <w:sz w:val="18"/>
    </w:rPr>
  </w:style>
  <w:style w:type="paragraph" w:customStyle="1" w:styleId="BodySmallRight">
    <w:name w:val="Body Small Right"/>
    <w:basedOn w:val="BodyTextRight"/>
    <w:rsid w:val="00100A6C"/>
    <w:rPr>
      <w:sz w:val="18"/>
      <w:szCs w:val="18"/>
    </w:rPr>
  </w:style>
  <w:style w:type="paragraph" w:customStyle="1" w:styleId="MarginEdition">
    <w:name w:val="Margin Edition"/>
    <w:basedOn w:val="MarginNote"/>
    <w:rsid w:val="00100A6C"/>
    <w:pPr>
      <w:spacing w:before="0" w:after="0"/>
    </w:pPr>
    <w:rPr>
      <w:rFonts w:ascii="Times New Roman" w:hAnsi="Times New Roman"/>
      <w:color w:val="999999"/>
    </w:rPr>
  </w:style>
  <w:style w:type="paragraph" w:customStyle="1" w:styleId="Spacer">
    <w:name w:val="Spacer"/>
    <w:basedOn w:val="Normal"/>
    <w:rsid w:val="00100A6C"/>
    <w:rPr>
      <w:sz w:val="2"/>
      <w:szCs w:val="2"/>
    </w:rPr>
  </w:style>
  <w:style w:type="character" w:customStyle="1" w:styleId="Small">
    <w:name w:val="Small"/>
    <w:basedOn w:val="DefaultParagraphFont"/>
    <w:rsid w:val="00100A6C"/>
    <w:rPr>
      <w:sz w:val="16"/>
    </w:rPr>
  </w:style>
  <w:style w:type="paragraph" w:customStyle="1" w:styleId="WideTable">
    <w:name w:val="Wide Table"/>
    <w:basedOn w:val="Normal"/>
    <w:rsid w:val="00100A6C"/>
    <w:pPr>
      <w:ind w:left="-1418"/>
    </w:pPr>
    <w:rPr>
      <w:sz w:val="2"/>
      <w:szCs w:val="2"/>
    </w:rPr>
  </w:style>
  <w:style w:type="character" w:styleId="PageNumber">
    <w:name w:val="page number"/>
    <w:basedOn w:val="DefaultParagraphFont"/>
    <w:rsid w:val="00100A6C"/>
  </w:style>
  <w:style w:type="paragraph" w:styleId="Quote">
    <w:name w:val="Quote"/>
    <w:basedOn w:val="Heading1"/>
    <w:link w:val="QuoteChar"/>
    <w:qFormat/>
    <w:rsid w:val="00100A6C"/>
    <w:rPr>
      <w:b w:val="0"/>
      <w:sz w:val="72"/>
      <w:szCs w:val="72"/>
      <w:lang w:val="en-NZ"/>
    </w:rPr>
  </w:style>
  <w:style w:type="character" w:customStyle="1" w:styleId="QuoteChar">
    <w:name w:val="Quote Char"/>
    <w:basedOn w:val="DefaultParagraphFont"/>
    <w:link w:val="Quote"/>
    <w:rsid w:val="00100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A6C"/>
    <w:pPr>
      <w:pageBreakBefore/>
    </w:pPr>
  </w:style>
  <w:style w:type="paragraph" w:customStyle="1" w:styleId="Border">
    <w:name w:val="Border"/>
    <w:basedOn w:val="Normal"/>
    <w:qFormat/>
    <w:rsid w:val="00100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A6C"/>
    <w:rPr>
      <w:b/>
      <w:bCs/>
      <w:i/>
      <w:iCs/>
      <w:color w:val="auto"/>
    </w:rPr>
  </w:style>
  <w:style w:type="paragraph" w:styleId="IntenseQuote">
    <w:name w:val="Intense Quote"/>
    <w:basedOn w:val="Normal"/>
    <w:next w:val="Normal"/>
    <w:link w:val="IntenseQuoteChar"/>
    <w:uiPriority w:val="30"/>
    <w:qFormat/>
    <w:rsid w:val="00100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A6C"/>
    <w:rPr>
      <w:smallCaps/>
      <w:color w:val="auto"/>
      <w:u w:val="single"/>
    </w:rPr>
  </w:style>
  <w:style w:type="character" w:styleId="IntenseReference">
    <w:name w:val="Intense Reference"/>
    <w:basedOn w:val="DefaultParagraphFont"/>
    <w:uiPriority w:val="32"/>
    <w:qFormat/>
    <w:rsid w:val="00100A6C"/>
    <w:rPr>
      <w:b/>
      <w:bCs/>
      <w:smallCaps/>
      <w:color w:val="auto"/>
      <w:spacing w:val="5"/>
      <w:u w:val="single"/>
    </w:rPr>
  </w:style>
  <w:style w:type="paragraph" w:customStyle="1" w:styleId="2ColumnHeading">
    <w:name w:val="2Column Heading"/>
    <w:basedOn w:val="BodyText"/>
    <w:qFormat/>
    <w:rsid w:val="00100A6C"/>
    <w:pPr>
      <w:spacing w:after="60"/>
      <w:ind w:left="-2268"/>
    </w:pPr>
    <w:rPr>
      <w:b/>
    </w:rPr>
  </w:style>
  <w:style w:type="paragraph" w:customStyle="1" w:styleId="Heading1TOC">
    <w:name w:val="Heading1 TOC"/>
    <w:basedOn w:val="Normal"/>
    <w:qFormat/>
    <w:rsid w:val="00100A6C"/>
    <w:pPr>
      <w:spacing w:before="240" w:after="120"/>
    </w:pPr>
    <w:rPr>
      <w:rFonts w:ascii="Times New Roman" w:hAnsi="Times New Roman"/>
      <w:b/>
      <w:sz w:val="32"/>
    </w:rPr>
  </w:style>
  <w:style w:type="paragraph" w:customStyle="1" w:styleId="Heading2TOC">
    <w:name w:val="Heading2 TOC"/>
    <w:basedOn w:val="Normal"/>
    <w:qFormat/>
    <w:rsid w:val="00100A6C"/>
    <w:pPr>
      <w:spacing w:before="240" w:after="60"/>
    </w:pPr>
    <w:rPr>
      <w:rFonts w:ascii="Times New Roman" w:hAnsi="Times New Roman"/>
      <w:b/>
      <w:sz w:val="28"/>
    </w:rPr>
  </w:style>
  <w:style w:type="character" w:customStyle="1" w:styleId="Underline">
    <w:name w:val="Underline"/>
    <w:basedOn w:val="DefaultParagraphFont"/>
    <w:qFormat/>
    <w:rsid w:val="00100A6C"/>
    <w:rPr>
      <w:u w:val="single"/>
    </w:rPr>
  </w:style>
  <w:style w:type="character" w:customStyle="1" w:styleId="BoldandItalics">
    <w:name w:val="Bold and Italics"/>
    <w:qFormat/>
    <w:rsid w:val="00100A6C"/>
    <w:rPr>
      <w:b/>
      <w:i/>
      <w:u w:val="none"/>
    </w:rPr>
  </w:style>
  <w:style w:type="paragraph" w:styleId="BalloonText">
    <w:name w:val="Balloon Text"/>
    <w:basedOn w:val="Normal"/>
    <w:link w:val="BalloonTextChar"/>
    <w:rsid w:val="00100A6C"/>
    <w:rPr>
      <w:rFonts w:ascii="Tahoma" w:hAnsi="Tahoma" w:cs="Tahoma"/>
      <w:sz w:val="16"/>
      <w:szCs w:val="16"/>
    </w:rPr>
  </w:style>
  <w:style w:type="character" w:customStyle="1" w:styleId="BalloonTextChar">
    <w:name w:val="Balloon Text Char"/>
    <w:basedOn w:val="DefaultParagraphFont"/>
    <w:link w:val="BalloonText"/>
    <w:rsid w:val="00100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A6C"/>
    <w:rPr>
      <w:b/>
      <w:color w:val="660033"/>
      <w:spacing w:val="0"/>
    </w:rPr>
  </w:style>
  <w:style w:type="paragraph" w:customStyle="1" w:styleId="Nameditemlist">
    <w:name w:val="Named item list"/>
    <w:basedOn w:val="BodyText"/>
    <w:qFormat/>
    <w:rsid w:val="00100A6C"/>
    <w:pPr>
      <w:tabs>
        <w:tab w:val="left" w:pos="2835"/>
      </w:tabs>
      <w:ind w:left="2835" w:hanging="2835"/>
    </w:pPr>
  </w:style>
  <w:style w:type="paragraph" w:customStyle="1" w:styleId="BodyTextnopadding">
    <w:name w:val="Body Text no padding"/>
    <w:basedOn w:val="BodyText"/>
    <w:qFormat/>
    <w:rsid w:val="00100A6C"/>
    <w:pPr>
      <w:spacing w:before="0" w:after="0"/>
    </w:pPr>
  </w:style>
  <w:style w:type="paragraph" w:customStyle="1" w:styleId="BodyTextBold">
    <w:name w:val="Body Text Bold"/>
    <w:basedOn w:val="BodyText"/>
    <w:qFormat/>
    <w:rsid w:val="00100A6C"/>
    <w:rPr>
      <w:b/>
    </w:rPr>
  </w:style>
  <w:style w:type="character" w:styleId="Hyperlink">
    <w:name w:val="Hyperlink"/>
    <w:basedOn w:val="DefaultParagraphFont"/>
    <w:uiPriority w:val="99"/>
    <w:unhideWhenUsed/>
    <w:rsid w:val="00363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7379</Characters>
  <Application>Microsoft Office Word</Application>
  <DocSecurity>0</DocSecurity>
  <Lines>245</Lines>
  <Paragraphs>134</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UEERE0074 Inspect off-grid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