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2D9" w:rsidP="00901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UEERE0070 Fault find and repair grid-connected photovoltaic power supply systems</w:t>
      </w:r>
      <w:r>
        <w:fldChar w:fldCharType="end"/>
      </w:r>
    </w:p>
    <w:p w:rsidR="009012D9" w:rsidP="009012D9">
      <w:pPr>
        <w:pStyle w:val="Version"/>
        <w:sectPr w:rsidSect="006B2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0A9" w:rsidP="006B20A9">
      <w:pPr>
        <w:pStyle w:val="SuperHeading"/>
      </w:pPr>
      <w:r w:rsidRPr="006B20A9">
        <w:t>UEERE0070 Fault find and repair grid-connected photovoltaic power supply systems</w:t>
      </w:r>
    </w:p>
    <w:p w:rsidR="00000000" w:rsidRPr="006B20A9" w:rsidP="006B20A9">
      <w:pPr>
        <w:pStyle w:val="Heading1"/>
      </w:pPr>
      <w:bookmarkStart w:id="1" w:name="O_1268181"/>
      <w:bookmarkEnd w:id="1"/>
      <w:r w:rsidRPr="006B20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Release 1. This is the first release of this unit of competency in the UEE Electrotechnology Training Package.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2" w:name="O_1268182"/>
      <w:bookmarkEnd w:id="2"/>
      <w:r w:rsidRPr="006B20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This unit involves the skills and knowledge required to fault find and repair grid-connected photovoltaic (PV) power supply systems.</w:t>
            </w:r>
          </w:p>
          <w:p w:rsidR="00000000" w:rsidRPr="006B20A9" w:rsidP="006B20A9">
            <w:pPr>
              <w:pStyle w:val="BodyText"/>
            </w:pPr>
            <w:r w:rsidRPr="006B20A9">
              <w:t>It includes providing known solutions to predictable problems in photovoltaic modules arrays and energy storage</w:t>
            </w:r>
            <w:r w:rsidRPr="006B20A9">
              <w:t xml:space="preserve"> systems.</w:t>
            </w:r>
          </w:p>
          <w:p w:rsidR="00000000" w:rsidRPr="006B20A9" w:rsidP="006B20A9">
            <w:pPr>
              <w:pStyle w:val="BodyText"/>
            </w:pPr>
            <w:r w:rsidRPr="006B20A9">
              <w:t>The skills and knowledge described in this unit require a licence or permit to practice in the workplace, where work is carried out on electrical installations which are designed to operate at voltages greater than 50 volt (V) alternating current</w:t>
            </w:r>
            <w:r w:rsidRPr="006B20A9">
              <w:t xml:space="preserve"> (a.c.) or 120 V direct current (d.c.).</w:t>
            </w:r>
          </w:p>
          <w:p w:rsidR="00000000" w:rsidRPr="006B20A9" w:rsidP="006B20A9">
            <w:pPr>
              <w:pStyle w:val="BodyText"/>
            </w:pPr>
            <w:r w:rsidRPr="006B20A9">
              <w:t>Competency development activities in this unit are subject to regulations directly related to licensing. Where a licence or permit to practice is not held, a relevant contract of training, such as an Australian Appre</w:t>
            </w:r>
            <w:r w:rsidRPr="006B20A9">
              <w:t>nticeship, is required.</w:t>
            </w:r>
          </w:p>
          <w:p w:rsidR="00000000" w:rsidRPr="006B20A9" w:rsidP="006B20A9">
            <w:pPr>
              <w:pStyle w:val="BodyText"/>
            </w:pPr>
            <w:r w:rsidRPr="006B20A9">
              <w:t xml:space="preserve">Additional and/or other conditions may apply in some jurisdictions subject to regulations related to electrical work. Practice in the workplace and during training is also subject to work health and safety (WHS)/occupational health </w:t>
            </w:r>
            <w:r w:rsidRPr="006B20A9">
              <w:t>and safety (OHS) regulations.</w:t>
            </w:r>
          </w:p>
          <w:p w:rsidR="00000000" w:rsidRPr="006B20A9" w:rsidP="006B20A9">
            <w:pPr>
              <w:pStyle w:val="BodyText"/>
            </w:pPr>
            <w:r w:rsidRPr="006B20A9">
              <w:t>Note: Those holding an Unrestricted Electrician’s Licence or equivalent issued in an Australian state or territory meet the prerequisite requirement for UEEEL0012 Install low voltage wiring, appliances, switchgear and associat</w:t>
            </w:r>
            <w:r w:rsidRPr="006B20A9">
              <w:t>ed accessories. Other prerequisites must still be completed.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3" w:name="O_1268183"/>
      <w:bookmarkEnd w:id="3"/>
      <w:r w:rsidRPr="006B20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UEERE0054 Conduct site survey for grid-connected photovoltaic and battery storage systems</w:t>
            </w:r>
          </w:p>
          <w:p w:rsidR="00000000" w:rsidRPr="006B20A9" w:rsidP="006B20A9">
            <w:pPr>
              <w:pStyle w:val="BodyText"/>
            </w:pPr>
            <w:r w:rsidRPr="006B20A9">
              <w:t xml:space="preserve">UEEEL0012 Install low voltage wiring, appliances, switchgear and </w:t>
            </w:r>
            <w:r w:rsidRPr="006B20A9">
              <w:t>associated accessories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4" w:name="O_1268184"/>
      <w:bookmarkEnd w:id="4"/>
      <w:r w:rsidRPr="006B20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Renewable Energy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5" w:name="O_1268185"/>
      <w:bookmarkEnd w:id="5"/>
      <w:r w:rsidRPr="006B20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Electrotechnology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6" w:name="O_1268186"/>
      <w:bookmarkEnd w:id="6"/>
      <w:r w:rsidRPr="006B20A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PERFORMANCE CRITERIA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Performance criteria describe the performance needed to demonstrate achievement of the element.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rPr>
                <w:rStyle w:val="SpecialBold"/>
              </w:rPr>
              <w:t>Prepare to fault find and repair grid-connected PV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 xml:space="preserve">Work health and safety (WHS)/occupational health </w:t>
            </w:r>
            <w:r w:rsidRPr="006B20A9">
              <w:t>and safety (OHS) processes and procedures for relevant work area are identified and applied in accordance with workplace procedures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The nature of the fault/issue is identified from stakeholders and relevant data and documentation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Requirements for working with other stakeholders are confirmed and applied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Required materials, tools, apparatus and testing devices are identified, accessed and checked for correct operation and safety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 xml:space="preserve">Need to test or measure live electrical </w:t>
            </w:r>
            <w:r w:rsidRPr="006B20A9">
              <w:t>work is determined in accordance with WHS/OHS requirements and workplace procedures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rPr>
                <w:rStyle w:val="SpecialBold"/>
              </w:rPr>
              <w:t>Fault find and repair grid-connected PV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Circuits/apparatus are isolated in accordance with WHS/OHS requirements and workplace procedures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Nature of reported fault/issue is verified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System testing is conducted and documented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Fault or faults are diagnosed, faulty equipment is identified, and the replacement products required are documented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System is made safe, faulty appar</w:t>
            </w:r>
            <w:r w:rsidRPr="006B20A9">
              <w:t>atus is dismantled, recorded and stored in accordance with manufacturer guides and stakeholder instructions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Repaired or replaced apparatus is assembled in accordance with manufacturer guidelines, industry standards and regulation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rPr>
                <w:rStyle w:val="SpecialBold"/>
              </w:rPr>
              <w:t>Complete and report repair work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Repaired apparatus is tested and commissioned in accordance with manufacturer guidelines, industry standards and regulation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Work area is cleaned and made safe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Repair is documented and st</w:t>
            </w:r>
            <w:r w:rsidRPr="006B20A9">
              <w:t>akeholders notified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7" w:name="O_1268187"/>
      <w:bookmarkEnd w:id="7"/>
      <w:r w:rsidRPr="006B20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Foundation skills essential to performance are explicit in the performance criteria of this unit of competency.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8" w:name="O_1268188"/>
      <w:bookmarkEnd w:id="8"/>
      <w:r w:rsidRPr="006B20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Range is restricted to essential operating conditions and any other variables essential to the work environment.</w:t>
            </w:r>
          </w:p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Non-essential conditions may be found in the UEE Electrotechnology Training Package Companion Volume Implementation Guide.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 xml:space="preserve">Fault finding and </w:t>
            </w:r>
            <w:r w:rsidRPr="006B20A9">
              <w:t>repair grid-connected photovoltaic power supply systems must include at least three of the following: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ListBullet"/>
            </w:pPr>
            <w:r w:rsidRPr="006B20A9">
              <w:t>determining the operating parameters of an existing apparatus/modules</w:t>
            </w:r>
          </w:p>
          <w:p w:rsidR="00000000" w:rsidRPr="006B20A9" w:rsidP="006B20A9">
            <w:pPr>
              <w:pStyle w:val="ListBullet"/>
            </w:pPr>
            <w:r w:rsidRPr="006B20A9">
              <w:t>identifying and locating electrical faults</w:t>
            </w:r>
          </w:p>
          <w:p w:rsidR="00000000" w:rsidRPr="006B20A9" w:rsidP="006B20A9">
            <w:pPr>
              <w:pStyle w:val="ListBullet"/>
            </w:pPr>
            <w:r w:rsidRPr="006B20A9">
              <w:t>determining solar radiation faults and problems</w:t>
            </w:r>
          </w:p>
          <w:p w:rsidR="00000000" w:rsidRPr="006B20A9" w:rsidP="006B20A9">
            <w:pPr>
              <w:pStyle w:val="ListBullet"/>
            </w:pPr>
            <w:r w:rsidRPr="006B20A9">
              <w:t>identifying and locating mechanical fault.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9" w:name="O_1268189"/>
      <w:bookmarkEnd w:id="9"/>
      <w:r w:rsidRPr="006B20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This is a new unit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10" w:name="O_1268196"/>
      <w:bookmarkEnd w:id="10"/>
      <w:r w:rsidRPr="006B20A9">
        <w:t>Links</w:t>
      </w:r>
    </w:p>
    <w:p w:rsidR="00000000" w:rsidRPr="006B20A9" w:rsidP="009012D9">
      <w:pPr>
        <w:pStyle w:val="BodyText"/>
      </w:pPr>
      <w:r w:rsidRPr="006B20A9">
        <w:t>Companion Volume Implementation G</w:t>
      </w:r>
      <w:r w:rsidRPr="006B20A9">
        <w:t xml:space="preserve">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06C5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B20A9" w:rsidP="009012D9">
      <w:pPr>
        <w:pStyle w:val="BodyText"/>
        <w:sectPr w:rsidSect="006B20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20A9" w:rsidP="006B20A9">
      <w:pPr>
        <w:pStyle w:val="SuperHeading"/>
      </w:pPr>
      <w:r w:rsidRPr="006B20A9">
        <w:t>Assessment Requirements for UEERE0070 Fault find and repair grid-connected photovoltaic power su</w:t>
      </w:r>
      <w:r w:rsidRPr="006B20A9">
        <w:t>pply systems</w:t>
      </w:r>
    </w:p>
    <w:p w:rsidR="00000000" w:rsidRPr="006B20A9" w:rsidP="006B20A9">
      <w:pPr>
        <w:pStyle w:val="Heading1"/>
      </w:pPr>
      <w:bookmarkStart w:id="11" w:name="O_1268191"/>
      <w:bookmarkEnd w:id="11"/>
      <w:r w:rsidRPr="006B20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Release 1. This is the first release of this unit of competency in the UEE Electrotechnology Training Package.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12" w:name="O_1268192"/>
      <w:bookmarkEnd w:id="12"/>
      <w:r w:rsidRPr="006B20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>Evidence required to demonstrate competence in this</w:t>
            </w:r>
            <w:r w:rsidRPr="006B20A9">
              <w:t xml:space="preserve"> unit must be relevant to and satisfy all of the requirements of the elements, performance criteria and range of conditions on at least two occasions and include: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ListBullet"/>
            </w:pPr>
            <w:r w:rsidRPr="006B20A9">
              <w:t>applying relevant work health and safety (WHS)/occupational health and safety (OHS) procedu</w:t>
            </w:r>
            <w:r w:rsidRPr="006B20A9">
              <w:t>res</w:t>
            </w:r>
          </w:p>
          <w:p w:rsidR="00000000" w:rsidRPr="006B20A9" w:rsidP="006B20A9">
            <w:pPr>
              <w:pStyle w:val="ListBullet"/>
            </w:pPr>
            <w:r w:rsidRPr="006B20A9">
              <w:t>finding and repairing faults/issues in grid-connected photovoltaic power supply systems including:</w:t>
            </w:r>
          </w:p>
          <w:p w:rsidR="00000000" w:rsidRPr="006B20A9" w:rsidP="006B20A9">
            <w:pPr>
              <w:pStyle w:val="ListBullet2"/>
            </w:pPr>
            <w:r w:rsidRPr="006B20A9">
              <w:t>verifying the reported faults/issues</w:t>
            </w:r>
          </w:p>
          <w:p w:rsidR="00000000" w:rsidRPr="006B20A9" w:rsidP="006B20A9">
            <w:pPr>
              <w:pStyle w:val="ListBullet2"/>
            </w:pPr>
            <w:r w:rsidRPr="006B20A9">
              <w:t>diagnosing fault/issue based on measured and expected values</w:t>
            </w:r>
          </w:p>
          <w:p w:rsidR="00000000" w:rsidRPr="006B20A9" w:rsidP="006B20A9">
            <w:pPr>
              <w:pStyle w:val="ListBullet2"/>
            </w:pPr>
            <w:r w:rsidRPr="006B20A9">
              <w:t>determining and implementing solution</w:t>
            </w:r>
          </w:p>
          <w:p w:rsidR="00000000" w:rsidRPr="006B20A9" w:rsidP="006B20A9">
            <w:pPr>
              <w:pStyle w:val="ListBullet2"/>
            </w:pPr>
            <w:r w:rsidRPr="006B20A9">
              <w:t>documenting issue and justification for the solution used.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13" w:name="O_1268193"/>
      <w:bookmarkEnd w:id="13"/>
      <w:r w:rsidRPr="006B20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0A9">
            <w:pPr>
              <w:pStyle w:val="BodyText"/>
              <w:rPr>
                <w:lang w:val="en-NZ"/>
              </w:rPr>
            </w:pPr>
            <w:r w:rsidRPr="006B20A9">
              <w:t xml:space="preserve">Evidence required to demonstrate competence in this unit must be relevant to and satisfy all of the requirements of the elements, performance criteria and </w:t>
            </w:r>
            <w:r w:rsidRPr="006B20A9">
              <w:t>range of conditions and include knowledge of the following. Additional advice and definitions for some items is provided in the UEE Training Package Companion Volume Implementation Guide (CVIG).</w:t>
            </w:r>
          </w:p>
        </w:tc>
      </w:tr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ListBullet"/>
            </w:pPr>
            <w:r w:rsidRPr="006B20A9">
              <w:t>grid-connected system fault finding:</w:t>
            </w:r>
          </w:p>
          <w:p w:rsidR="00000000" w:rsidRPr="006B20A9" w:rsidP="006B20A9">
            <w:pPr>
              <w:pStyle w:val="ListBullet2"/>
            </w:pPr>
            <w:r w:rsidRPr="006B20A9">
              <w:t>procedures for indivi</w:t>
            </w:r>
            <w:r w:rsidRPr="006B20A9">
              <w:t>dual equipment</w:t>
            </w:r>
          </w:p>
          <w:p w:rsidR="00000000" w:rsidRPr="006B20A9" w:rsidP="006B20A9">
            <w:pPr>
              <w:pStyle w:val="ListBullet2"/>
            </w:pPr>
            <w:r w:rsidRPr="006B20A9">
              <w:t>procedures for interconnected systems</w:t>
            </w:r>
          </w:p>
          <w:p w:rsidR="00000000" w:rsidRPr="006B20A9" w:rsidP="006B20A9">
            <w:pPr>
              <w:pStyle w:val="ListBullet"/>
            </w:pPr>
            <w:r w:rsidRPr="006B20A9">
              <w:t>grid-connected system maintenance procedures including:</w:t>
            </w:r>
          </w:p>
          <w:p w:rsidR="00000000" w:rsidRPr="006B20A9" w:rsidP="006B20A9">
            <w:pPr>
              <w:pStyle w:val="ListBullet2"/>
            </w:pPr>
            <w:r w:rsidRPr="006B20A9">
              <w:t>requirements for individual equipment</w:t>
            </w:r>
          </w:p>
          <w:p w:rsidR="00000000" w:rsidRPr="006B20A9" w:rsidP="006B20A9">
            <w:pPr>
              <w:pStyle w:val="ListBullet2"/>
            </w:pPr>
            <w:r w:rsidRPr="006B20A9">
              <w:t>requirements for interconnected systems.</w:t>
            </w:r>
          </w:p>
          <w:p w:rsidR="00000000" w:rsidRPr="006B20A9" w:rsidP="006B20A9">
            <w:pPr>
              <w:pStyle w:val="ListBullet2"/>
            </w:pPr>
            <w:r w:rsidRPr="006B20A9">
              <w:t>requirements including relevant industry standar</w:t>
            </w:r>
            <w:r w:rsidRPr="006B20A9">
              <w:t>ds, regulations and manufacturer requirements</w:t>
            </w:r>
          </w:p>
          <w:p w:rsidR="00000000" w:rsidRPr="006B20A9" w:rsidP="006B20A9">
            <w:pPr>
              <w:pStyle w:val="ListBullet"/>
            </w:pPr>
            <w:r w:rsidRPr="006B20A9">
              <w:t>grid-connected system testing and commissioning procedures including:</w:t>
            </w:r>
          </w:p>
          <w:p w:rsidR="00000000" w:rsidRPr="006B20A9" w:rsidP="006B20A9">
            <w:pPr>
              <w:pStyle w:val="ListBullet2"/>
            </w:pPr>
            <w:r w:rsidRPr="006B20A9">
              <w:t>safe testing of equipment</w:t>
            </w:r>
          </w:p>
          <w:p w:rsidR="00000000" w:rsidRPr="006B20A9" w:rsidP="006B20A9">
            <w:pPr>
              <w:pStyle w:val="ListBullet2"/>
            </w:pPr>
            <w:r w:rsidRPr="006B20A9">
              <w:t>safe testing of system operation</w:t>
            </w:r>
          </w:p>
          <w:p w:rsidR="00000000" w:rsidRPr="006B20A9" w:rsidP="006B20A9">
            <w:pPr>
              <w:pStyle w:val="ListBullet"/>
            </w:pPr>
            <w:r w:rsidRPr="006B20A9">
              <w:t>daily irradiation</w:t>
            </w:r>
          </w:p>
          <w:p w:rsidR="00000000" w:rsidRPr="006B20A9" w:rsidP="006B20A9">
            <w:pPr>
              <w:pStyle w:val="ListBullet"/>
            </w:pPr>
            <w:r w:rsidRPr="006B20A9">
              <w:t>PV modules</w:t>
            </w:r>
          </w:p>
          <w:p w:rsidR="00000000" w:rsidRPr="006B20A9" w:rsidP="006B20A9">
            <w:pPr>
              <w:pStyle w:val="ListBullet"/>
            </w:pPr>
            <w:r w:rsidRPr="006B20A9">
              <w:t>module characteristics including:</w:t>
            </w:r>
          </w:p>
          <w:p w:rsidR="00000000" w:rsidRPr="006B20A9" w:rsidP="006B20A9">
            <w:pPr>
              <w:pStyle w:val="ListBullet2"/>
            </w:pPr>
            <w:r w:rsidRPr="006B20A9">
              <w:t xml:space="preserve">definition of </w:t>
            </w:r>
            <w:r w:rsidRPr="006B20A9">
              <w:t>the terms: I-V curve, operating point, MPP, cell temperature co-efficient, voltage and power output co-efficient</w:t>
            </w:r>
          </w:p>
          <w:p w:rsidR="00000000" w:rsidRPr="006B20A9" w:rsidP="006B20A9">
            <w:pPr>
              <w:pStyle w:val="ListBullet2"/>
            </w:pPr>
            <w:r w:rsidRPr="006B20A9">
              <w:t>family of current - voltage (I-V) curves for a PV module, labelling major points and showing the effects of variation in irradiance and variation in cell temperature</w:t>
            </w:r>
          </w:p>
          <w:p w:rsidR="00000000" w:rsidRPr="006B20A9" w:rsidP="006B20A9">
            <w:pPr>
              <w:pStyle w:val="ListBullet2"/>
            </w:pPr>
            <w:r w:rsidRPr="006B20A9">
              <w:t>major ratings of a PV module from manufacturer’s information or nameplate data</w:t>
            </w:r>
          </w:p>
          <w:p w:rsidR="00000000" w:rsidRPr="006B20A9" w:rsidP="006B20A9">
            <w:pPr>
              <w:pStyle w:val="ListBullet2"/>
            </w:pPr>
            <w:r w:rsidRPr="006B20A9">
              <w:t>configurati</w:t>
            </w:r>
            <w:r w:rsidRPr="006B20A9">
              <w:t>on of a typical PV array</w:t>
            </w:r>
          </w:p>
          <w:p w:rsidR="00000000" w:rsidRPr="006B20A9" w:rsidP="006B20A9">
            <w:pPr>
              <w:pStyle w:val="ListBullet2"/>
            </w:pPr>
            <w:r w:rsidRPr="006B20A9">
              <w:t>the effect of partial shading of a PV module or array, the impact of bypass diodes and the significance of their configuration on output current in typical operating conditions</w:t>
            </w:r>
          </w:p>
          <w:p w:rsidR="00000000" w:rsidRPr="006B20A9" w:rsidP="006B20A9">
            <w:pPr>
              <w:pStyle w:val="ListBullet2"/>
            </w:pPr>
            <w:r w:rsidRPr="006B20A9">
              <w:t>the scope and content of Australian or international s</w:t>
            </w:r>
            <w:r w:rsidRPr="006B20A9">
              <w:t>tandards relevant to the performance of PV modules</w:t>
            </w:r>
          </w:p>
          <w:p w:rsidR="00000000" w:rsidRPr="006B20A9" w:rsidP="006B20A9">
            <w:pPr>
              <w:pStyle w:val="ListBullet2"/>
            </w:pPr>
            <w:r w:rsidRPr="006B20A9">
              <w:t>module level power electronics</w:t>
            </w:r>
          </w:p>
          <w:p w:rsidR="00000000" w:rsidRPr="006B20A9" w:rsidP="006B20A9">
            <w:pPr>
              <w:pStyle w:val="ListBullet"/>
            </w:pPr>
            <w:r w:rsidRPr="006B20A9">
              <w:t xml:space="preserve">calculation of the daily energy output of a PV array in accordance with relevant industry standards, and by using </w:t>
            </w:r>
            <w:r>
              <w:t>“</w:t>
            </w:r>
            <w:r w:rsidRPr="006B20A9">
              <w:t>rule of thumb</w:t>
            </w:r>
            <w:r>
              <w:t>”</w:t>
            </w:r>
            <w:r w:rsidRPr="006B20A9">
              <w:t xml:space="preserve"> de-rating factors</w:t>
            </w:r>
          </w:p>
          <w:p w:rsidR="00000000" w:rsidRPr="006B20A9" w:rsidP="006B20A9">
            <w:pPr>
              <w:pStyle w:val="ListBullet"/>
            </w:pPr>
            <w:r w:rsidRPr="006B20A9">
              <w:t>relevant manufacturer spe</w:t>
            </w:r>
            <w:r w:rsidRPr="006B20A9">
              <w:t>cifications</w:t>
            </w:r>
          </w:p>
          <w:p w:rsidR="00000000" w:rsidRPr="006B20A9" w:rsidP="006B20A9">
            <w:pPr>
              <w:pStyle w:val="ListBullet"/>
            </w:pPr>
            <w:r w:rsidRPr="006B20A9">
              <w:t>workplace documentation for reporting repair activities.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14" w:name="O_1268194"/>
      <w:bookmarkEnd w:id="14"/>
      <w:r w:rsidRPr="006B20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0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0A9" w:rsidP="006B20A9">
            <w:pPr>
              <w:pStyle w:val="BodyText"/>
            </w:pPr>
            <w:r w:rsidRPr="006B20A9">
              <w:t>Assessors must hold credentials specified within the Standards for Registered Training Organisations current at the time of assessment.</w:t>
            </w:r>
          </w:p>
          <w:p w:rsidR="00000000" w:rsidRPr="006B20A9" w:rsidP="006B20A9">
            <w:pPr>
              <w:pStyle w:val="BodyText"/>
            </w:pPr>
            <w:r w:rsidRPr="006B20A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B20A9" w:rsidP="006B20A9">
            <w:pPr>
              <w:pStyle w:val="BodyText"/>
            </w:pPr>
            <w:r w:rsidRPr="006B20A9">
              <w:t>Assessment must occur in workplace operational</w:t>
            </w:r>
            <w:r w:rsidRPr="006B20A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B20A9" w:rsidP="006B20A9">
            <w:pPr>
              <w:pStyle w:val="BodyText"/>
            </w:pPr>
            <w:r w:rsidRPr="006B20A9">
              <w:t>Assessment processes and techniques must be appropriate to the language, l</w:t>
            </w:r>
            <w:r w:rsidRPr="006B20A9">
              <w:t>iteracy and numeracy requirements of the work being performed and the needs of the candidate.</w:t>
            </w:r>
          </w:p>
          <w:p w:rsidR="00000000" w:rsidRPr="006B20A9" w:rsidP="006B20A9">
            <w:pPr>
              <w:pStyle w:val="BodyText"/>
            </w:pPr>
            <w:r w:rsidRPr="006B20A9">
              <w:t>Resources for assessment must include access to:</w:t>
            </w:r>
          </w:p>
          <w:p w:rsidR="00000000" w:rsidRPr="006B20A9" w:rsidP="006B20A9">
            <w:pPr>
              <w:pStyle w:val="ListBullet"/>
            </w:pPr>
            <w:r w:rsidRPr="006B20A9">
              <w:t>a range of relevant exercises, case studies and/or other simulations</w:t>
            </w:r>
          </w:p>
          <w:p w:rsidR="00000000" w:rsidRPr="006B20A9" w:rsidP="006B20A9">
            <w:pPr>
              <w:pStyle w:val="ListBullet"/>
            </w:pPr>
            <w:r w:rsidRPr="006B20A9">
              <w:t xml:space="preserve">relevant and appropriate materials, tools, </w:t>
            </w:r>
            <w:r w:rsidRPr="006B20A9">
              <w:t xml:space="preserve">equipment and personal protective equipment (PPE) currently used in industry </w:t>
            </w:r>
          </w:p>
          <w:p w:rsidR="00000000" w:rsidRPr="006B20A9" w:rsidP="006B20A9">
            <w:pPr>
              <w:pStyle w:val="ListBullet"/>
            </w:pPr>
            <w:r w:rsidRPr="006B20A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B20A9" w:rsidP="006B20A9">
      <w:pPr>
        <w:pStyle w:val="NoPaddingFontSize1"/>
      </w:pPr>
    </w:p>
    <w:p w:rsidR="00000000" w:rsidRPr="006B20A9" w:rsidP="006B20A9">
      <w:pPr>
        <w:pStyle w:val="AllowPageBreak"/>
      </w:pPr>
    </w:p>
    <w:p w:rsidR="00000000" w:rsidRPr="006B20A9" w:rsidP="006B20A9">
      <w:pPr>
        <w:pStyle w:val="Heading1"/>
      </w:pPr>
      <w:bookmarkStart w:id="15" w:name="O_1268197"/>
      <w:bookmarkEnd w:id="15"/>
      <w:r w:rsidRPr="006B20A9">
        <w:t>Links</w:t>
      </w:r>
    </w:p>
    <w:p w:rsidR="00000000" w:rsidRPr="006B20A9" w:rsidP="009012D9">
      <w:pPr>
        <w:pStyle w:val="BodyText"/>
      </w:pPr>
      <w:r w:rsidRPr="006B2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06C5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B20A9" w:rsidP="006B20A9"/>
    <w:sectPr w:rsidSect="006B20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A9" w:rsidRPr="009012D9" w:rsidP="00901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D9" w:rsidP="006B2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2D9" w:rsidP="006B2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012D9" w:rsidP="006B20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A9" w:rsidP="006B2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2D9">
      <w:t>Approved</w:t>
    </w:r>
    <w:r w:rsidR="009012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2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2D9">
      <w:rPr>
        <w:noProof/>
      </w:rPr>
      <w:t>4</w:t>
    </w:r>
    <w:r>
      <w:rPr>
        <w:noProof/>
      </w:rPr>
      <w:fldChar w:fldCharType="end"/>
    </w:r>
  </w:p>
  <w:p w:rsidR="006B20A9" w:rsidP="006B2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2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2D9">
      <w:t>Powering Skills Organisation</w:t>
    </w:r>
    <w:r w:rsidR="009012D9">
      <w:fldChar w:fldCharType="end"/>
    </w:r>
  </w:p>
  <w:p w:rsidR="006B20A9" w:rsidP="006B2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0A9" w:rsidRPr="009012D9" w:rsidP="00901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D9" w:rsidRPr="002D2AF8" w:rsidP="006B2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UEERE0070 Fault find and repair grid-connected photovoltaic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012D9" w:rsidP="006B20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A9" w:rsidRPr="002D2AF8" w:rsidP="006B2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2D9">
      <w:t>UEERE0070 Fault find and repair grid-connected photovoltaic power supply systems</w:t>
    </w:r>
    <w:r w:rsidR="009012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2D9">
      <w:rPr>
        <w:noProof/>
      </w:rPr>
      <w:t>1 March 2025</w:t>
    </w:r>
    <w:r>
      <w:fldChar w:fldCharType="end"/>
    </w:r>
  </w:p>
  <w:p w:rsidR="006B20A9" w:rsidP="006B2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26E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F0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9E3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0A9"/>
  </w:style>
  <w:style w:type="character" w:customStyle="1" w:styleId="Heading1Char">
    <w:name w:val="Heading 1 Char"/>
    <w:basedOn w:val="DefaultParagraphFont"/>
    <w:link w:val="Heading1"/>
    <w:rsid w:val="006B2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0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0A9"/>
    <w:rPr>
      <w:b/>
      <w:spacing w:val="0"/>
    </w:rPr>
  </w:style>
  <w:style w:type="paragraph" w:styleId="ListBullet2">
    <w:name w:val="List Bullet 2"/>
    <w:basedOn w:val="List2"/>
    <w:rsid w:val="006B20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2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2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0A9"/>
    <w:rPr>
      <w:i/>
    </w:rPr>
  </w:style>
  <w:style w:type="paragraph" w:styleId="Caption">
    <w:name w:val="caption"/>
    <w:basedOn w:val="BodyText"/>
    <w:next w:val="Normal"/>
    <w:qFormat/>
    <w:rsid w:val="006B2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0A9"/>
  </w:style>
  <w:style w:type="paragraph" w:styleId="TableofFigures">
    <w:name w:val="table of figures"/>
    <w:basedOn w:val="Normal"/>
    <w:next w:val="Normal"/>
    <w:semiHidden/>
    <w:rsid w:val="006B2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0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0A9"/>
    <w:rPr>
      <w:rFonts w:ascii="Wingdings" w:hAnsi="Wingdings"/>
    </w:rPr>
  </w:style>
  <w:style w:type="paragraph" w:customStyle="1" w:styleId="TableHeading">
    <w:name w:val="Table Heading"/>
    <w:basedOn w:val="HeadingBase"/>
    <w:rsid w:val="006B2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0A9"/>
    <w:rPr>
      <w:color w:val="0033CC"/>
      <w:u w:val="none"/>
    </w:rPr>
  </w:style>
  <w:style w:type="paragraph" w:customStyle="1" w:styleId="BodyTextRight">
    <w:name w:val="Body Text Right"/>
    <w:basedOn w:val="BodyText"/>
    <w:rsid w:val="006B2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0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0A9"/>
    <w:rPr>
      <w:sz w:val="32"/>
    </w:rPr>
  </w:style>
  <w:style w:type="paragraph" w:customStyle="1" w:styleId="HeadingProcedure">
    <w:name w:val="Heading Procedure"/>
    <w:basedOn w:val="HeadingBase"/>
    <w:next w:val="Normal"/>
    <w:rsid w:val="006B2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0A9"/>
    <w:pPr>
      <w:spacing w:before="60" w:after="60"/>
    </w:pPr>
  </w:style>
  <w:style w:type="paragraph" w:styleId="ListContinue">
    <w:name w:val="List Continue"/>
    <w:basedOn w:val="List"/>
    <w:rsid w:val="006B20A9"/>
    <w:pPr>
      <w:ind w:firstLine="0"/>
    </w:pPr>
  </w:style>
  <w:style w:type="paragraph" w:customStyle="1" w:styleId="ListNote">
    <w:name w:val="List Note"/>
    <w:basedOn w:val="List"/>
    <w:rsid w:val="006B2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0A9"/>
    <w:rPr>
      <w:rFonts w:ascii="Courier New" w:hAnsi="Courier New"/>
    </w:rPr>
  </w:style>
  <w:style w:type="paragraph" w:customStyle="1" w:styleId="NoteBullet">
    <w:name w:val="Note Bullet"/>
    <w:basedOn w:val="Note"/>
    <w:rsid w:val="006B2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0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0A9"/>
    <w:rPr>
      <w:b/>
      <w:smallCaps/>
    </w:rPr>
  </w:style>
  <w:style w:type="paragraph" w:customStyle="1" w:styleId="TableListNumber">
    <w:name w:val="Table List Number"/>
    <w:basedOn w:val="ListNumber"/>
    <w:rsid w:val="006B2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0A9"/>
    <w:pPr>
      <w:numPr>
        <w:numId w:val="9"/>
      </w:numPr>
    </w:pPr>
  </w:style>
  <w:style w:type="paragraph" w:customStyle="1" w:styleId="ListAlpha2">
    <w:name w:val="List Alpha 2"/>
    <w:basedOn w:val="List2"/>
    <w:rsid w:val="006B20A9"/>
    <w:pPr>
      <w:numPr>
        <w:numId w:val="8"/>
      </w:numPr>
    </w:pPr>
  </w:style>
  <w:style w:type="paragraph" w:styleId="List2">
    <w:name w:val="List 2"/>
    <w:basedOn w:val="BodyText"/>
    <w:rsid w:val="006B2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0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0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0A9"/>
    <w:pPr>
      <w:numPr>
        <w:numId w:val="4"/>
      </w:numPr>
    </w:pPr>
  </w:style>
  <w:style w:type="paragraph" w:styleId="ListContinue2">
    <w:name w:val="List Continue 2"/>
    <w:basedOn w:val="List2"/>
    <w:rsid w:val="006B20A9"/>
    <w:pPr>
      <w:ind w:firstLine="0"/>
    </w:pPr>
  </w:style>
  <w:style w:type="paragraph" w:styleId="ListContinue3">
    <w:name w:val="List Continue 3"/>
    <w:basedOn w:val="List3"/>
    <w:rsid w:val="006B20A9"/>
    <w:pPr>
      <w:ind w:left="1021" w:firstLine="0"/>
    </w:pPr>
  </w:style>
  <w:style w:type="paragraph" w:styleId="ListContinue4">
    <w:name w:val="List Continue 4"/>
    <w:basedOn w:val="List4"/>
    <w:rsid w:val="006B20A9"/>
    <w:pPr>
      <w:ind w:firstLine="0"/>
    </w:pPr>
  </w:style>
  <w:style w:type="paragraph" w:styleId="ListContinue5">
    <w:name w:val="List Continue 5"/>
    <w:basedOn w:val="List5"/>
    <w:rsid w:val="006B20A9"/>
    <w:pPr>
      <w:ind w:firstLine="0"/>
    </w:pPr>
  </w:style>
  <w:style w:type="paragraph" w:styleId="ListNumber3">
    <w:name w:val="List Number 3"/>
    <w:basedOn w:val="List3"/>
    <w:rsid w:val="006B20A9"/>
    <w:pPr>
      <w:numPr>
        <w:numId w:val="5"/>
      </w:numPr>
    </w:pPr>
  </w:style>
  <w:style w:type="paragraph" w:styleId="ListNumber4">
    <w:name w:val="List Number 4"/>
    <w:basedOn w:val="List4"/>
    <w:rsid w:val="006B20A9"/>
    <w:pPr>
      <w:numPr>
        <w:numId w:val="6"/>
      </w:numPr>
    </w:pPr>
  </w:style>
  <w:style w:type="paragraph" w:styleId="ListNumber5">
    <w:name w:val="List Number 5"/>
    <w:basedOn w:val="List5"/>
    <w:rsid w:val="006B20A9"/>
    <w:pPr>
      <w:numPr>
        <w:numId w:val="7"/>
      </w:numPr>
    </w:pPr>
  </w:style>
  <w:style w:type="paragraph" w:styleId="BlockText">
    <w:name w:val="Block Text"/>
    <w:basedOn w:val="Normal"/>
    <w:rsid w:val="006B2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0A9"/>
    <w:rPr>
      <w:sz w:val="16"/>
      <w:vertAlign w:val="superscript"/>
    </w:rPr>
  </w:style>
  <w:style w:type="character" w:customStyle="1" w:styleId="Symbols">
    <w:name w:val="Symbols"/>
    <w:basedOn w:val="DefaultParagraphFont"/>
    <w:rsid w:val="006B20A9"/>
    <w:rPr>
      <w:rFonts w:ascii="Symbol" w:hAnsi="Symbol"/>
    </w:rPr>
  </w:style>
  <w:style w:type="character" w:customStyle="1" w:styleId="MenuOptions">
    <w:name w:val="Menu Options"/>
    <w:basedOn w:val="DefaultParagraphFont"/>
    <w:rsid w:val="006B2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0A9"/>
    <w:rPr>
      <w:b/>
    </w:rPr>
  </w:style>
  <w:style w:type="character" w:customStyle="1" w:styleId="Underlined">
    <w:name w:val="Underlined"/>
    <w:basedOn w:val="DefaultParagraphFont"/>
    <w:rsid w:val="006B20A9"/>
    <w:rPr>
      <w:u w:val="single"/>
    </w:rPr>
  </w:style>
  <w:style w:type="paragraph" w:customStyle="1" w:styleId="TableBodyTextRight">
    <w:name w:val="Table Body Text Right"/>
    <w:basedOn w:val="TableBodyText"/>
    <w:rsid w:val="006B2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0A9"/>
    <w:rPr>
      <w:sz w:val="18"/>
    </w:rPr>
  </w:style>
  <w:style w:type="paragraph" w:customStyle="1" w:styleId="BodySmallRight">
    <w:name w:val="Body Small Right"/>
    <w:basedOn w:val="BodyTextRight"/>
    <w:rsid w:val="006B20A9"/>
    <w:rPr>
      <w:sz w:val="18"/>
      <w:szCs w:val="18"/>
    </w:rPr>
  </w:style>
  <w:style w:type="paragraph" w:customStyle="1" w:styleId="MarginEdition">
    <w:name w:val="Margin Edition"/>
    <w:basedOn w:val="MarginNote"/>
    <w:rsid w:val="006B2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0A9"/>
    <w:rPr>
      <w:sz w:val="2"/>
      <w:szCs w:val="2"/>
    </w:rPr>
  </w:style>
  <w:style w:type="character" w:customStyle="1" w:styleId="Small">
    <w:name w:val="Small"/>
    <w:basedOn w:val="DefaultParagraphFont"/>
    <w:rsid w:val="006B20A9"/>
    <w:rPr>
      <w:sz w:val="16"/>
    </w:rPr>
  </w:style>
  <w:style w:type="paragraph" w:customStyle="1" w:styleId="WideTable">
    <w:name w:val="Wide Table"/>
    <w:basedOn w:val="Normal"/>
    <w:rsid w:val="006B2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0A9"/>
  </w:style>
  <w:style w:type="paragraph" w:styleId="Quote">
    <w:name w:val="Quote"/>
    <w:basedOn w:val="Heading1"/>
    <w:link w:val="QuoteChar"/>
    <w:qFormat/>
    <w:rsid w:val="006B2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0A9"/>
    <w:pPr>
      <w:pageBreakBefore/>
    </w:pPr>
  </w:style>
  <w:style w:type="paragraph" w:customStyle="1" w:styleId="Border">
    <w:name w:val="Border"/>
    <w:basedOn w:val="Normal"/>
    <w:qFormat/>
    <w:rsid w:val="006B2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0A9"/>
    <w:rPr>
      <w:u w:val="single"/>
    </w:rPr>
  </w:style>
  <w:style w:type="character" w:customStyle="1" w:styleId="BoldandItalics">
    <w:name w:val="Bold and Italics"/>
    <w:qFormat/>
    <w:rsid w:val="006B20A9"/>
    <w:rPr>
      <w:b/>
      <w:i/>
      <w:u w:val="none"/>
    </w:rPr>
  </w:style>
  <w:style w:type="paragraph" w:styleId="BalloonText">
    <w:name w:val="Balloon Text"/>
    <w:basedOn w:val="Normal"/>
    <w:link w:val="BalloonTextChar"/>
    <w:rsid w:val="006B2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0A9"/>
    <w:pPr>
      <w:spacing w:before="0" w:after="0"/>
    </w:pPr>
  </w:style>
  <w:style w:type="paragraph" w:customStyle="1" w:styleId="BodyTextBold">
    <w:name w:val="Body Text Bold"/>
    <w:basedOn w:val="BodyText"/>
    <w:qFormat/>
    <w:rsid w:val="006B20A9"/>
    <w:rPr>
      <w:b/>
    </w:rPr>
  </w:style>
  <w:style w:type="character" w:styleId="Hyperlink">
    <w:name w:val="Hyperlink"/>
    <w:basedOn w:val="DefaultParagraphFont"/>
    <w:uiPriority w:val="99"/>
    <w:unhideWhenUsed/>
    <w:rsid w:val="00901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1201</Words>
  <Characters>7774</Characters>
  <Application>Microsoft Office Word</Application>
  <DocSecurity>0</DocSecurity>
  <Lines>250</Lines>
  <Paragraphs>140</Paragraphs>
  <ScaleCrop>false</ScaleCrop>
  <Company>Author-it Software Corporation Ltd.</Company>
  <LinksUpToDate>false</LinksUpToDate>
  <CharactersWithSpaces>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UEERE0070 Fault find and repair grid-connected photovoltaic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