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873" w:rsidP="005C68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UEERE0069 Diagnose and rectify faults in renewable energy (RE) control systems</w:t>
      </w:r>
      <w:r>
        <w:fldChar w:fldCharType="end"/>
      </w:r>
    </w:p>
    <w:p w:rsidR="005C6873" w:rsidP="005C6873">
      <w:pPr>
        <w:pStyle w:val="Version"/>
        <w:sectPr w:rsidSect="006F50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50C6" w:rsidP="006F50C6">
      <w:pPr>
        <w:pStyle w:val="SuperHeading"/>
      </w:pPr>
      <w:r w:rsidRPr="006F50C6">
        <w:t>UEERE0069 Diagnose and rectify faults in renewable energy (RE) control systems</w:t>
      </w:r>
    </w:p>
    <w:p w:rsidR="00000000" w:rsidRPr="006F50C6" w:rsidP="006F50C6">
      <w:pPr>
        <w:pStyle w:val="Heading1"/>
      </w:pPr>
      <w:bookmarkStart w:id="1" w:name="O_1268162"/>
      <w:bookmarkEnd w:id="1"/>
      <w:r w:rsidRPr="006F50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 w:rsidP="006F50C6">
            <w:pPr>
              <w:pStyle w:val="BodyText"/>
            </w:pPr>
            <w:r w:rsidRPr="006F50C6">
              <w:t>Release 1. This is the first release of this unit of competency in the UEE Electrotechnology Training Package.</w:t>
            </w:r>
          </w:p>
          <w:p w:rsidR="00000000" w:rsidRPr="006F50C6" w:rsidP="006F50C6">
            <w:pPr>
              <w:pStyle w:val="BodyText"/>
            </w:pPr>
            <w:r w:rsidRPr="006F50C6">
              <w:t>This unit replaces and is not equivalent to UEERE0034 Diagnose and rectify faults in renewable energy control systems. Modifications include:</w:t>
            </w:r>
          </w:p>
          <w:p w:rsidR="00000000" w:rsidRPr="006F50C6" w:rsidP="006F50C6">
            <w:pPr>
              <w:pStyle w:val="ListBullet"/>
            </w:pPr>
            <w:r w:rsidRPr="006F50C6">
              <w:t>Licensing statement updated</w:t>
            </w:r>
          </w:p>
          <w:p w:rsidR="00000000" w:rsidRPr="006F50C6" w:rsidP="006F50C6">
            <w:pPr>
              <w:pStyle w:val="ListBullet"/>
            </w:pPr>
            <w:r w:rsidRPr="006F50C6">
              <w:t>Prerequisites changed</w:t>
            </w:r>
          </w:p>
          <w:p w:rsidR="00000000" w:rsidRPr="006F50C6" w:rsidP="006F50C6">
            <w:pPr>
              <w:pStyle w:val="ListBullet"/>
            </w:pPr>
            <w:r w:rsidRPr="006F50C6">
              <w:t>Significant amendments made to Elements and Performance Criteri</w:t>
            </w:r>
            <w:r w:rsidRPr="006F50C6">
              <w:t>a</w:t>
            </w:r>
          </w:p>
          <w:p w:rsidR="00000000" w:rsidRPr="006F50C6" w:rsidP="006F50C6">
            <w:pPr>
              <w:pStyle w:val="ListBullet"/>
            </w:pPr>
            <w:r w:rsidRPr="006F50C6">
              <w:t>Performance Evidence amended to reflect changed elements and performance criteria.</w:t>
            </w:r>
          </w:p>
        </w:tc>
      </w:tr>
    </w:tbl>
    <w:p w:rsidR="00000000" w:rsidRPr="006F50C6" w:rsidP="006F50C6">
      <w:pPr>
        <w:pStyle w:val="NoPaddingFontSize1"/>
      </w:pPr>
    </w:p>
    <w:p w:rsidR="00000000" w:rsidRPr="006F50C6" w:rsidP="006F50C6">
      <w:pPr>
        <w:pStyle w:val="AllowPageBreak"/>
      </w:pPr>
    </w:p>
    <w:p w:rsidR="00000000" w:rsidRPr="006F50C6" w:rsidP="006F50C6">
      <w:pPr>
        <w:pStyle w:val="Heading1"/>
      </w:pPr>
      <w:bookmarkStart w:id="2" w:name="O_1268163"/>
      <w:bookmarkEnd w:id="2"/>
      <w:r w:rsidRPr="006F50C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 w:rsidP="006F50C6">
            <w:pPr>
              <w:pStyle w:val="BodyText"/>
            </w:pPr>
            <w:r w:rsidRPr="006F50C6">
              <w:t>This unit involves the skills and knowledge required to diagnose and rectify faults in renewable energy (RE) control systems.</w:t>
            </w:r>
          </w:p>
          <w:p w:rsidR="00000000" w:rsidRPr="006F50C6" w:rsidP="006F50C6">
            <w:pPr>
              <w:pStyle w:val="BodyText"/>
            </w:pPr>
            <w:r w:rsidRPr="006F50C6">
              <w:t xml:space="preserve">It includes </w:t>
            </w:r>
            <w:r w:rsidRPr="006F50C6">
              <w:t>preparing to work on RE control systems,</w:t>
            </w:r>
            <w:r w:rsidRPr="006F50C6">
              <w:rPr>
                <w:rStyle w:val="SpecialBold"/>
              </w:rPr>
              <w:t xml:space="preserve"> </w:t>
            </w:r>
            <w:r w:rsidRPr="006F50C6">
              <w:t>diagnosing and rectifying faults in RE control systems</w:t>
            </w:r>
            <w:r w:rsidRPr="006F50C6">
              <w:rPr>
                <w:rStyle w:val="SpecialBold"/>
              </w:rPr>
              <w:t>,</w:t>
            </w:r>
            <w:r w:rsidRPr="006F50C6">
              <w:t xml:space="preserve"> and completing and reporting fault-finding and repair activities.</w:t>
            </w:r>
          </w:p>
          <w:p w:rsidR="00000000" w:rsidRPr="006F50C6" w:rsidP="006F50C6">
            <w:pPr>
              <w:pStyle w:val="BodyText"/>
            </w:pPr>
            <w:r w:rsidRPr="006F50C6">
              <w:t>The skills and knowledge described in this unit require a licence or permit to practice in th</w:t>
            </w:r>
            <w:r w:rsidRPr="006F50C6">
              <w:t>e workplace where work is carried out on electrical installations which are designed to operate at voltages greater than 50 volt (V) alternating current (a.c.) or 120 V direct current (d.c).</w:t>
            </w:r>
          </w:p>
          <w:p w:rsidR="00000000" w:rsidRPr="006F50C6" w:rsidP="006F50C6">
            <w:pPr>
              <w:pStyle w:val="BodyText"/>
            </w:pPr>
            <w:r w:rsidRPr="006F50C6">
              <w:t>Competency development activities in this unit are subject to regulations directly related to licensing. Where a licence or permit to practice is not held, a relevant contract of training, such as an Australian Apprenticeship, is required.</w:t>
            </w:r>
          </w:p>
          <w:p w:rsidR="00000000" w:rsidRPr="006F50C6" w:rsidP="006F50C6">
            <w:pPr>
              <w:pStyle w:val="BodyText"/>
            </w:pPr>
            <w:r w:rsidRPr="006F50C6">
              <w:t>Additional and/o</w:t>
            </w:r>
            <w:r w:rsidRPr="006F50C6">
              <w:t>r other conditions may apply in some jurisdictions subject to regulations related to electrical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6F50C6" w:rsidP="006F50C6">
      <w:pPr>
        <w:pStyle w:val="NoPaddingFontSize1"/>
      </w:pPr>
    </w:p>
    <w:p w:rsidR="00000000" w:rsidRPr="006F50C6" w:rsidP="006F50C6">
      <w:pPr>
        <w:pStyle w:val="AllowPageBreak"/>
      </w:pPr>
    </w:p>
    <w:p w:rsidR="00000000" w:rsidRPr="006F50C6" w:rsidP="006F50C6">
      <w:pPr>
        <w:pStyle w:val="Heading1"/>
      </w:pPr>
      <w:bookmarkStart w:id="3" w:name="O_1268164"/>
      <w:bookmarkEnd w:id="3"/>
      <w:r w:rsidRPr="006F50C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 w:rsidP="006F50C6">
            <w:pPr>
              <w:pStyle w:val="BodyText"/>
            </w:pPr>
            <w:r w:rsidRPr="006F50C6">
              <w:t>UEERE0054 Conduct site survey for grid-connected renewable energy systems</w:t>
            </w:r>
          </w:p>
          <w:p w:rsidR="00000000" w:rsidRPr="006F50C6" w:rsidP="006F50C6">
            <w:pPr>
              <w:pStyle w:val="BodyText"/>
            </w:pPr>
            <w:r w:rsidRPr="006F50C6">
              <w:t>UEEEL0039 Design, install and verify compliance and functionality of general electrical installations</w:t>
            </w:r>
          </w:p>
        </w:tc>
      </w:tr>
    </w:tbl>
    <w:p w:rsidR="00000000" w:rsidRPr="006F50C6" w:rsidP="006F50C6">
      <w:pPr>
        <w:pStyle w:val="NoPaddingFontSize1"/>
      </w:pPr>
    </w:p>
    <w:p w:rsidR="00000000" w:rsidRPr="006F50C6" w:rsidP="006F50C6">
      <w:pPr>
        <w:pStyle w:val="AllowPageBreak"/>
      </w:pPr>
    </w:p>
    <w:p w:rsidR="00000000" w:rsidRPr="006F50C6" w:rsidP="006F50C6">
      <w:pPr>
        <w:pStyle w:val="Heading1"/>
      </w:pPr>
      <w:bookmarkStart w:id="4" w:name="O_1268165"/>
      <w:bookmarkEnd w:id="4"/>
      <w:r w:rsidRPr="006F50C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 w:rsidP="006F50C6">
            <w:pPr>
              <w:pStyle w:val="BodyText"/>
            </w:pPr>
            <w:r w:rsidRPr="006F50C6">
              <w:t>Renewable En</w:t>
            </w:r>
            <w:r w:rsidRPr="006F50C6">
              <w:t>ergy</w:t>
            </w:r>
          </w:p>
        </w:tc>
      </w:tr>
    </w:tbl>
    <w:p w:rsidR="00000000" w:rsidRPr="006F50C6" w:rsidP="006F50C6">
      <w:pPr>
        <w:pStyle w:val="NoPaddingFontSize1"/>
      </w:pPr>
    </w:p>
    <w:p w:rsidR="00000000" w:rsidRPr="006F50C6" w:rsidP="006F50C6">
      <w:pPr>
        <w:pStyle w:val="AllowPageBreak"/>
      </w:pPr>
    </w:p>
    <w:p w:rsidR="00000000" w:rsidRPr="006F50C6" w:rsidP="006F50C6">
      <w:pPr>
        <w:pStyle w:val="Heading1"/>
      </w:pPr>
      <w:bookmarkStart w:id="5" w:name="O_1268166"/>
      <w:bookmarkEnd w:id="5"/>
      <w:r w:rsidRPr="006F50C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 w:rsidP="006F50C6">
            <w:pPr>
              <w:pStyle w:val="BodyText"/>
            </w:pPr>
            <w:r w:rsidRPr="006F50C6">
              <w:t>Electrotechnology</w:t>
            </w:r>
          </w:p>
        </w:tc>
      </w:tr>
    </w:tbl>
    <w:p w:rsidR="00000000" w:rsidRPr="006F50C6" w:rsidP="006F50C6">
      <w:pPr>
        <w:pStyle w:val="NoPaddingFontSize1"/>
      </w:pPr>
    </w:p>
    <w:p w:rsidR="00000000" w:rsidRPr="006F50C6" w:rsidP="006F50C6">
      <w:pPr>
        <w:pStyle w:val="AllowPageBreak"/>
      </w:pPr>
    </w:p>
    <w:p w:rsidR="00000000" w:rsidRPr="006F50C6" w:rsidP="006F50C6">
      <w:pPr>
        <w:pStyle w:val="Heading1"/>
      </w:pPr>
      <w:bookmarkStart w:id="6" w:name="O_1268167"/>
      <w:bookmarkEnd w:id="6"/>
      <w:r w:rsidRPr="006F50C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 w:rsidP="006F50C6">
            <w:pPr>
              <w:pStyle w:val="BodyText"/>
            </w:pPr>
            <w:r w:rsidRPr="006F50C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rPr>
                <w:rStyle w:val="SpecialBold"/>
              </w:rPr>
              <w:t>PERFORMANCE CRITERIA</w:t>
            </w:r>
          </w:p>
        </w:tc>
      </w:tr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t>Performance criteria describe the performance needed to demonstrate achievement of the element.</w:t>
            </w:r>
          </w:p>
        </w:tc>
      </w:tr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 w:rsidP="006F50C6">
            <w:pPr>
              <w:pStyle w:val="BodyText"/>
            </w:pPr>
            <w:r w:rsidRPr="006F50C6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 w:rsidP="006F50C6">
            <w:pPr>
              <w:pStyle w:val="BodyText"/>
            </w:pPr>
            <w:r w:rsidRPr="006F50C6">
              <w:rPr>
                <w:rStyle w:val="SpecialBold"/>
              </w:rPr>
              <w:t>Prepare to diagnose and rectify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t>Work health and safety (WHS)/occupational health and safety (OHS) processes and procedures for relevant work are</w:t>
            </w:r>
            <w:r w:rsidRPr="006F50C6">
              <w:t>a are identified and applied in accordance with workplace procedures</w:t>
            </w:r>
          </w:p>
        </w:tc>
      </w:tr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t>The nature of the fault/issue is identified from stakeholders and relevant data and documentation</w:t>
            </w:r>
          </w:p>
        </w:tc>
      </w:tr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t>Requirements for working with other stakeholders are confirmed and applied</w:t>
            </w:r>
          </w:p>
        </w:tc>
      </w:tr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t>Required materials, tools, apparatus and testing devices are identified, accessed and checked for correct operation and safety</w:t>
            </w:r>
          </w:p>
        </w:tc>
      </w:tr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t>Need to test or measure live electrical work is determined in accordance with WHS/OHS requirements and workplace pr</w:t>
            </w:r>
            <w:r w:rsidRPr="006F50C6">
              <w:t>ocedures</w:t>
            </w:r>
          </w:p>
        </w:tc>
      </w:tr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 w:rsidP="006F50C6">
            <w:pPr>
              <w:pStyle w:val="BodyText"/>
            </w:pPr>
            <w:r w:rsidRPr="006F50C6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 w:rsidP="006F50C6">
            <w:pPr>
              <w:pStyle w:val="BodyText"/>
            </w:pPr>
            <w:r w:rsidRPr="006F50C6">
              <w:rPr>
                <w:rStyle w:val="SpecialBold"/>
              </w:rPr>
              <w:t>Diagnose and rectify faults in RE control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t>Circuits/apparatus are isolated in accordance with WHS/OHS requirements and workplace procedures</w:t>
            </w:r>
          </w:p>
        </w:tc>
      </w:tr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t>Nature of reported fault/issue is verified</w:t>
            </w:r>
          </w:p>
        </w:tc>
      </w:tr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t>System testing is conducted</w:t>
            </w:r>
            <w:r w:rsidRPr="006F50C6">
              <w:t xml:space="preserve"> and documented</w:t>
            </w:r>
          </w:p>
        </w:tc>
      </w:tr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t>Fault/s are diagnosed, faulty equipment is identified, and the replacement products required are documented</w:t>
            </w:r>
          </w:p>
        </w:tc>
      </w:tr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t>System is made safe, faulty apparatus is dismantled, recorded and stored in accordance with manufacturer guides and stakeholder instructions</w:t>
            </w:r>
          </w:p>
        </w:tc>
      </w:tr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t>Repaired or replaced apparatus is assembled in accordance with manufacturer guidelines, industry standards and regulation</w:t>
            </w:r>
          </w:p>
        </w:tc>
      </w:tr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 w:rsidP="006F50C6">
            <w:pPr>
              <w:pStyle w:val="BodyText"/>
            </w:pPr>
            <w:r w:rsidRPr="006F50C6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 w:rsidP="006F50C6">
            <w:pPr>
              <w:pStyle w:val="BodyText"/>
            </w:pPr>
            <w:r w:rsidRPr="006F50C6">
              <w:rPr>
                <w:rStyle w:val="SpecialBold"/>
              </w:rPr>
              <w:t>Complete and report fault-finding and repair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t>Repaired apparatus is tested and commissioned in accordance with manufa</w:t>
            </w:r>
            <w:r w:rsidRPr="006F50C6">
              <w:t>cturer guidelines, industry standards and regulation</w:t>
            </w:r>
          </w:p>
        </w:tc>
      </w:tr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t>Work area is cleaned and made safe</w:t>
            </w:r>
          </w:p>
        </w:tc>
      </w:tr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 w:rsidP="006F50C6">
            <w:pPr>
              <w:pStyle w:val="BodyText"/>
            </w:pPr>
            <w:r w:rsidRPr="006F50C6">
              <w:t>Repair is documented and stakeholders notified</w:t>
            </w:r>
          </w:p>
        </w:tc>
      </w:tr>
    </w:tbl>
    <w:p w:rsidR="00000000" w:rsidRPr="006F50C6" w:rsidP="006F50C6">
      <w:pPr>
        <w:pStyle w:val="NoPaddingFontSize1"/>
      </w:pPr>
    </w:p>
    <w:p w:rsidR="00000000" w:rsidRPr="006F50C6" w:rsidP="006F50C6">
      <w:pPr>
        <w:pStyle w:val="AllowPageBreak"/>
      </w:pPr>
    </w:p>
    <w:p w:rsidR="00000000" w:rsidRPr="006F50C6" w:rsidP="006F50C6">
      <w:pPr>
        <w:pStyle w:val="Heading1"/>
      </w:pPr>
      <w:bookmarkStart w:id="7" w:name="O_1268168"/>
      <w:bookmarkEnd w:id="7"/>
      <w:r w:rsidRPr="006F50C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 w:rsidP="006F50C6">
            <w:pPr>
              <w:pStyle w:val="BodyText"/>
            </w:pPr>
            <w:r w:rsidRPr="006F50C6">
              <w:t>Foundation skills essential to performance are explicit in the performance criteria of this unit of competency.</w:t>
            </w:r>
          </w:p>
        </w:tc>
      </w:tr>
    </w:tbl>
    <w:p w:rsidR="00000000" w:rsidRPr="006F50C6" w:rsidP="006F50C6">
      <w:pPr>
        <w:pStyle w:val="NoPaddingFontSize1"/>
      </w:pPr>
    </w:p>
    <w:p w:rsidR="00000000" w:rsidRPr="006F50C6" w:rsidP="006F50C6">
      <w:pPr>
        <w:pStyle w:val="AllowPageBreak"/>
      </w:pPr>
    </w:p>
    <w:p w:rsidR="00000000" w:rsidRPr="006F50C6" w:rsidP="006F50C6">
      <w:pPr>
        <w:pStyle w:val="Heading1"/>
      </w:pPr>
      <w:bookmarkStart w:id="8" w:name="O_1268169"/>
      <w:bookmarkEnd w:id="8"/>
      <w:r w:rsidRPr="006F50C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7"/>
        <w:gridCol w:w="4930"/>
      </w:tblGrid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 w:rsidP="006F50C6">
            <w:pPr>
              <w:pStyle w:val="BodyText"/>
            </w:pPr>
            <w:r w:rsidRPr="006F50C6">
              <w:t>Range is restricted to essential operating conditions and any other variables essential to the work env</w:t>
            </w:r>
            <w:r w:rsidRPr="006F50C6">
              <w:t>ironment.</w:t>
            </w:r>
          </w:p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t>Non-essential conditions may be found in the UEE Electrotechnology Training Package Companion Volume Implementation Guide.</w:t>
            </w:r>
          </w:p>
        </w:tc>
      </w:tr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0C6">
            <w:pPr>
              <w:pStyle w:val="BodyText"/>
              <w:rPr>
                <w:lang w:val="en-NZ"/>
              </w:rPr>
            </w:pPr>
            <w:r w:rsidRPr="006F50C6">
              <w:t>RE system fault finding and repairing must include at least four of the following:</w:t>
            </w:r>
          </w:p>
        </w:tc>
        <w:tc>
          <w:tcPr>
            <w:tcW w:w="4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 w:rsidP="006F50C6">
            <w:pPr>
              <w:pStyle w:val="ListBullet"/>
            </w:pPr>
            <w:r w:rsidRPr="006F50C6">
              <w:t>open circuit</w:t>
            </w:r>
          </w:p>
          <w:p w:rsidR="00000000" w:rsidRPr="006F50C6" w:rsidP="006F50C6">
            <w:pPr>
              <w:pStyle w:val="ListBullet"/>
            </w:pPr>
            <w:r w:rsidRPr="006F50C6">
              <w:t>short circuit</w:t>
            </w:r>
          </w:p>
          <w:p w:rsidR="00000000" w:rsidRPr="006F50C6" w:rsidP="006F50C6">
            <w:pPr>
              <w:pStyle w:val="ListBullet"/>
            </w:pPr>
            <w:r w:rsidRPr="006F50C6">
              <w:t>incorrect connections</w:t>
            </w:r>
          </w:p>
          <w:p w:rsidR="00000000" w:rsidRPr="006F50C6" w:rsidP="006F50C6">
            <w:pPr>
              <w:pStyle w:val="ListBullet"/>
            </w:pPr>
            <w:r w:rsidRPr="006F50C6">
              <w:t>insulation failure</w:t>
            </w:r>
          </w:p>
          <w:p w:rsidR="00000000" w:rsidRPr="006F50C6" w:rsidP="006F50C6">
            <w:pPr>
              <w:pStyle w:val="ListBullet"/>
            </w:pPr>
            <w:r w:rsidRPr="006F50C6">
              <w:t>unsafe condition</w:t>
            </w:r>
          </w:p>
          <w:p w:rsidR="00000000" w:rsidRPr="006F50C6" w:rsidP="006F50C6">
            <w:pPr>
              <w:pStyle w:val="ListBullet"/>
            </w:pPr>
            <w:r w:rsidRPr="006F50C6">
              <w:t>apparatus/component failure</w:t>
            </w:r>
          </w:p>
          <w:p w:rsidR="00000000" w:rsidRPr="006F50C6" w:rsidP="006F50C6">
            <w:pPr>
              <w:pStyle w:val="ListBullet"/>
            </w:pPr>
            <w:r w:rsidRPr="006F50C6">
              <w:t>related mechanical failure.</w:t>
            </w:r>
          </w:p>
        </w:tc>
      </w:tr>
    </w:tbl>
    <w:p w:rsidR="00000000" w:rsidRPr="006F50C6" w:rsidP="006F50C6">
      <w:pPr>
        <w:pStyle w:val="NoPaddingFontSize1"/>
      </w:pPr>
    </w:p>
    <w:p w:rsidR="00000000" w:rsidRPr="006F50C6" w:rsidP="006F50C6">
      <w:pPr>
        <w:pStyle w:val="AllowPageBreak"/>
      </w:pPr>
    </w:p>
    <w:p w:rsidR="00000000" w:rsidRPr="006F50C6" w:rsidP="006F50C6">
      <w:pPr>
        <w:pStyle w:val="Heading1"/>
      </w:pPr>
      <w:bookmarkStart w:id="9" w:name="O_1268170"/>
      <w:bookmarkEnd w:id="9"/>
      <w:r w:rsidRPr="006F50C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0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0C6" w:rsidP="006F50C6">
            <w:pPr>
              <w:pStyle w:val="BodyText"/>
            </w:pPr>
            <w:r w:rsidRPr="006F50C6">
              <w:t>This unit replaces and is not equivalent to UEERE0034 Diagnose and rectify faults in renewable e</w:t>
            </w:r>
            <w:r w:rsidRPr="006F50C6">
              <w:t>nergy control systems.</w:t>
            </w:r>
          </w:p>
        </w:tc>
      </w:tr>
    </w:tbl>
    <w:p w:rsidR="00000000" w:rsidRPr="006F50C6" w:rsidP="006F50C6">
      <w:pPr>
        <w:pStyle w:val="NoPaddingFontSize1"/>
      </w:pPr>
    </w:p>
    <w:p w:rsidR="00000000" w:rsidRPr="006F50C6" w:rsidP="006F50C6">
      <w:pPr>
        <w:pStyle w:val="AllowPageBreak"/>
      </w:pPr>
    </w:p>
    <w:p w:rsidR="00000000" w:rsidRPr="006F50C6" w:rsidP="006F50C6">
      <w:pPr>
        <w:pStyle w:val="Heading1"/>
      </w:pPr>
      <w:bookmarkStart w:id="10" w:name="O_1268177"/>
      <w:bookmarkEnd w:id="10"/>
      <w:r w:rsidRPr="006F50C6">
        <w:t>Links</w:t>
      </w:r>
    </w:p>
    <w:p w:rsidR="00000000" w:rsidRPr="006F50C6" w:rsidP="005C6873">
      <w:pPr>
        <w:pStyle w:val="BodyText"/>
      </w:pPr>
      <w:r w:rsidRPr="006F50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54BB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F50C6" w:rsidP="006F50C6"/>
    <w:sectPr w:rsidSect="006F50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0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0C6" w:rsidRPr="005C6873" w:rsidP="005C68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0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73" w:rsidP="006F50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6873" w:rsidP="006F50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C6873" w:rsidP="006F50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0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50C6" w:rsidRPr="005C6873" w:rsidP="005C68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0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73" w:rsidRPr="002D2AF8" w:rsidP="006F50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UEERE0069 Diagnose and rectify faults in renewable energy (RE)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C6873" w:rsidP="006F50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0AC0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9AE4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0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50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50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50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50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50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50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50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50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50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50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50C6"/>
  </w:style>
  <w:style w:type="character" w:customStyle="1" w:styleId="Heading1Char">
    <w:name w:val="Heading 1 Char"/>
    <w:basedOn w:val="DefaultParagraphFont"/>
    <w:link w:val="Heading1"/>
    <w:rsid w:val="006F50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50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50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50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50C6"/>
    <w:rPr>
      <w:b/>
      <w:spacing w:val="0"/>
    </w:rPr>
  </w:style>
  <w:style w:type="paragraph" w:customStyle="1" w:styleId="SuperHeading">
    <w:name w:val="SuperHeading"/>
    <w:basedOn w:val="Normal"/>
    <w:rsid w:val="006F50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50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50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50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50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5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5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5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5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50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50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50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50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50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50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50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50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50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50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50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50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50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50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50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50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50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50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50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50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50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50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50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50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50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50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50C6"/>
    <w:rPr>
      <w:i/>
    </w:rPr>
  </w:style>
  <w:style w:type="paragraph" w:styleId="Caption">
    <w:name w:val="caption"/>
    <w:basedOn w:val="BodyText"/>
    <w:next w:val="Normal"/>
    <w:qFormat/>
    <w:rsid w:val="006F50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50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50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50C6"/>
  </w:style>
  <w:style w:type="paragraph" w:styleId="TableofFigures">
    <w:name w:val="table of figures"/>
    <w:basedOn w:val="Normal"/>
    <w:next w:val="Normal"/>
    <w:semiHidden/>
    <w:rsid w:val="006F50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50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50C6"/>
    <w:rPr>
      <w:rFonts w:ascii="Wingdings" w:hAnsi="Wingdings"/>
    </w:rPr>
  </w:style>
  <w:style w:type="paragraph" w:customStyle="1" w:styleId="TableHeading">
    <w:name w:val="Table Heading"/>
    <w:basedOn w:val="HeadingBase"/>
    <w:rsid w:val="006F50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50C6"/>
    <w:rPr>
      <w:color w:val="0033CC"/>
      <w:u w:val="none"/>
    </w:rPr>
  </w:style>
  <w:style w:type="paragraph" w:customStyle="1" w:styleId="BodyTextRight">
    <w:name w:val="Body Text Right"/>
    <w:basedOn w:val="BodyText"/>
    <w:rsid w:val="006F50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50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50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50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50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50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50C6"/>
    <w:rPr>
      <w:sz w:val="32"/>
    </w:rPr>
  </w:style>
  <w:style w:type="paragraph" w:customStyle="1" w:styleId="HeadingProcedure">
    <w:name w:val="Heading Procedure"/>
    <w:basedOn w:val="HeadingBase"/>
    <w:next w:val="Normal"/>
    <w:rsid w:val="006F50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50C6"/>
    <w:pPr>
      <w:spacing w:before="60" w:after="60"/>
    </w:pPr>
  </w:style>
  <w:style w:type="paragraph" w:styleId="ListContinue">
    <w:name w:val="List Continue"/>
    <w:basedOn w:val="List"/>
    <w:rsid w:val="006F50C6"/>
    <w:pPr>
      <w:ind w:firstLine="0"/>
    </w:pPr>
  </w:style>
  <w:style w:type="paragraph" w:customStyle="1" w:styleId="ListNote">
    <w:name w:val="List Note"/>
    <w:basedOn w:val="List"/>
    <w:rsid w:val="006F50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50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50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50C6"/>
    <w:rPr>
      <w:rFonts w:ascii="Courier New" w:hAnsi="Courier New"/>
    </w:rPr>
  </w:style>
  <w:style w:type="paragraph" w:customStyle="1" w:styleId="NoteBullet">
    <w:name w:val="Note Bullet"/>
    <w:basedOn w:val="Note"/>
    <w:rsid w:val="006F50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50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50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50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50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50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50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50C6"/>
    <w:rPr>
      <w:b/>
      <w:smallCaps/>
    </w:rPr>
  </w:style>
  <w:style w:type="paragraph" w:customStyle="1" w:styleId="TableListNumber">
    <w:name w:val="Table List Number"/>
    <w:basedOn w:val="ListNumber"/>
    <w:rsid w:val="006F50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50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50C6"/>
    <w:pPr>
      <w:numPr>
        <w:numId w:val="8"/>
      </w:numPr>
    </w:pPr>
  </w:style>
  <w:style w:type="paragraph" w:customStyle="1" w:styleId="ListAlpha2">
    <w:name w:val="List Alpha 2"/>
    <w:basedOn w:val="List2"/>
    <w:rsid w:val="006F50C6"/>
    <w:pPr>
      <w:numPr>
        <w:numId w:val="7"/>
      </w:numPr>
    </w:pPr>
  </w:style>
  <w:style w:type="paragraph" w:styleId="List2">
    <w:name w:val="List 2"/>
    <w:basedOn w:val="BodyText"/>
    <w:rsid w:val="006F50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50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50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50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50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50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50C6"/>
    <w:pPr>
      <w:numPr>
        <w:numId w:val="3"/>
      </w:numPr>
    </w:pPr>
  </w:style>
  <w:style w:type="paragraph" w:styleId="ListContinue2">
    <w:name w:val="List Continue 2"/>
    <w:basedOn w:val="List2"/>
    <w:rsid w:val="006F50C6"/>
    <w:pPr>
      <w:ind w:firstLine="0"/>
    </w:pPr>
  </w:style>
  <w:style w:type="paragraph" w:styleId="ListContinue3">
    <w:name w:val="List Continue 3"/>
    <w:basedOn w:val="List3"/>
    <w:rsid w:val="006F50C6"/>
    <w:pPr>
      <w:ind w:left="1021" w:firstLine="0"/>
    </w:pPr>
  </w:style>
  <w:style w:type="paragraph" w:styleId="ListContinue4">
    <w:name w:val="List Continue 4"/>
    <w:basedOn w:val="List4"/>
    <w:rsid w:val="006F50C6"/>
    <w:pPr>
      <w:ind w:firstLine="0"/>
    </w:pPr>
  </w:style>
  <w:style w:type="paragraph" w:styleId="ListContinue5">
    <w:name w:val="List Continue 5"/>
    <w:basedOn w:val="List5"/>
    <w:rsid w:val="006F50C6"/>
    <w:pPr>
      <w:ind w:firstLine="0"/>
    </w:pPr>
  </w:style>
  <w:style w:type="paragraph" w:styleId="ListNumber3">
    <w:name w:val="List Number 3"/>
    <w:basedOn w:val="List3"/>
    <w:rsid w:val="006F50C6"/>
    <w:pPr>
      <w:numPr>
        <w:numId w:val="4"/>
      </w:numPr>
    </w:pPr>
  </w:style>
  <w:style w:type="paragraph" w:styleId="ListNumber4">
    <w:name w:val="List Number 4"/>
    <w:basedOn w:val="List4"/>
    <w:rsid w:val="006F50C6"/>
    <w:pPr>
      <w:numPr>
        <w:numId w:val="5"/>
      </w:numPr>
    </w:pPr>
  </w:style>
  <w:style w:type="paragraph" w:styleId="ListNumber5">
    <w:name w:val="List Number 5"/>
    <w:basedOn w:val="List5"/>
    <w:rsid w:val="006F50C6"/>
    <w:pPr>
      <w:numPr>
        <w:numId w:val="6"/>
      </w:numPr>
    </w:pPr>
  </w:style>
  <w:style w:type="paragraph" w:styleId="BlockText">
    <w:name w:val="Block Text"/>
    <w:basedOn w:val="Normal"/>
    <w:rsid w:val="006F50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50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50C6"/>
    <w:rPr>
      <w:sz w:val="16"/>
      <w:vertAlign w:val="superscript"/>
    </w:rPr>
  </w:style>
  <w:style w:type="character" w:customStyle="1" w:styleId="Symbols">
    <w:name w:val="Symbols"/>
    <w:basedOn w:val="DefaultParagraphFont"/>
    <w:rsid w:val="006F50C6"/>
    <w:rPr>
      <w:rFonts w:ascii="Symbol" w:hAnsi="Symbol"/>
    </w:rPr>
  </w:style>
  <w:style w:type="character" w:customStyle="1" w:styleId="MenuOptions">
    <w:name w:val="Menu Options"/>
    <w:basedOn w:val="DefaultParagraphFont"/>
    <w:rsid w:val="006F50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50C6"/>
    <w:rPr>
      <w:b/>
    </w:rPr>
  </w:style>
  <w:style w:type="character" w:customStyle="1" w:styleId="Underlined">
    <w:name w:val="Underlined"/>
    <w:basedOn w:val="DefaultParagraphFont"/>
    <w:rsid w:val="006F50C6"/>
    <w:rPr>
      <w:u w:val="single"/>
    </w:rPr>
  </w:style>
  <w:style w:type="paragraph" w:customStyle="1" w:styleId="TableBodyTextRight">
    <w:name w:val="Table Body Text Right"/>
    <w:basedOn w:val="TableBodyText"/>
    <w:rsid w:val="006F50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50C6"/>
    <w:rPr>
      <w:sz w:val="18"/>
    </w:rPr>
  </w:style>
  <w:style w:type="paragraph" w:customStyle="1" w:styleId="BodySmallRight">
    <w:name w:val="Body Small Right"/>
    <w:basedOn w:val="BodyTextRight"/>
    <w:rsid w:val="006F50C6"/>
    <w:rPr>
      <w:sz w:val="18"/>
      <w:szCs w:val="18"/>
    </w:rPr>
  </w:style>
  <w:style w:type="paragraph" w:customStyle="1" w:styleId="MarginEdition">
    <w:name w:val="Margin Edition"/>
    <w:basedOn w:val="MarginNote"/>
    <w:rsid w:val="006F50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50C6"/>
    <w:rPr>
      <w:sz w:val="2"/>
      <w:szCs w:val="2"/>
    </w:rPr>
  </w:style>
  <w:style w:type="character" w:customStyle="1" w:styleId="Small">
    <w:name w:val="Small"/>
    <w:basedOn w:val="DefaultParagraphFont"/>
    <w:rsid w:val="006F50C6"/>
    <w:rPr>
      <w:sz w:val="16"/>
    </w:rPr>
  </w:style>
  <w:style w:type="paragraph" w:customStyle="1" w:styleId="WideTable">
    <w:name w:val="Wide Table"/>
    <w:basedOn w:val="Normal"/>
    <w:rsid w:val="006F50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50C6"/>
  </w:style>
  <w:style w:type="paragraph" w:styleId="Quote">
    <w:name w:val="Quote"/>
    <w:basedOn w:val="Heading1"/>
    <w:link w:val="QuoteChar"/>
    <w:qFormat/>
    <w:rsid w:val="006F50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50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50C6"/>
    <w:pPr>
      <w:pageBreakBefore/>
    </w:pPr>
  </w:style>
  <w:style w:type="paragraph" w:customStyle="1" w:styleId="Border">
    <w:name w:val="Border"/>
    <w:basedOn w:val="Normal"/>
    <w:qFormat/>
    <w:rsid w:val="006F50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50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0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0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50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50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50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50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50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50C6"/>
    <w:rPr>
      <w:u w:val="single"/>
    </w:rPr>
  </w:style>
  <w:style w:type="character" w:customStyle="1" w:styleId="BoldandItalics">
    <w:name w:val="Bold and Italics"/>
    <w:qFormat/>
    <w:rsid w:val="006F50C6"/>
    <w:rPr>
      <w:b/>
      <w:i/>
      <w:u w:val="none"/>
    </w:rPr>
  </w:style>
  <w:style w:type="paragraph" w:styleId="BalloonText">
    <w:name w:val="Balloon Text"/>
    <w:basedOn w:val="Normal"/>
    <w:link w:val="BalloonTextChar"/>
    <w:rsid w:val="006F50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50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50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50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50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50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50C6"/>
    <w:pPr>
      <w:spacing w:before="0" w:after="0"/>
    </w:pPr>
  </w:style>
  <w:style w:type="paragraph" w:customStyle="1" w:styleId="BodyTextBold">
    <w:name w:val="Body Text Bold"/>
    <w:basedOn w:val="BodyText"/>
    <w:qFormat/>
    <w:rsid w:val="006F50C6"/>
    <w:rPr>
      <w:b/>
    </w:rPr>
  </w:style>
  <w:style w:type="character" w:styleId="Hyperlink">
    <w:name w:val="Hyperlink"/>
    <w:basedOn w:val="DefaultParagraphFont"/>
    <w:uiPriority w:val="99"/>
    <w:unhideWhenUsed/>
    <w:rsid w:val="005C68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4245</Characters>
  <Application>Microsoft Office Word</Application>
  <DocSecurity>0</DocSecurity>
  <Lines>176</Lines>
  <Paragraphs>94</Paragraphs>
  <ScaleCrop>false</ScaleCrop>
  <Company>Author-it Software Corporation Ltd.</Company>
  <LinksUpToDate>false</LinksUpToDate>
  <CharactersWithSpaces>4822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UEERE0069 Diagnose and rectify faults in renewable energy (RE) control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2024-11-29T00:44:00Z</dcterms:created>
  <dcterms:modified xsi:type="dcterms:W3CDTF">2024-11-29T00:44:00Z</dcterms:modified>
</cp:coreProperties>
</file>