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440" w:rsidP="001574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UEERE0052 Assess energy loads and uses for energy efficiency in commercial facilities</w:t>
      </w:r>
      <w:r>
        <w:fldChar w:fldCharType="end"/>
      </w:r>
    </w:p>
    <w:p w:rsidR="00157440" w:rsidP="00157440">
      <w:pPr>
        <w:pStyle w:val="Version"/>
        <w:sectPr w:rsidSect="00D16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53F" w:rsidP="00D1653F">
      <w:pPr>
        <w:pStyle w:val="SuperHeading"/>
      </w:pPr>
      <w:r w:rsidRPr="00D1653F">
        <w:t>UEERE0052 Assess energy loads and uses for energy efficiency in commercial facilities</w:t>
      </w:r>
    </w:p>
    <w:p w:rsidR="00000000" w:rsidRPr="00D1653F" w:rsidP="00D1653F">
      <w:pPr>
        <w:pStyle w:val="Heading1"/>
      </w:pPr>
      <w:bookmarkStart w:id="1" w:name="O_1267687"/>
      <w:bookmarkEnd w:id="1"/>
      <w:r w:rsidRPr="00D165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t>Release 1. This is the first release of this unit of competency in the UEE Electrotechnology Training Package.</w:t>
            </w:r>
          </w:p>
          <w:p w:rsidR="00000000" w:rsidRPr="00D1653F" w:rsidP="00D1653F">
            <w:pPr>
              <w:pStyle w:val="BodyText"/>
            </w:pPr>
            <w:r w:rsidRPr="00D1653F">
              <w:t>This unit replaces and is not equivalent to UEERE0003 Assess energy loads and uses for energy efficiency in commercial facilities. Modifications include:</w:t>
            </w:r>
          </w:p>
          <w:p w:rsidR="00000000" w:rsidRPr="00D1653F" w:rsidP="00D1653F">
            <w:pPr>
              <w:pStyle w:val="ListBullet"/>
            </w:pPr>
            <w:r w:rsidRPr="00D1653F">
              <w:t>Update to application</w:t>
            </w:r>
          </w:p>
          <w:p w:rsidR="00000000" w:rsidRPr="00D1653F" w:rsidP="00D1653F">
            <w:pPr>
              <w:pStyle w:val="ListBullet"/>
            </w:pPr>
            <w:r w:rsidRPr="00D1653F">
              <w:t>Prerequisite changed</w:t>
            </w:r>
          </w:p>
          <w:p w:rsidR="00000000" w:rsidRPr="00D1653F" w:rsidP="00D1653F">
            <w:pPr>
              <w:pStyle w:val="ListBullet"/>
            </w:pPr>
            <w:r w:rsidRPr="00D1653F">
              <w:t>Element titles amended</w:t>
            </w:r>
          </w:p>
          <w:p w:rsidR="00000000" w:rsidRPr="00D1653F" w:rsidP="00D1653F">
            <w:pPr>
              <w:pStyle w:val="ListBullet"/>
            </w:pPr>
            <w:r w:rsidRPr="00D1653F">
              <w:t>Performance criteria removed and ad</w:t>
            </w:r>
            <w:r w:rsidRPr="00D1653F">
              <w:t>ded</w:t>
            </w:r>
          </w:p>
          <w:p w:rsidR="00000000" w:rsidRPr="00D1653F" w:rsidP="00D1653F">
            <w:pPr>
              <w:pStyle w:val="ListBullet"/>
            </w:pPr>
            <w:r w:rsidRPr="00D1653F">
              <w:t>Range of conditions updated</w:t>
            </w:r>
          </w:p>
          <w:p w:rsidR="00000000" w:rsidRPr="00D1653F" w:rsidP="00D1653F">
            <w:pPr>
              <w:pStyle w:val="ListBullet"/>
            </w:pPr>
            <w:r w:rsidRPr="00D1653F">
              <w:t>Updates to performance and knowledge evidence requirements and CVIG content developed.</w:t>
            </w:r>
          </w:p>
        </w:tc>
      </w:tr>
    </w:tbl>
    <w:p w:rsidR="00000000" w:rsidRPr="00D1653F" w:rsidP="00D1653F">
      <w:pPr>
        <w:pStyle w:val="NoPaddingFontSize1"/>
      </w:pPr>
    </w:p>
    <w:p w:rsidR="00000000" w:rsidRPr="00D1653F" w:rsidP="00D1653F">
      <w:pPr>
        <w:pStyle w:val="AllowPageBreak"/>
      </w:pPr>
    </w:p>
    <w:p w:rsidR="00000000" w:rsidRPr="00D1653F" w:rsidP="00D1653F">
      <w:pPr>
        <w:pStyle w:val="Heading1"/>
      </w:pPr>
      <w:bookmarkStart w:id="2" w:name="O_1267688"/>
      <w:bookmarkEnd w:id="2"/>
      <w:r w:rsidRPr="00D165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t>This unit involves the skills and knowledge required to undertake energy audits to assess energy loads o</w:t>
            </w:r>
            <w:r w:rsidRPr="00D1653F">
              <w:t>f commercial facilities, evaluate the energy efficiency of the facilities and to make recommendations on design implementations.</w:t>
            </w:r>
          </w:p>
          <w:p w:rsidR="00000000" w:rsidRPr="00D1653F" w:rsidP="00D1653F">
            <w:pPr>
              <w:pStyle w:val="BodyText"/>
            </w:pPr>
            <w:r w:rsidRPr="00D1653F">
              <w:t>This unit also applies to office, retail, and multi dwelling residential facilities.</w:t>
            </w:r>
          </w:p>
          <w:p w:rsidR="00000000" w:rsidRPr="00D1653F" w:rsidP="00D1653F">
            <w:pPr>
              <w:pStyle w:val="BodyText"/>
            </w:pPr>
            <w:r w:rsidRPr="00D1653F">
              <w:t>It includes working safely, applying extensive knowledge of commercial electrical installations and components and their operating parameters, gathering and analysing data, applying problem-solving techniques, and developing and documenting engineering sol</w:t>
            </w:r>
            <w:r w:rsidRPr="00D1653F">
              <w:t>utions.</w:t>
            </w:r>
          </w:p>
          <w:p w:rsidR="00000000" w:rsidRPr="00D1653F" w:rsidP="00D1653F">
            <w:pPr>
              <w:pStyle w:val="BodyText"/>
            </w:pPr>
            <w:r w:rsidRPr="00D1653F">
              <w:t>No licensing, legislative or certification requirements apply to this unit at the time of publication.</w:t>
            </w:r>
          </w:p>
        </w:tc>
      </w:tr>
    </w:tbl>
    <w:p w:rsidR="00000000" w:rsidRPr="00D1653F" w:rsidP="00D1653F">
      <w:pPr>
        <w:pStyle w:val="NoPaddingFontSize1"/>
      </w:pPr>
    </w:p>
    <w:p w:rsidR="00000000" w:rsidRPr="00D1653F" w:rsidP="00D1653F">
      <w:pPr>
        <w:pStyle w:val="AllowPageBreak"/>
      </w:pPr>
    </w:p>
    <w:p w:rsidR="00000000" w:rsidRPr="00D1653F" w:rsidP="00D1653F">
      <w:pPr>
        <w:pStyle w:val="Heading1"/>
      </w:pPr>
      <w:bookmarkStart w:id="3" w:name="O_1267689"/>
      <w:bookmarkEnd w:id="3"/>
      <w:r w:rsidRPr="00D165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t>UEERE0068 Develop strategies to address sustainability issues for electrical installations</w:t>
            </w:r>
          </w:p>
        </w:tc>
      </w:tr>
    </w:tbl>
    <w:p w:rsidR="00000000" w:rsidRPr="00D1653F" w:rsidP="00D1653F">
      <w:pPr>
        <w:pStyle w:val="NoPaddingFontSize1"/>
      </w:pPr>
    </w:p>
    <w:p w:rsidR="00000000" w:rsidRPr="00D1653F" w:rsidP="00D1653F">
      <w:pPr>
        <w:pStyle w:val="AllowPageBreak"/>
      </w:pPr>
    </w:p>
    <w:p w:rsidR="00000000" w:rsidRPr="00D1653F" w:rsidP="00D1653F">
      <w:pPr>
        <w:pStyle w:val="Heading1"/>
      </w:pPr>
      <w:bookmarkStart w:id="4" w:name="O_1267690"/>
      <w:bookmarkEnd w:id="4"/>
      <w:r w:rsidRPr="00D165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t>Renewable Energy</w:t>
            </w:r>
          </w:p>
        </w:tc>
      </w:tr>
    </w:tbl>
    <w:p w:rsidR="00000000" w:rsidRPr="00D1653F" w:rsidP="00D1653F">
      <w:pPr>
        <w:pStyle w:val="NoPaddingFontSize1"/>
      </w:pPr>
    </w:p>
    <w:p w:rsidR="00000000" w:rsidRPr="00D1653F" w:rsidP="00D1653F">
      <w:pPr>
        <w:pStyle w:val="AllowPageBreak"/>
      </w:pPr>
    </w:p>
    <w:p w:rsidR="00000000" w:rsidRPr="00D1653F" w:rsidP="00D1653F">
      <w:pPr>
        <w:pStyle w:val="Heading1"/>
      </w:pPr>
      <w:bookmarkStart w:id="5" w:name="O_1267691"/>
      <w:bookmarkEnd w:id="5"/>
      <w:r w:rsidRPr="00D165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t>Electrotechnology</w:t>
            </w:r>
          </w:p>
        </w:tc>
      </w:tr>
    </w:tbl>
    <w:p w:rsidR="00000000" w:rsidRPr="00D1653F" w:rsidP="00D1653F">
      <w:pPr>
        <w:pStyle w:val="NoPaddingFontSize1"/>
      </w:pPr>
    </w:p>
    <w:p w:rsidR="00000000" w:rsidRPr="00D1653F" w:rsidP="00D1653F">
      <w:pPr>
        <w:pStyle w:val="AllowPageBreak"/>
      </w:pPr>
    </w:p>
    <w:p w:rsidR="00000000" w:rsidRPr="00D1653F" w:rsidP="00D1653F">
      <w:pPr>
        <w:pStyle w:val="Heading1"/>
      </w:pPr>
      <w:bookmarkStart w:id="6" w:name="O_1267692"/>
      <w:bookmarkEnd w:id="6"/>
      <w:r w:rsidRPr="00D1653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PERFORMANCE CRITERIA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Performance criteria describe the performance needed to demonstrate achievement of the element.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rPr>
                <w:rStyle w:val="SpecialBold"/>
              </w:rPr>
              <w:t>Prepare to assess energy efficiency of commercial facility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Work health and safety (WHS)/occupational health and safety (OHS) requirements are identifie</w:t>
            </w:r>
            <w:r w:rsidRPr="00D1653F">
              <w:t>d and applied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Organisational processes and procedures relevant to energy efficiency assessment are identified, interpreted, and applied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Extent of the energy assessment is determined from analysis of facilities, orientation and floor plans, building structure plans, energy accounts and situation reports in consultation with relevant person/s and in accordance with organisational procedures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Energy assessment activities/audits are planned to meet scheduled timelines in consultation with others involved in the work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Strategies are determined to ensure energy efficient solutions are developed and implemented in accordance with indus</w:t>
            </w:r>
            <w:r w:rsidRPr="00D1653F">
              <w:t>try standards and organisational procedures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rPr>
                <w:rStyle w:val="SpecialBold"/>
              </w:rPr>
              <w:t>Assess and evaluate energy efficiency of commercial facility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Information on energy use, any onsite energy generation and energy costs are gathered and recorded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Main sources of energy use are identified, measured and recorded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Information about activities undertaken at facility, and their impact on energy efficiency, is gathered and recorded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Industry/government initiatives/programs to support energy e</w:t>
            </w:r>
            <w:r w:rsidRPr="00D1653F">
              <w:t>fficiency are identified and evaluated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Energy loads are considered when developing energy efficient strategies to address and minimise energy use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Parameters, specifications and perfo</w:t>
            </w:r>
            <w:r w:rsidRPr="00D1653F">
              <w:t>rmance requirements in relation to energy use are set in accordance with organisational procedures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 xml:space="preserve">Approaches/strategies to resolving and minimising energy use are analysed to provide the most effective solutions in accordance with organisational </w:t>
            </w:r>
            <w:r w:rsidRPr="00D1653F">
              <w:t>procedures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Energy efficiency, cost savings and emission reductions from implementing energy efficiency measures are estimated and documented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rPr>
                <w:rStyle w:val="SpecialBold"/>
              </w:rPr>
              <w:t>Document energy efficiency assessment of commercial facility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Proposed solutions/strategies to minimis</w:t>
            </w:r>
            <w:r w:rsidRPr="00D1653F">
              <w:t>e energy use are tested to determine their effectiveness and modified, as required, in accordance with organisational procedures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Adopted solutions are documented in accordance with organisational procedures, including instructions for implementation that incorporate the risk control measures to be followed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Authorised person/s required to implement solutions are coordinated in</w:t>
            </w:r>
            <w:r w:rsidRPr="00D1653F">
              <w:t xml:space="preserve"> accordance with regulatory requirements and organisational procedures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t>Justification for strategies used to minimise energy use is documented for inclusion in work/project development records in accordance with professional standards and organisatio</w:t>
            </w:r>
            <w:r w:rsidRPr="00D1653F">
              <w:t>nal procedures</w:t>
            </w:r>
          </w:p>
        </w:tc>
      </w:tr>
    </w:tbl>
    <w:p w:rsidR="00000000" w:rsidRPr="00D1653F" w:rsidP="00D1653F">
      <w:pPr>
        <w:pStyle w:val="NoPaddingFontSize1"/>
      </w:pPr>
    </w:p>
    <w:p w:rsidR="00000000" w:rsidRPr="00D1653F" w:rsidP="00D1653F">
      <w:pPr>
        <w:pStyle w:val="AllowPageBreak"/>
      </w:pPr>
    </w:p>
    <w:p w:rsidR="00000000" w:rsidRPr="00D1653F" w:rsidP="00D1653F">
      <w:pPr>
        <w:pStyle w:val="Heading1"/>
      </w:pPr>
      <w:bookmarkStart w:id="7" w:name="O_1267693"/>
      <w:bookmarkEnd w:id="7"/>
      <w:r w:rsidRPr="00D165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t>Foundation skills essential to performance are explicit in the performance criteria of this unit of competency.</w:t>
            </w:r>
          </w:p>
        </w:tc>
      </w:tr>
    </w:tbl>
    <w:p w:rsidR="00000000" w:rsidRPr="00D1653F" w:rsidP="00D1653F">
      <w:pPr>
        <w:pStyle w:val="NoPaddingFontSize1"/>
      </w:pPr>
    </w:p>
    <w:p w:rsidR="00000000" w:rsidRPr="00D1653F" w:rsidP="00D1653F">
      <w:pPr>
        <w:pStyle w:val="AllowPageBreak"/>
      </w:pPr>
    </w:p>
    <w:p w:rsidR="00000000" w:rsidRPr="00D1653F" w:rsidP="00D1653F">
      <w:pPr>
        <w:pStyle w:val="Heading1"/>
      </w:pPr>
      <w:bookmarkStart w:id="8" w:name="O_1267694"/>
      <w:bookmarkEnd w:id="8"/>
      <w:r w:rsidRPr="00D165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t>Range is restricted to essential operating conditions and any other variables essential to the work environment.</w:t>
            </w:r>
          </w:p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Non-essential conditions may be found in the UEE Electrotechnology Training Package Companion Volume Implementation Guide.</w:t>
            </w:r>
          </w:p>
        </w:tc>
      </w:tr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3F">
            <w:pPr>
              <w:pStyle w:val="BodyText"/>
              <w:rPr>
                <w:lang w:val="en-NZ"/>
              </w:rPr>
            </w:pPr>
            <w:r w:rsidRPr="00D1653F">
              <w:t>Carrying out energ</w:t>
            </w:r>
            <w:r w:rsidRPr="00D1653F">
              <w:t>y assessments and documenting energy efficiency strategies must include at least two of the following facilities: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ListBullet"/>
            </w:pPr>
            <w:r w:rsidRPr="00D1653F">
              <w:t>commercial</w:t>
            </w:r>
          </w:p>
          <w:p w:rsidR="00000000" w:rsidRPr="00D1653F" w:rsidP="00D1653F">
            <w:pPr>
              <w:pStyle w:val="ListBullet"/>
            </w:pPr>
            <w:r w:rsidRPr="00D1653F">
              <w:t>office</w:t>
            </w:r>
          </w:p>
          <w:p w:rsidR="00000000" w:rsidRPr="00D1653F" w:rsidP="00D1653F">
            <w:pPr>
              <w:pStyle w:val="ListBullet"/>
            </w:pPr>
            <w:r w:rsidRPr="00D1653F">
              <w:t>large retail</w:t>
            </w:r>
          </w:p>
          <w:p w:rsidR="00000000" w:rsidRPr="00D1653F" w:rsidP="00D1653F">
            <w:pPr>
              <w:pStyle w:val="ListBullet"/>
            </w:pPr>
            <w:r w:rsidRPr="00D1653F">
              <w:t>multi dwelling residential</w:t>
            </w:r>
          </w:p>
        </w:tc>
      </w:tr>
    </w:tbl>
    <w:p w:rsidR="00000000" w:rsidRPr="00D1653F" w:rsidP="00D1653F">
      <w:pPr>
        <w:pStyle w:val="NoPaddingFontSize1"/>
      </w:pPr>
    </w:p>
    <w:p w:rsidR="00000000" w:rsidRPr="00D1653F" w:rsidP="00D1653F">
      <w:pPr>
        <w:pStyle w:val="AllowPageBreak"/>
      </w:pPr>
    </w:p>
    <w:p w:rsidR="00000000" w:rsidRPr="00D1653F" w:rsidP="00D1653F">
      <w:pPr>
        <w:pStyle w:val="Heading1"/>
      </w:pPr>
      <w:bookmarkStart w:id="9" w:name="O_1267695"/>
      <w:bookmarkEnd w:id="9"/>
      <w:r w:rsidRPr="00D165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3F" w:rsidP="00D1653F">
            <w:pPr>
              <w:pStyle w:val="BodyText"/>
            </w:pPr>
            <w:r w:rsidRPr="00D1653F">
              <w:t>This unit replaces and is not equivalent to UEERE0003 Assess energy loads and uses for energy efficiency in commercial facilities.</w:t>
            </w:r>
          </w:p>
        </w:tc>
      </w:tr>
    </w:tbl>
    <w:p w:rsidR="00000000" w:rsidRPr="00D1653F" w:rsidP="00D1653F">
      <w:pPr>
        <w:pStyle w:val="NoPaddingFontSize1"/>
      </w:pPr>
    </w:p>
    <w:p w:rsidR="00000000" w:rsidRPr="00D1653F" w:rsidP="00D1653F">
      <w:pPr>
        <w:pStyle w:val="AllowPageBreak"/>
      </w:pPr>
    </w:p>
    <w:p w:rsidR="00000000" w:rsidRPr="00D1653F" w:rsidP="00D1653F">
      <w:pPr>
        <w:pStyle w:val="Heading1"/>
      </w:pPr>
      <w:bookmarkStart w:id="10" w:name="O_1267702"/>
      <w:bookmarkEnd w:id="10"/>
      <w:r w:rsidRPr="00D1653F">
        <w:t>Links</w:t>
      </w:r>
    </w:p>
    <w:p w:rsidR="00000000" w:rsidRPr="00D1653F" w:rsidP="00157440">
      <w:pPr>
        <w:pStyle w:val="BodyText"/>
      </w:pPr>
      <w:r w:rsidRPr="00D1653F">
        <w:t>Companion Volum</w:t>
      </w:r>
      <w:r w:rsidRPr="00D1653F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208D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1653F" w:rsidP="00D1653F"/>
    <w:sectPr w:rsidSect="00D165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3F" w:rsidRPr="00157440" w:rsidP="001574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40" w:rsidP="00D16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440" w:rsidP="00D16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57440" w:rsidP="00D16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53F" w:rsidRPr="00157440" w:rsidP="001574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40" w:rsidRPr="002D2AF8" w:rsidP="00D16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UEERE0052 Assess energy loads and uses for energy efficiency in commercial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57440" w:rsidP="00D16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62C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8E8E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53F"/>
  </w:style>
  <w:style w:type="character" w:customStyle="1" w:styleId="Heading1Char">
    <w:name w:val="Heading 1 Char"/>
    <w:basedOn w:val="DefaultParagraphFont"/>
    <w:link w:val="Heading1"/>
    <w:rsid w:val="00D16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5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5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53F"/>
    <w:rPr>
      <w:b/>
      <w:spacing w:val="0"/>
    </w:rPr>
  </w:style>
  <w:style w:type="paragraph" w:customStyle="1" w:styleId="SuperHeading">
    <w:name w:val="SuperHeading"/>
    <w:basedOn w:val="Normal"/>
    <w:rsid w:val="00D16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6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5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5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5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5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5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53F"/>
    <w:rPr>
      <w:i/>
    </w:rPr>
  </w:style>
  <w:style w:type="paragraph" w:styleId="Caption">
    <w:name w:val="caption"/>
    <w:basedOn w:val="BodyText"/>
    <w:next w:val="Normal"/>
    <w:qFormat/>
    <w:rsid w:val="00D16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53F"/>
  </w:style>
  <w:style w:type="paragraph" w:styleId="TableofFigures">
    <w:name w:val="table of figures"/>
    <w:basedOn w:val="Normal"/>
    <w:next w:val="Normal"/>
    <w:semiHidden/>
    <w:rsid w:val="00D16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5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653F"/>
    <w:rPr>
      <w:rFonts w:ascii="Wingdings" w:hAnsi="Wingdings"/>
    </w:rPr>
  </w:style>
  <w:style w:type="paragraph" w:customStyle="1" w:styleId="TableHeading">
    <w:name w:val="Table Heading"/>
    <w:basedOn w:val="HeadingBase"/>
    <w:rsid w:val="00D16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53F"/>
    <w:rPr>
      <w:color w:val="0033CC"/>
      <w:u w:val="none"/>
    </w:rPr>
  </w:style>
  <w:style w:type="paragraph" w:customStyle="1" w:styleId="BodyTextRight">
    <w:name w:val="Body Text Right"/>
    <w:basedOn w:val="BodyText"/>
    <w:rsid w:val="00D16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5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53F"/>
    <w:rPr>
      <w:sz w:val="32"/>
    </w:rPr>
  </w:style>
  <w:style w:type="paragraph" w:customStyle="1" w:styleId="HeadingProcedure">
    <w:name w:val="Heading Procedure"/>
    <w:basedOn w:val="HeadingBase"/>
    <w:next w:val="Normal"/>
    <w:rsid w:val="00D16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53F"/>
    <w:pPr>
      <w:spacing w:before="60" w:after="60"/>
    </w:pPr>
  </w:style>
  <w:style w:type="paragraph" w:styleId="ListContinue">
    <w:name w:val="List Continue"/>
    <w:basedOn w:val="List"/>
    <w:rsid w:val="00D1653F"/>
    <w:pPr>
      <w:ind w:firstLine="0"/>
    </w:pPr>
  </w:style>
  <w:style w:type="paragraph" w:customStyle="1" w:styleId="ListNote">
    <w:name w:val="List Note"/>
    <w:basedOn w:val="List"/>
    <w:rsid w:val="00D16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53F"/>
    <w:rPr>
      <w:rFonts w:ascii="Courier New" w:hAnsi="Courier New"/>
    </w:rPr>
  </w:style>
  <w:style w:type="paragraph" w:customStyle="1" w:styleId="NoteBullet">
    <w:name w:val="Note Bullet"/>
    <w:basedOn w:val="Note"/>
    <w:rsid w:val="00D16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5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6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53F"/>
    <w:rPr>
      <w:b/>
      <w:smallCaps/>
    </w:rPr>
  </w:style>
  <w:style w:type="paragraph" w:customStyle="1" w:styleId="TableListNumber">
    <w:name w:val="Table List Number"/>
    <w:basedOn w:val="ListNumber"/>
    <w:rsid w:val="00D16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53F"/>
    <w:pPr>
      <w:numPr>
        <w:numId w:val="8"/>
      </w:numPr>
    </w:pPr>
  </w:style>
  <w:style w:type="paragraph" w:customStyle="1" w:styleId="ListAlpha2">
    <w:name w:val="List Alpha 2"/>
    <w:basedOn w:val="List2"/>
    <w:rsid w:val="00D1653F"/>
    <w:pPr>
      <w:numPr>
        <w:numId w:val="7"/>
      </w:numPr>
    </w:pPr>
  </w:style>
  <w:style w:type="paragraph" w:styleId="List2">
    <w:name w:val="List 2"/>
    <w:basedOn w:val="BodyText"/>
    <w:rsid w:val="00D16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5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5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653F"/>
    <w:pPr>
      <w:numPr>
        <w:numId w:val="3"/>
      </w:numPr>
    </w:pPr>
  </w:style>
  <w:style w:type="paragraph" w:styleId="ListContinue2">
    <w:name w:val="List Continue 2"/>
    <w:basedOn w:val="List2"/>
    <w:rsid w:val="00D1653F"/>
    <w:pPr>
      <w:ind w:firstLine="0"/>
    </w:pPr>
  </w:style>
  <w:style w:type="paragraph" w:styleId="ListContinue3">
    <w:name w:val="List Continue 3"/>
    <w:basedOn w:val="List3"/>
    <w:rsid w:val="00D1653F"/>
    <w:pPr>
      <w:ind w:left="1021" w:firstLine="0"/>
    </w:pPr>
  </w:style>
  <w:style w:type="paragraph" w:styleId="ListContinue4">
    <w:name w:val="List Continue 4"/>
    <w:basedOn w:val="List4"/>
    <w:rsid w:val="00D1653F"/>
    <w:pPr>
      <w:ind w:firstLine="0"/>
    </w:pPr>
  </w:style>
  <w:style w:type="paragraph" w:styleId="ListContinue5">
    <w:name w:val="List Continue 5"/>
    <w:basedOn w:val="List5"/>
    <w:rsid w:val="00D1653F"/>
    <w:pPr>
      <w:ind w:firstLine="0"/>
    </w:pPr>
  </w:style>
  <w:style w:type="paragraph" w:styleId="ListNumber3">
    <w:name w:val="List Number 3"/>
    <w:basedOn w:val="List3"/>
    <w:rsid w:val="00D1653F"/>
    <w:pPr>
      <w:numPr>
        <w:numId w:val="4"/>
      </w:numPr>
    </w:pPr>
  </w:style>
  <w:style w:type="paragraph" w:styleId="ListNumber4">
    <w:name w:val="List Number 4"/>
    <w:basedOn w:val="List4"/>
    <w:rsid w:val="00D1653F"/>
    <w:pPr>
      <w:numPr>
        <w:numId w:val="5"/>
      </w:numPr>
    </w:pPr>
  </w:style>
  <w:style w:type="paragraph" w:styleId="ListNumber5">
    <w:name w:val="List Number 5"/>
    <w:basedOn w:val="List5"/>
    <w:rsid w:val="00D1653F"/>
    <w:pPr>
      <w:numPr>
        <w:numId w:val="6"/>
      </w:numPr>
    </w:pPr>
  </w:style>
  <w:style w:type="paragraph" w:styleId="BlockText">
    <w:name w:val="Block Text"/>
    <w:basedOn w:val="Normal"/>
    <w:rsid w:val="00D16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53F"/>
    <w:rPr>
      <w:sz w:val="16"/>
      <w:vertAlign w:val="superscript"/>
    </w:rPr>
  </w:style>
  <w:style w:type="character" w:customStyle="1" w:styleId="Symbols">
    <w:name w:val="Symbols"/>
    <w:basedOn w:val="DefaultParagraphFont"/>
    <w:rsid w:val="00D1653F"/>
    <w:rPr>
      <w:rFonts w:ascii="Symbol" w:hAnsi="Symbol"/>
    </w:rPr>
  </w:style>
  <w:style w:type="character" w:customStyle="1" w:styleId="MenuOptions">
    <w:name w:val="Menu Options"/>
    <w:basedOn w:val="DefaultParagraphFont"/>
    <w:rsid w:val="00D16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53F"/>
    <w:rPr>
      <w:b/>
    </w:rPr>
  </w:style>
  <w:style w:type="character" w:customStyle="1" w:styleId="Underlined">
    <w:name w:val="Underlined"/>
    <w:basedOn w:val="DefaultParagraphFont"/>
    <w:rsid w:val="00D1653F"/>
    <w:rPr>
      <w:u w:val="single"/>
    </w:rPr>
  </w:style>
  <w:style w:type="paragraph" w:customStyle="1" w:styleId="TableBodyTextRight">
    <w:name w:val="Table Body Text Right"/>
    <w:basedOn w:val="TableBodyText"/>
    <w:rsid w:val="00D16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53F"/>
    <w:rPr>
      <w:sz w:val="18"/>
    </w:rPr>
  </w:style>
  <w:style w:type="paragraph" w:customStyle="1" w:styleId="BodySmallRight">
    <w:name w:val="Body Small Right"/>
    <w:basedOn w:val="BodyTextRight"/>
    <w:rsid w:val="00D1653F"/>
    <w:rPr>
      <w:sz w:val="18"/>
      <w:szCs w:val="18"/>
    </w:rPr>
  </w:style>
  <w:style w:type="paragraph" w:customStyle="1" w:styleId="MarginEdition">
    <w:name w:val="Margin Edition"/>
    <w:basedOn w:val="MarginNote"/>
    <w:rsid w:val="00D16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53F"/>
    <w:rPr>
      <w:sz w:val="2"/>
      <w:szCs w:val="2"/>
    </w:rPr>
  </w:style>
  <w:style w:type="character" w:customStyle="1" w:styleId="Small">
    <w:name w:val="Small"/>
    <w:basedOn w:val="DefaultParagraphFont"/>
    <w:rsid w:val="00D1653F"/>
    <w:rPr>
      <w:sz w:val="16"/>
    </w:rPr>
  </w:style>
  <w:style w:type="paragraph" w:customStyle="1" w:styleId="WideTable">
    <w:name w:val="Wide Table"/>
    <w:basedOn w:val="Normal"/>
    <w:rsid w:val="00D16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53F"/>
  </w:style>
  <w:style w:type="paragraph" w:styleId="Quote">
    <w:name w:val="Quote"/>
    <w:basedOn w:val="Heading1"/>
    <w:link w:val="QuoteChar"/>
    <w:qFormat/>
    <w:rsid w:val="00D16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53F"/>
    <w:pPr>
      <w:pageBreakBefore/>
    </w:pPr>
  </w:style>
  <w:style w:type="paragraph" w:customStyle="1" w:styleId="Border">
    <w:name w:val="Border"/>
    <w:basedOn w:val="Normal"/>
    <w:qFormat/>
    <w:rsid w:val="00D16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53F"/>
    <w:rPr>
      <w:u w:val="single"/>
    </w:rPr>
  </w:style>
  <w:style w:type="character" w:customStyle="1" w:styleId="BoldandItalics">
    <w:name w:val="Bold and Italics"/>
    <w:qFormat/>
    <w:rsid w:val="00D1653F"/>
    <w:rPr>
      <w:b/>
      <w:i/>
      <w:u w:val="none"/>
    </w:rPr>
  </w:style>
  <w:style w:type="paragraph" w:styleId="BalloonText">
    <w:name w:val="Balloon Text"/>
    <w:basedOn w:val="Normal"/>
    <w:link w:val="BalloonTextChar"/>
    <w:rsid w:val="00D16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53F"/>
    <w:pPr>
      <w:spacing w:before="0" w:after="0"/>
    </w:pPr>
  </w:style>
  <w:style w:type="paragraph" w:customStyle="1" w:styleId="BodyTextBold">
    <w:name w:val="Body Text Bold"/>
    <w:basedOn w:val="BodyText"/>
    <w:qFormat/>
    <w:rsid w:val="00D1653F"/>
    <w:rPr>
      <w:b/>
    </w:rPr>
  </w:style>
  <w:style w:type="character" w:styleId="Hyperlink">
    <w:name w:val="Hyperlink"/>
    <w:basedOn w:val="DefaultParagraphFont"/>
    <w:uiPriority w:val="99"/>
    <w:unhideWhenUsed/>
    <w:rsid w:val="001574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4794</Characters>
  <Application>Microsoft Office Word</Application>
  <DocSecurity>0</DocSecurity>
  <Lines>199</Lines>
  <Paragraphs>98</Paragraphs>
  <ScaleCrop>false</ScaleCrop>
  <Company>Author-it Software Corporation Ltd.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UEERE0052 Assess energy loads and uses for energy efficiency in commercial facilities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