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340F" w:rsidP="0086340F">
      <w:pPr>
        <w:pStyle w:val="Title"/>
      </w:pPr>
      <w:r>
        <w:fldChar w:fldCharType="begin"/>
      </w:r>
      <w:r>
        <w:instrText xml:space="preserve"> TITLE   \* MERGEFORMAT </w:instrText>
      </w:r>
      <w:r>
        <w:fldChar w:fldCharType="separate"/>
      </w:r>
      <w:r>
        <w:t>UEERE0050 Identify and isolate multiple supply systems</w:t>
      </w:r>
      <w:r>
        <w:fldChar w:fldCharType="end"/>
      </w:r>
    </w:p>
    <w:p w:rsidR="0086340F" w:rsidP="0086340F">
      <w:pPr>
        <w:pStyle w:val="Version"/>
        <w:sectPr w:rsidSect="00CA26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26E5" w:rsidP="00CA26E5">
      <w:pPr>
        <w:pStyle w:val="SuperHeading"/>
      </w:pPr>
      <w:r w:rsidRPr="00CA26E5">
        <w:t>UEERE0050 Identify and isolate multiple supply systems</w:t>
      </w:r>
    </w:p>
    <w:p w:rsidR="00000000" w:rsidRPr="00CA26E5" w:rsidP="00CA26E5">
      <w:pPr>
        <w:pStyle w:val="Heading1"/>
      </w:pPr>
      <w:bookmarkStart w:id="1" w:name="O_1185254"/>
      <w:bookmarkEnd w:id="1"/>
      <w:r w:rsidRPr="00CA26E5">
        <w:t>Modification History</w:t>
      </w:r>
    </w:p>
    <w:tbl>
      <w:tblPr>
        <w:tblW w:w="9497" w:type="dxa"/>
        <w:tblLayout w:type="fixed"/>
        <w:tblCellMar>
          <w:left w:w="62" w:type="dxa"/>
          <w:right w:w="62" w:type="dxa"/>
        </w:tblCellMar>
        <w:tblLook w:val="0000"/>
      </w:tblPr>
      <w:tblGrid>
        <w:gridCol w:w="9497"/>
      </w:tblGrid>
      <w:tr w:rsidTr="00CA26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26E5" w:rsidP="00CA26E5">
            <w:pPr>
              <w:pStyle w:val="BodyText"/>
            </w:pPr>
            <w:r w:rsidRPr="00CA26E5">
              <w:t>Release 1. This is the first release of this unit of competency in the UEE Electrotechnology Training Package.</w:t>
            </w:r>
          </w:p>
        </w:tc>
      </w:tr>
    </w:tbl>
    <w:p w:rsidR="00000000" w:rsidRPr="00CA26E5" w:rsidP="00CA26E5">
      <w:pPr>
        <w:pStyle w:val="NoPaddingFontSize1"/>
      </w:pPr>
    </w:p>
    <w:p w:rsidR="00000000" w:rsidRPr="00CA26E5" w:rsidP="00CA26E5">
      <w:pPr>
        <w:pStyle w:val="AllowPageBreak"/>
      </w:pPr>
    </w:p>
    <w:p w:rsidR="00000000" w:rsidRPr="00CA26E5" w:rsidP="00CA26E5">
      <w:pPr>
        <w:pStyle w:val="Heading1"/>
      </w:pPr>
      <w:bookmarkStart w:id="2" w:name="O_1185255"/>
      <w:bookmarkEnd w:id="2"/>
      <w:r w:rsidRPr="00CA26E5">
        <w:t>Application</w:t>
      </w:r>
    </w:p>
    <w:tbl>
      <w:tblPr>
        <w:tblW w:w="9497" w:type="dxa"/>
        <w:tblLayout w:type="fixed"/>
        <w:tblCellMar>
          <w:left w:w="62" w:type="dxa"/>
          <w:right w:w="62" w:type="dxa"/>
        </w:tblCellMar>
        <w:tblLook w:val="0000"/>
      </w:tblPr>
      <w:tblGrid>
        <w:gridCol w:w="9497"/>
      </w:tblGrid>
      <w:tr w:rsidTr="00CA26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26E5" w:rsidP="00CA26E5">
            <w:pPr>
              <w:pStyle w:val="BodyText"/>
            </w:pPr>
            <w:r w:rsidRPr="00CA26E5">
              <w:t>This unit involves the skills and knowledge required to identify and isol</w:t>
            </w:r>
            <w:r w:rsidRPr="00CA26E5">
              <w:t>ate multiple supply systems.</w:t>
            </w:r>
          </w:p>
          <w:p w:rsidR="00000000" w:rsidRPr="00CA26E5" w:rsidP="00CA26E5">
            <w:pPr>
              <w:pStyle w:val="BodyText"/>
            </w:pPr>
            <w:r w:rsidRPr="00CA26E5">
              <w:t>It includes identifying locations of multiple supply systems within a premise with or without grid supply, performing shutdown and isolation procedures and returning supply systems to normal operations.</w:t>
            </w:r>
          </w:p>
          <w:p w:rsidR="00000000" w:rsidRPr="00CA26E5" w:rsidP="00CA26E5">
            <w:pPr>
              <w:pStyle w:val="BodyText"/>
            </w:pPr>
            <w:r w:rsidRPr="00CA26E5">
              <w:t>The skills and knowledge</w:t>
            </w:r>
            <w:r w:rsidRPr="00CA26E5">
              <w:t xml:space="preserve"> described in this unit require a licence or permit to practice in the workplace where work is carried out on electrical installations which are designed to operate at voltages greater than 50 volt (V) alternating current (a.c.) or 120 V direct current (d.</w:t>
            </w:r>
            <w:r w:rsidRPr="00CA26E5">
              <w:t>c.).</w:t>
            </w:r>
          </w:p>
          <w:p w:rsidR="00000000" w:rsidRPr="00CA26E5" w:rsidP="00CA26E5">
            <w:pPr>
              <w:pStyle w:val="BodyText"/>
            </w:pPr>
            <w:r w:rsidRPr="00CA26E5">
              <w:t>Competency development activities in this unit are subject to regulations directly related to licensing. Where a licence or permit to practice is not held, a relevant contract of training, such as an Australian Apprenticeship, may be required.</w:t>
            </w:r>
          </w:p>
          <w:p w:rsidR="00000000" w:rsidRPr="00CA26E5" w:rsidP="00CA26E5">
            <w:pPr>
              <w:pStyle w:val="BodyText"/>
            </w:pPr>
            <w:r w:rsidRPr="00CA26E5">
              <w:t>Those h</w:t>
            </w:r>
            <w:r w:rsidRPr="00CA26E5">
              <w:t xml:space="preserve">olding an </w:t>
            </w:r>
            <w:r>
              <w:t>‘</w:t>
            </w:r>
            <w:r w:rsidRPr="00CA26E5">
              <w:t>Unrestricted Electrician</w:t>
            </w:r>
            <w:r>
              <w:t>’</w:t>
            </w:r>
            <w:r w:rsidRPr="00CA26E5">
              <w:t>s Licence</w:t>
            </w:r>
            <w:r>
              <w:t>’</w:t>
            </w:r>
            <w:r w:rsidRPr="00CA26E5">
              <w:t xml:space="preserve"> or equivalent issued in an Australian state or territory meet the prerequisite requirements of this unit.</w:t>
            </w:r>
          </w:p>
        </w:tc>
      </w:tr>
    </w:tbl>
    <w:p w:rsidR="00000000" w:rsidRPr="00CA26E5" w:rsidP="00CA26E5">
      <w:pPr>
        <w:pStyle w:val="NoPaddingFontSize1"/>
      </w:pPr>
    </w:p>
    <w:p w:rsidR="00000000" w:rsidRPr="00CA26E5" w:rsidP="00CA26E5">
      <w:pPr>
        <w:pStyle w:val="AllowPageBreak"/>
      </w:pPr>
    </w:p>
    <w:p w:rsidR="00000000" w:rsidRPr="00CA26E5" w:rsidP="00CA26E5">
      <w:pPr>
        <w:pStyle w:val="Heading1"/>
      </w:pPr>
      <w:bookmarkStart w:id="3" w:name="O_1185256"/>
      <w:bookmarkEnd w:id="3"/>
      <w:r w:rsidRPr="00CA26E5">
        <w:t>Pre-requisite Unit</w:t>
      </w:r>
    </w:p>
    <w:tbl>
      <w:tblPr>
        <w:tblW w:w="9497" w:type="dxa"/>
        <w:tblLayout w:type="fixed"/>
        <w:tblCellMar>
          <w:left w:w="62" w:type="dxa"/>
          <w:right w:w="62" w:type="dxa"/>
        </w:tblCellMar>
        <w:tblLook w:val="0000"/>
      </w:tblPr>
      <w:tblGrid>
        <w:gridCol w:w="9497"/>
      </w:tblGrid>
      <w:tr w:rsidTr="00CA26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26E5" w:rsidP="00CA26E5">
            <w:pPr>
              <w:pStyle w:val="BodyText"/>
            </w:pPr>
            <w:r w:rsidRPr="00CA26E5">
              <w:t>UEEEL0039 Design, install and verify compliance and functionali</w:t>
            </w:r>
            <w:r w:rsidRPr="00CA26E5">
              <w:t>ty of general electrical installations</w:t>
            </w:r>
          </w:p>
        </w:tc>
      </w:tr>
    </w:tbl>
    <w:p w:rsidR="00000000" w:rsidRPr="00CA26E5" w:rsidP="00CA26E5">
      <w:pPr>
        <w:pStyle w:val="NoPaddingFontSize1"/>
      </w:pPr>
    </w:p>
    <w:p w:rsidR="00000000" w:rsidRPr="00CA26E5" w:rsidP="00CA26E5">
      <w:pPr>
        <w:pStyle w:val="AllowPageBreak"/>
      </w:pPr>
    </w:p>
    <w:p w:rsidR="00000000" w:rsidRPr="00CA26E5" w:rsidP="00CA26E5">
      <w:pPr>
        <w:pStyle w:val="Heading1"/>
      </w:pPr>
      <w:bookmarkStart w:id="4" w:name="O_1185257"/>
      <w:bookmarkEnd w:id="4"/>
      <w:r w:rsidRPr="00CA26E5">
        <w:t>Competency Field</w:t>
      </w:r>
    </w:p>
    <w:tbl>
      <w:tblPr>
        <w:tblW w:w="9497" w:type="dxa"/>
        <w:tblLayout w:type="fixed"/>
        <w:tblCellMar>
          <w:left w:w="62" w:type="dxa"/>
          <w:right w:w="62" w:type="dxa"/>
        </w:tblCellMar>
        <w:tblLook w:val="0000"/>
      </w:tblPr>
      <w:tblGrid>
        <w:gridCol w:w="9497"/>
      </w:tblGrid>
      <w:tr w:rsidTr="00CA26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26E5" w:rsidP="00CA26E5">
            <w:pPr>
              <w:pStyle w:val="BodyText"/>
            </w:pPr>
            <w:r w:rsidRPr="00CA26E5">
              <w:t>Renewable Energy</w:t>
            </w:r>
          </w:p>
        </w:tc>
      </w:tr>
    </w:tbl>
    <w:p w:rsidR="00000000" w:rsidRPr="00CA26E5" w:rsidP="00CA26E5">
      <w:pPr>
        <w:pStyle w:val="NoPaddingFontSize1"/>
      </w:pPr>
    </w:p>
    <w:p w:rsidR="00000000" w:rsidRPr="00CA26E5" w:rsidP="00CA26E5">
      <w:pPr>
        <w:pStyle w:val="AllowPageBreak"/>
      </w:pPr>
    </w:p>
    <w:p w:rsidR="00000000" w:rsidRPr="00CA26E5" w:rsidP="00CA26E5">
      <w:pPr>
        <w:pStyle w:val="Heading1"/>
      </w:pPr>
      <w:bookmarkStart w:id="5" w:name="O_1185258"/>
      <w:bookmarkEnd w:id="5"/>
      <w:r w:rsidRPr="00CA26E5">
        <w:t>Unit Sector</w:t>
      </w:r>
    </w:p>
    <w:tbl>
      <w:tblPr>
        <w:tblW w:w="9497" w:type="dxa"/>
        <w:tblLayout w:type="fixed"/>
        <w:tblCellMar>
          <w:left w:w="62" w:type="dxa"/>
          <w:right w:w="62" w:type="dxa"/>
        </w:tblCellMar>
        <w:tblLook w:val="0000"/>
      </w:tblPr>
      <w:tblGrid>
        <w:gridCol w:w="9497"/>
      </w:tblGrid>
      <w:tr w:rsidTr="00CA26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26E5" w:rsidP="00CA26E5">
            <w:pPr>
              <w:pStyle w:val="BodyText"/>
            </w:pPr>
            <w:r w:rsidRPr="00CA26E5">
              <w:t>Electrotechnology</w:t>
            </w:r>
          </w:p>
        </w:tc>
      </w:tr>
    </w:tbl>
    <w:p w:rsidR="00000000" w:rsidRPr="00CA26E5" w:rsidP="00CA26E5">
      <w:pPr>
        <w:pStyle w:val="NoPaddingFontSize1"/>
      </w:pPr>
    </w:p>
    <w:p w:rsidR="00000000" w:rsidRPr="00CA26E5" w:rsidP="00CA26E5">
      <w:pPr>
        <w:pStyle w:val="AllowPageBreak"/>
      </w:pPr>
    </w:p>
    <w:p w:rsidR="00000000" w:rsidRPr="00CA26E5" w:rsidP="00CA26E5">
      <w:pPr>
        <w:pStyle w:val="Heading1"/>
      </w:pPr>
      <w:bookmarkStart w:id="6" w:name="O_1185259"/>
      <w:bookmarkEnd w:id="6"/>
      <w:r w:rsidRPr="00CA26E5">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CA26E5">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CA26E5" w:rsidP="00CA26E5">
            <w:pPr>
              <w:pStyle w:val="BodyText"/>
            </w:pPr>
            <w:r w:rsidRPr="00CA26E5">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CA26E5">
            <w:pPr>
              <w:pStyle w:val="BodyText"/>
              <w:rPr>
                <w:lang w:val="en-NZ"/>
              </w:rPr>
            </w:pPr>
            <w:r w:rsidRPr="00CA26E5">
              <w:rPr>
                <w:rStyle w:val="SpecialBold"/>
              </w:rPr>
              <w:t>PERFORMANCE CRITERIA</w:t>
            </w:r>
          </w:p>
        </w:tc>
      </w:tr>
      <w:tr w:rsidTr="00CA26E5">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CA26E5">
            <w:pPr>
              <w:pStyle w:val="BodyText"/>
              <w:rPr>
                <w:lang w:val="en-NZ"/>
              </w:rPr>
            </w:pPr>
            <w:r w:rsidRPr="00CA26E5">
              <w:t xml:space="preserve">Elements describe the essential </w:t>
            </w:r>
            <w:r w:rsidRPr="00CA26E5">
              <w:t>outcomes.</w:t>
            </w:r>
          </w:p>
        </w:tc>
        <w:tc>
          <w:tcPr>
            <w:tcW w:w="6330" w:type="dxa"/>
            <w:gridSpan w:val="2"/>
            <w:tcBorders>
              <w:top w:val="nil"/>
              <w:left w:val="nil"/>
              <w:bottom w:val="nil"/>
              <w:right w:val="nil"/>
            </w:tcBorders>
            <w:tcMar>
              <w:top w:w="0" w:type="dxa"/>
              <w:left w:w="62" w:type="dxa"/>
              <w:bottom w:w="0" w:type="dxa"/>
              <w:right w:w="62" w:type="dxa"/>
            </w:tcMar>
          </w:tcPr>
          <w:p w:rsidR="00000000" w:rsidP="00CA26E5">
            <w:pPr>
              <w:pStyle w:val="BodyText"/>
              <w:rPr>
                <w:lang w:val="en-NZ"/>
              </w:rPr>
            </w:pPr>
            <w:r w:rsidRPr="00CA26E5">
              <w:t xml:space="preserve">Performance criteria describe the performance needed to </w:t>
            </w:r>
            <w:r w:rsidRPr="00CA26E5">
              <w:t>demonstrate achievement of the element.</w:t>
            </w:r>
          </w:p>
        </w:tc>
      </w:tr>
      <w:tr w:rsidTr="00CA26E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A26E5" w:rsidP="00CA26E5">
            <w:pPr>
              <w:pStyle w:val="BodyText"/>
            </w:pPr>
            <w:r w:rsidRPr="00CA26E5">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CA26E5" w:rsidP="00CA26E5">
            <w:pPr>
              <w:pStyle w:val="BodyText"/>
            </w:pPr>
            <w:r w:rsidRPr="00CA26E5">
              <w:rPr>
                <w:rStyle w:val="SpecialBold"/>
              </w:rPr>
              <w:t>Prepare to isolate multiple supply systems</w:t>
            </w:r>
          </w:p>
        </w:tc>
        <w:tc>
          <w:tcPr>
            <w:tcW w:w="702" w:type="dxa"/>
            <w:tcBorders>
              <w:top w:val="nil"/>
              <w:left w:val="nil"/>
              <w:bottom w:val="nil"/>
              <w:right w:val="nil"/>
            </w:tcBorders>
            <w:tcMar>
              <w:top w:w="0" w:type="dxa"/>
              <w:left w:w="62" w:type="dxa"/>
              <w:bottom w:w="0" w:type="dxa"/>
              <w:right w:w="62" w:type="dxa"/>
            </w:tcMar>
          </w:tcPr>
          <w:p w:rsidR="00000000" w:rsidP="00CA26E5">
            <w:pPr>
              <w:pStyle w:val="BodyText"/>
              <w:rPr>
                <w:lang w:val="en-NZ"/>
              </w:rPr>
            </w:pPr>
            <w:r w:rsidRPr="00CA26E5">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CA26E5">
            <w:pPr>
              <w:pStyle w:val="BodyText"/>
              <w:rPr>
                <w:lang w:val="en-NZ"/>
              </w:rPr>
            </w:pPr>
            <w:r w:rsidRPr="00CA26E5">
              <w:t>Legislation, regulations, standards, codes of practice and workplace requirements for the worksite are identified and referred to</w:t>
            </w:r>
          </w:p>
        </w:tc>
      </w:tr>
      <w:tr w:rsidTr="00CA26E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A26E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A26E5">
            <w:pPr>
              <w:pStyle w:val="BodyText"/>
              <w:rPr>
                <w:lang w:val="en-NZ"/>
              </w:rPr>
            </w:pPr>
            <w:r w:rsidRPr="00CA26E5">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CA26E5">
            <w:pPr>
              <w:pStyle w:val="BodyText"/>
              <w:rPr>
                <w:lang w:val="en-NZ"/>
              </w:rPr>
            </w:pPr>
            <w:r w:rsidRPr="00CA26E5">
              <w:t>Scope of work is determined, implications of isolation/s are identified</w:t>
            </w:r>
          </w:p>
        </w:tc>
      </w:tr>
      <w:tr w:rsidTr="00CA26E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A26E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A26E5">
            <w:pPr>
              <w:pStyle w:val="BodyText"/>
              <w:rPr>
                <w:lang w:val="en-NZ"/>
              </w:rPr>
            </w:pPr>
            <w:r w:rsidRPr="00CA26E5">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CA26E5">
            <w:pPr>
              <w:pStyle w:val="BodyText"/>
              <w:rPr>
                <w:lang w:val="en-NZ"/>
              </w:rPr>
            </w:pPr>
            <w:r w:rsidRPr="00CA26E5">
              <w:t>Site specific information including manuals, drawings, operational information, labelling, shutdown and start up procedures are identified and referred to</w:t>
            </w:r>
          </w:p>
        </w:tc>
      </w:tr>
      <w:tr w:rsidTr="00CA26E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A26E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A26E5">
            <w:pPr>
              <w:pStyle w:val="BodyText"/>
              <w:rPr>
                <w:lang w:val="en-NZ"/>
              </w:rPr>
            </w:pPr>
            <w:r w:rsidRPr="00CA26E5">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CA26E5">
            <w:pPr>
              <w:pStyle w:val="BodyText"/>
              <w:rPr>
                <w:lang w:val="en-NZ"/>
              </w:rPr>
            </w:pPr>
            <w:r w:rsidRPr="00CA26E5">
              <w:t>Worksite is assessed in accordance with workplace requirements</w:t>
            </w:r>
          </w:p>
        </w:tc>
      </w:tr>
      <w:tr w:rsidTr="00CA26E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A26E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A26E5">
            <w:pPr>
              <w:pStyle w:val="BodyText"/>
              <w:rPr>
                <w:lang w:val="en-NZ"/>
              </w:rPr>
            </w:pPr>
            <w:r w:rsidRPr="00CA26E5">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CA26E5">
            <w:pPr>
              <w:pStyle w:val="BodyText"/>
              <w:rPr>
                <w:lang w:val="en-NZ"/>
              </w:rPr>
            </w:pPr>
            <w:r w:rsidRPr="00CA26E5">
              <w:t xml:space="preserve">Hazards are identified, </w:t>
            </w:r>
            <w:r w:rsidRPr="00CA26E5">
              <w:t>risks assessed and control measures identified and applied</w:t>
            </w:r>
          </w:p>
        </w:tc>
      </w:tr>
      <w:tr w:rsidTr="00CA26E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A26E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A26E5">
            <w:pPr>
              <w:pStyle w:val="BodyText"/>
              <w:rPr>
                <w:lang w:val="en-NZ"/>
              </w:rPr>
            </w:pPr>
            <w:r w:rsidRPr="00CA26E5">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CA26E5">
            <w:pPr>
              <w:pStyle w:val="BodyText"/>
              <w:rPr>
                <w:lang w:val="en-NZ"/>
              </w:rPr>
            </w:pPr>
            <w:r w:rsidRPr="00CA26E5">
              <w:t>Tools, equipment and personal protective equipment (PPE) required for work are determined, obtained and confirmed in working order</w:t>
            </w:r>
          </w:p>
        </w:tc>
      </w:tr>
      <w:tr w:rsidTr="00CA26E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A26E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A26E5">
            <w:pPr>
              <w:pStyle w:val="BodyText"/>
              <w:rPr>
                <w:lang w:val="en-NZ"/>
              </w:rPr>
            </w:pPr>
            <w:r w:rsidRPr="00CA26E5">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CA26E5">
            <w:pPr>
              <w:pStyle w:val="BodyText"/>
              <w:rPr>
                <w:lang w:val="en-NZ"/>
              </w:rPr>
            </w:pPr>
            <w:r w:rsidRPr="00CA26E5">
              <w:t>Circuit testing devices are obtained and checked for</w:t>
            </w:r>
            <w:r w:rsidRPr="00CA26E5">
              <w:t xml:space="preserve"> correct operation and safety in accordance with workplace requirements</w:t>
            </w:r>
          </w:p>
        </w:tc>
      </w:tr>
      <w:tr w:rsidTr="00CA26E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A26E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A26E5">
            <w:pPr>
              <w:pStyle w:val="BodyText"/>
              <w:rPr>
                <w:lang w:val="en-NZ"/>
              </w:rPr>
            </w:pPr>
            <w:r w:rsidRPr="00CA26E5">
              <w:rPr>
                <w:rStyle w:val="SpecialBold"/>
              </w:rPr>
              <w:t>1.8</w:t>
            </w:r>
          </w:p>
        </w:tc>
        <w:tc>
          <w:tcPr>
            <w:tcW w:w="5628" w:type="dxa"/>
            <w:tcBorders>
              <w:top w:val="nil"/>
              <w:left w:val="nil"/>
              <w:bottom w:val="nil"/>
              <w:right w:val="nil"/>
            </w:tcBorders>
            <w:tcMar>
              <w:top w:w="0" w:type="dxa"/>
              <w:left w:w="62" w:type="dxa"/>
              <w:bottom w:w="0" w:type="dxa"/>
              <w:right w:w="62" w:type="dxa"/>
            </w:tcMar>
          </w:tcPr>
          <w:p w:rsidR="00000000" w:rsidP="00CA26E5">
            <w:pPr>
              <w:pStyle w:val="BodyText"/>
              <w:rPr>
                <w:lang w:val="en-NZ"/>
              </w:rPr>
            </w:pPr>
            <w:r w:rsidRPr="00CA26E5">
              <w:t>Relevant person/s are notified of supply systems shutdown and isolation in accordance with workplace requirements</w:t>
            </w:r>
          </w:p>
        </w:tc>
      </w:tr>
      <w:tr w:rsidTr="00CA26E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A26E5" w:rsidP="00CA26E5">
            <w:pPr>
              <w:pStyle w:val="BodyText"/>
            </w:pPr>
            <w:r w:rsidRPr="00CA26E5">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CA26E5" w:rsidP="00CA26E5">
            <w:pPr>
              <w:pStyle w:val="BodyText"/>
            </w:pPr>
            <w:r w:rsidRPr="00CA26E5">
              <w:rPr>
                <w:rStyle w:val="SpecialBold"/>
              </w:rPr>
              <w:t>Isolate multiple supply systems</w:t>
            </w:r>
          </w:p>
        </w:tc>
        <w:tc>
          <w:tcPr>
            <w:tcW w:w="702" w:type="dxa"/>
            <w:tcBorders>
              <w:top w:val="nil"/>
              <w:left w:val="nil"/>
              <w:bottom w:val="nil"/>
              <w:right w:val="nil"/>
            </w:tcBorders>
            <w:tcMar>
              <w:top w:w="0" w:type="dxa"/>
              <w:left w:w="62" w:type="dxa"/>
              <w:bottom w:w="0" w:type="dxa"/>
              <w:right w:w="62" w:type="dxa"/>
            </w:tcMar>
          </w:tcPr>
          <w:p w:rsidR="00000000" w:rsidP="00CA26E5">
            <w:pPr>
              <w:pStyle w:val="BodyText"/>
              <w:rPr>
                <w:lang w:val="en-NZ"/>
              </w:rPr>
            </w:pPr>
            <w:r w:rsidRPr="00CA26E5">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CA26E5">
            <w:pPr>
              <w:pStyle w:val="BodyText"/>
              <w:rPr>
                <w:lang w:val="en-NZ"/>
              </w:rPr>
            </w:pPr>
            <w:r w:rsidRPr="00CA26E5">
              <w:t>Supply systems shutdown procedures are completed in accordance with site specific information and workplace requirements</w:t>
            </w:r>
          </w:p>
        </w:tc>
      </w:tr>
      <w:tr w:rsidTr="00CA26E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A26E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A26E5">
            <w:pPr>
              <w:pStyle w:val="BodyText"/>
              <w:rPr>
                <w:lang w:val="en-NZ"/>
              </w:rPr>
            </w:pPr>
            <w:r w:rsidRPr="00CA26E5">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CA26E5">
            <w:pPr>
              <w:pStyle w:val="BodyText"/>
              <w:rPr>
                <w:lang w:val="en-NZ"/>
              </w:rPr>
            </w:pPr>
            <w:r w:rsidRPr="00CA26E5">
              <w:t>Supply systems circuits are tested and confirmed as de-energised and lock-out procedures followed</w:t>
            </w:r>
          </w:p>
        </w:tc>
      </w:tr>
      <w:tr w:rsidTr="00CA26E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A26E5" w:rsidP="00CA26E5">
            <w:pPr>
              <w:pStyle w:val="BodyText"/>
            </w:pPr>
            <w:r w:rsidRPr="00CA26E5">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CA26E5" w:rsidP="00CA26E5">
            <w:pPr>
              <w:pStyle w:val="BodyText"/>
            </w:pPr>
            <w:r w:rsidRPr="00CA26E5">
              <w:rPr>
                <w:rStyle w:val="SpecialBold"/>
              </w:rPr>
              <w:t xml:space="preserve">Re-instate multiple supply </w:t>
            </w:r>
            <w:r w:rsidRPr="00CA26E5">
              <w:rPr>
                <w:rStyle w:val="SpecialBold"/>
              </w:rPr>
              <w:t>systems</w:t>
            </w:r>
          </w:p>
        </w:tc>
        <w:tc>
          <w:tcPr>
            <w:tcW w:w="702" w:type="dxa"/>
            <w:tcBorders>
              <w:top w:val="nil"/>
              <w:left w:val="nil"/>
              <w:bottom w:val="nil"/>
              <w:right w:val="nil"/>
            </w:tcBorders>
            <w:tcMar>
              <w:top w:w="0" w:type="dxa"/>
              <w:left w:w="62" w:type="dxa"/>
              <w:bottom w:w="0" w:type="dxa"/>
              <w:right w:w="62" w:type="dxa"/>
            </w:tcMar>
          </w:tcPr>
          <w:p w:rsidR="00000000" w:rsidP="00CA26E5">
            <w:pPr>
              <w:pStyle w:val="BodyText"/>
              <w:rPr>
                <w:lang w:val="en-NZ"/>
              </w:rPr>
            </w:pPr>
            <w:r w:rsidRPr="00CA26E5">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CA26E5">
            <w:pPr>
              <w:pStyle w:val="BodyText"/>
              <w:rPr>
                <w:lang w:val="en-NZ"/>
              </w:rPr>
            </w:pPr>
            <w:r w:rsidRPr="00CA26E5">
              <w:t>Supply systems start up procedures are completed in accordance with site specific information and workplace requirements</w:t>
            </w:r>
          </w:p>
        </w:tc>
      </w:tr>
      <w:tr w:rsidTr="00CA26E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A26E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A26E5">
            <w:pPr>
              <w:pStyle w:val="BodyText"/>
              <w:rPr>
                <w:lang w:val="en-NZ"/>
              </w:rPr>
            </w:pPr>
            <w:r w:rsidRPr="00CA26E5">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CA26E5">
            <w:pPr>
              <w:pStyle w:val="BodyText"/>
              <w:rPr>
                <w:lang w:val="en-NZ"/>
              </w:rPr>
            </w:pPr>
            <w:r w:rsidRPr="00CA26E5">
              <w:t>Supply systems are confirmed as re-energised and tested for correct operation</w:t>
            </w:r>
          </w:p>
        </w:tc>
      </w:tr>
      <w:tr w:rsidTr="00CA26E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A26E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A26E5">
            <w:pPr>
              <w:pStyle w:val="BodyText"/>
              <w:rPr>
                <w:lang w:val="en-NZ"/>
              </w:rPr>
            </w:pPr>
            <w:r w:rsidRPr="00CA26E5">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CA26E5">
            <w:pPr>
              <w:pStyle w:val="BodyText"/>
              <w:rPr>
                <w:lang w:val="en-NZ"/>
              </w:rPr>
            </w:pPr>
            <w:r w:rsidRPr="00CA26E5">
              <w:t>Incidents or unplanned events are responded to in accordance with workplace requirements</w:t>
            </w:r>
          </w:p>
        </w:tc>
      </w:tr>
      <w:tr w:rsidTr="00CA26E5">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A26E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A26E5">
            <w:pPr>
              <w:pStyle w:val="BodyText"/>
              <w:rPr>
                <w:lang w:val="en-NZ"/>
              </w:rPr>
            </w:pPr>
            <w:r w:rsidRPr="00CA26E5">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RPr="00CA26E5" w:rsidP="00CA26E5">
            <w:pPr>
              <w:pStyle w:val="BodyText"/>
            </w:pPr>
            <w:r w:rsidRPr="00CA26E5">
              <w:t xml:space="preserve">Relevant person/s are notified of re-instatement of supply systems in accordance with workplace </w:t>
            </w:r>
            <w:r w:rsidRPr="00CA26E5">
              <w:t>requirements</w:t>
            </w:r>
          </w:p>
        </w:tc>
      </w:tr>
    </w:tbl>
    <w:p w:rsidR="00000000" w:rsidRPr="00CA26E5" w:rsidP="00CA26E5">
      <w:pPr>
        <w:pStyle w:val="NoPaddingFontSize1"/>
      </w:pPr>
    </w:p>
    <w:p w:rsidR="00000000" w:rsidRPr="00CA26E5" w:rsidP="00CA26E5">
      <w:pPr>
        <w:pStyle w:val="AllowPageBreak"/>
      </w:pPr>
    </w:p>
    <w:p w:rsidR="00000000" w:rsidRPr="00CA26E5" w:rsidP="00CA26E5">
      <w:pPr>
        <w:pStyle w:val="Heading1"/>
      </w:pPr>
      <w:bookmarkStart w:id="7" w:name="O_1185260"/>
      <w:bookmarkEnd w:id="7"/>
      <w:r w:rsidRPr="00CA26E5">
        <w:t>Foundation Skills</w:t>
      </w:r>
    </w:p>
    <w:tbl>
      <w:tblPr>
        <w:tblW w:w="9497" w:type="dxa"/>
        <w:tblLayout w:type="fixed"/>
        <w:tblCellMar>
          <w:left w:w="62" w:type="dxa"/>
          <w:right w:w="62" w:type="dxa"/>
        </w:tblCellMar>
        <w:tblLook w:val="0000"/>
      </w:tblPr>
      <w:tblGrid>
        <w:gridCol w:w="9497"/>
      </w:tblGrid>
      <w:tr w:rsidTr="00CA26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26E5" w:rsidP="00CA26E5">
            <w:pPr>
              <w:pStyle w:val="BodyText"/>
            </w:pPr>
            <w:r w:rsidRPr="00CA26E5">
              <w:t>Foundation s</w:t>
            </w:r>
            <w:r w:rsidRPr="00CA26E5">
              <w:t>kills essential to performance are explicit in the performance criteria of this unit of competency.</w:t>
            </w:r>
          </w:p>
        </w:tc>
      </w:tr>
    </w:tbl>
    <w:p w:rsidR="00000000" w:rsidRPr="00CA26E5" w:rsidP="00CA26E5">
      <w:pPr>
        <w:pStyle w:val="NoPaddingFontSize1"/>
      </w:pPr>
    </w:p>
    <w:p w:rsidR="00000000" w:rsidRPr="00CA26E5" w:rsidP="00CA26E5">
      <w:pPr>
        <w:pStyle w:val="AllowPageBreak"/>
      </w:pPr>
    </w:p>
    <w:p w:rsidR="00000000" w:rsidRPr="00CA26E5" w:rsidP="00CA26E5">
      <w:pPr>
        <w:pStyle w:val="Heading1"/>
      </w:pPr>
      <w:bookmarkStart w:id="8" w:name="O_1185261"/>
      <w:bookmarkEnd w:id="8"/>
      <w:r w:rsidRPr="00CA26E5">
        <w:t>Range of Conditions</w:t>
      </w:r>
    </w:p>
    <w:tbl>
      <w:tblPr>
        <w:tblW w:w="9497" w:type="dxa"/>
        <w:tblLayout w:type="fixed"/>
        <w:tblCellMar>
          <w:left w:w="62" w:type="dxa"/>
          <w:right w:w="62" w:type="dxa"/>
        </w:tblCellMar>
        <w:tblLook w:val="0000"/>
      </w:tblPr>
      <w:tblGrid>
        <w:gridCol w:w="9497"/>
      </w:tblGrid>
      <w:tr w:rsidTr="00CA26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26E5" w:rsidP="00CA26E5">
            <w:pPr>
              <w:pStyle w:val="BodyText"/>
            </w:pPr>
            <w:r w:rsidRPr="00CA26E5">
              <w:t>Range is restricted to essential operating conditions and any other variables essential to the work environment.</w:t>
            </w:r>
          </w:p>
          <w:p w:rsidR="00000000" w:rsidRPr="00CA26E5" w:rsidP="00CA26E5">
            <w:pPr>
              <w:pStyle w:val="BodyText"/>
            </w:pPr>
            <w:r w:rsidRPr="00CA26E5">
              <w:t>Non-essential conditions may be found in the UEE Electrotechnology Training Package Companion Volume Implementation Guide.</w:t>
            </w:r>
          </w:p>
        </w:tc>
      </w:tr>
    </w:tbl>
    <w:p w:rsidR="00000000" w:rsidRPr="00CA26E5" w:rsidP="00CA26E5">
      <w:pPr>
        <w:pStyle w:val="NoPaddingFontSize1"/>
      </w:pPr>
    </w:p>
    <w:p w:rsidR="00000000" w:rsidRPr="00CA26E5" w:rsidP="00CA26E5">
      <w:pPr>
        <w:pStyle w:val="AllowPageBreak"/>
      </w:pPr>
    </w:p>
    <w:p w:rsidR="00000000" w:rsidRPr="00CA26E5" w:rsidP="00CA26E5">
      <w:pPr>
        <w:pStyle w:val="Heading1"/>
      </w:pPr>
      <w:bookmarkStart w:id="9" w:name="O_1185262"/>
      <w:bookmarkEnd w:id="9"/>
      <w:r w:rsidRPr="00CA26E5">
        <w:t>Unit Mapping Information</w:t>
      </w:r>
    </w:p>
    <w:tbl>
      <w:tblPr>
        <w:tblW w:w="9497" w:type="dxa"/>
        <w:tblLayout w:type="fixed"/>
        <w:tblCellMar>
          <w:left w:w="62" w:type="dxa"/>
          <w:right w:w="62" w:type="dxa"/>
        </w:tblCellMar>
        <w:tblLook w:val="0000"/>
      </w:tblPr>
      <w:tblGrid>
        <w:gridCol w:w="9497"/>
      </w:tblGrid>
      <w:tr w:rsidTr="00CA26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26E5" w:rsidP="00CA26E5">
            <w:pPr>
              <w:pStyle w:val="BodyText"/>
            </w:pPr>
            <w:r w:rsidRPr="00CA26E5">
              <w:t>Newly created unit.</w:t>
            </w:r>
          </w:p>
        </w:tc>
      </w:tr>
    </w:tbl>
    <w:p w:rsidR="00000000" w:rsidRPr="00CA26E5" w:rsidP="00CA26E5">
      <w:pPr>
        <w:pStyle w:val="NoPaddingFontSize1"/>
      </w:pPr>
    </w:p>
    <w:p w:rsidR="00000000" w:rsidRPr="00CA26E5" w:rsidP="00CA26E5">
      <w:pPr>
        <w:pStyle w:val="AllowPageBreak"/>
      </w:pPr>
    </w:p>
    <w:p w:rsidR="00000000" w:rsidRPr="00CA26E5" w:rsidP="00CA26E5">
      <w:pPr>
        <w:pStyle w:val="Heading1"/>
      </w:pPr>
      <w:bookmarkStart w:id="10" w:name="O_1185269"/>
      <w:bookmarkEnd w:id="10"/>
      <w:r w:rsidRPr="00CA26E5">
        <w:t>Links</w:t>
      </w:r>
    </w:p>
    <w:p w:rsidR="00000000" w:rsidRPr="00CA26E5" w:rsidP="0086340F">
      <w:pPr>
        <w:pStyle w:val="BodyText"/>
      </w:pPr>
      <w:r w:rsidRPr="00CA26E5">
        <w:t>Companion Volume Implementation Guides a</w:t>
      </w:r>
      <w:r w:rsidRPr="00CA26E5">
        <w:t xml:space="preserve">re found in VETNet - </w:t>
      </w:r>
      <w:r>
        <w:fldChar w:fldCharType="begin"/>
      </w:r>
      <w:r>
        <w:instrText xml:space="preserve"> HYPERLINK "https://vetnet.gov.au/Pages/TrainingDocs.aspx?q=b8a8f136-5421-4ce1-92e0-2b50341431b6" </w:instrText>
      </w:r>
      <w:r>
        <w:fldChar w:fldCharType="separate"/>
      </w:r>
      <w:r w:rsidRPr="00824103">
        <w:rPr>
          <w:rStyle w:val="Hyperlink"/>
        </w:rPr>
        <w:t>https://vetnet.gov.au/Pages/TrainingDocs.aspx?q=b8a8f136-5421-4ce1-92e0-2b50341431b6</w:t>
      </w:r>
      <w:r>
        <w:fldChar w:fldCharType="end"/>
      </w:r>
    </w:p>
    <w:p w:rsidR="00000000" w:rsidRPr="00CA26E5" w:rsidP="00CA26E5"/>
    <w:sectPr w:rsidSect="00CA26E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6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6E5" w:rsidRPr="0086340F" w:rsidP="008634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6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40F" w:rsidP="00CA26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340F" w:rsidP="00CA26E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86340F" w:rsidP="00CA26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6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4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26E5" w:rsidRPr="0086340F" w:rsidP="008634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6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40F" w:rsidRPr="002D2AF8" w:rsidP="00CA26E5">
    <w:pPr>
      <w:pStyle w:val="Header"/>
      <w:framePr w:wrap="around"/>
    </w:pPr>
    <w:r>
      <w:fldChar w:fldCharType="begin"/>
    </w:r>
    <w:r>
      <w:instrText xml:space="preserve"> TITLE   \* MERGEFORMAT </w:instrText>
    </w:r>
    <w:r>
      <w:fldChar w:fldCharType="separate"/>
    </w:r>
    <w:r>
      <w:t>UEERE0050 Identify and isolate multiple supply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86340F" w:rsidP="00CA26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6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26E5"/>
    <w:pPr>
      <w:spacing w:before="360" w:after="60"/>
      <w:outlineLvl w:val="0"/>
    </w:pPr>
    <w:rPr>
      <w:sz w:val="32"/>
    </w:rPr>
  </w:style>
  <w:style w:type="paragraph" w:styleId="Heading2">
    <w:name w:val="heading 2"/>
    <w:basedOn w:val="HeadingBase"/>
    <w:next w:val="BodyText"/>
    <w:link w:val="Heading2Char"/>
    <w:qFormat/>
    <w:rsid w:val="00CA26E5"/>
    <w:pPr>
      <w:keepLines/>
      <w:spacing w:before="240" w:after="120"/>
      <w:outlineLvl w:val="1"/>
    </w:pPr>
    <w:rPr>
      <w:sz w:val="28"/>
      <w:szCs w:val="40"/>
    </w:rPr>
  </w:style>
  <w:style w:type="paragraph" w:styleId="Heading3">
    <w:name w:val="heading 3"/>
    <w:basedOn w:val="HeadingBase"/>
    <w:next w:val="BodyText"/>
    <w:link w:val="Heading3Char"/>
    <w:qFormat/>
    <w:rsid w:val="00CA26E5"/>
    <w:pPr>
      <w:spacing w:before="180" w:after="120"/>
      <w:outlineLvl w:val="2"/>
    </w:pPr>
    <w:rPr>
      <w:spacing w:val="-10"/>
      <w:kern w:val="32"/>
    </w:rPr>
  </w:style>
  <w:style w:type="paragraph" w:styleId="Heading4">
    <w:name w:val="heading 4"/>
    <w:basedOn w:val="HeadingBase"/>
    <w:next w:val="BodyText"/>
    <w:link w:val="Heading4Char"/>
    <w:qFormat/>
    <w:rsid w:val="00CA26E5"/>
    <w:pPr>
      <w:spacing w:before="160" w:after="120"/>
      <w:outlineLvl w:val="3"/>
    </w:pPr>
    <w:rPr>
      <w:sz w:val="22"/>
    </w:rPr>
  </w:style>
  <w:style w:type="paragraph" w:styleId="Heading5">
    <w:name w:val="heading 5"/>
    <w:basedOn w:val="HeadingBase"/>
    <w:next w:val="Normal"/>
    <w:link w:val="Heading5Char"/>
    <w:qFormat/>
    <w:rsid w:val="00CA26E5"/>
    <w:pPr>
      <w:spacing w:before="80"/>
      <w:outlineLvl w:val="4"/>
    </w:pPr>
    <w:rPr>
      <w:color w:val="918585"/>
      <w:sz w:val="20"/>
    </w:rPr>
  </w:style>
  <w:style w:type="paragraph" w:styleId="Heading6">
    <w:name w:val="heading 6"/>
    <w:basedOn w:val="HeadingBase"/>
    <w:next w:val="Normal"/>
    <w:link w:val="Heading6Char"/>
    <w:qFormat/>
    <w:rsid w:val="00CA26E5"/>
    <w:pPr>
      <w:spacing w:before="60"/>
      <w:outlineLvl w:val="5"/>
    </w:pPr>
    <w:rPr>
      <w:color w:val="918585"/>
      <w:sz w:val="20"/>
    </w:rPr>
  </w:style>
  <w:style w:type="paragraph" w:styleId="Heading7">
    <w:name w:val="heading 7"/>
    <w:basedOn w:val="Normal"/>
    <w:next w:val="Normal"/>
    <w:link w:val="Heading7Char"/>
    <w:qFormat/>
    <w:rsid w:val="00CA26E5"/>
    <w:pPr>
      <w:ind w:left="720"/>
      <w:outlineLvl w:val="6"/>
    </w:pPr>
    <w:rPr>
      <w:i/>
    </w:rPr>
  </w:style>
  <w:style w:type="paragraph" w:styleId="Heading8">
    <w:name w:val="heading 8"/>
    <w:basedOn w:val="Normal"/>
    <w:next w:val="Normal"/>
    <w:link w:val="Heading8Char"/>
    <w:qFormat/>
    <w:rsid w:val="00CA26E5"/>
    <w:pPr>
      <w:ind w:left="720"/>
      <w:outlineLvl w:val="7"/>
    </w:pPr>
    <w:rPr>
      <w:i/>
    </w:rPr>
  </w:style>
  <w:style w:type="paragraph" w:styleId="Heading9">
    <w:name w:val="heading 9"/>
    <w:basedOn w:val="Normal"/>
    <w:next w:val="Normal"/>
    <w:link w:val="Heading9Char"/>
    <w:qFormat/>
    <w:rsid w:val="00CA26E5"/>
    <w:pPr>
      <w:ind w:left="720"/>
      <w:outlineLvl w:val="8"/>
    </w:pPr>
    <w:rPr>
      <w:i/>
    </w:rPr>
  </w:style>
  <w:style w:type="character" w:default="1" w:styleId="DefaultParagraphFont">
    <w:name w:val="Default Paragraph Font"/>
    <w:uiPriority w:val="1"/>
    <w:unhideWhenUsed/>
    <w:rsid w:val="00CA26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26E5"/>
  </w:style>
  <w:style w:type="character" w:customStyle="1" w:styleId="Heading1Char">
    <w:name w:val="Heading 1 Char"/>
    <w:basedOn w:val="DefaultParagraphFont"/>
    <w:link w:val="Heading1"/>
    <w:rsid w:val="00CA26E5"/>
    <w:rPr>
      <w:rFonts w:ascii="Times New Roman" w:eastAsia="Times New Roman" w:hAnsi="Times New Roman" w:cs="Times New Roman"/>
      <w:b/>
      <w:sz w:val="32"/>
      <w:szCs w:val="20"/>
      <w:lang w:eastAsia="en-US"/>
    </w:rPr>
  </w:style>
  <w:style w:type="paragraph" w:styleId="BodyText">
    <w:name w:val="Body Text"/>
    <w:basedOn w:val="Normal"/>
    <w:link w:val="BodyTextChar"/>
    <w:rsid w:val="00CA26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26E5"/>
    <w:rPr>
      <w:rFonts w:ascii="Times New Roman" w:eastAsia="Times New Roman" w:hAnsi="Times New Roman" w:cs="Times New Roman"/>
      <w:sz w:val="24"/>
      <w:lang w:eastAsia="en-US"/>
    </w:rPr>
  </w:style>
  <w:style w:type="character" w:customStyle="1" w:styleId="SpecialBold">
    <w:name w:val="Special Bold"/>
    <w:basedOn w:val="DefaultParagraphFont"/>
    <w:rsid w:val="00CA26E5"/>
    <w:rPr>
      <w:b/>
      <w:spacing w:val="0"/>
    </w:rPr>
  </w:style>
  <w:style w:type="paragraph" w:customStyle="1" w:styleId="SuperHeading">
    <w:name w:val="SuperHeading"/>
    <w:basedOn w:val="Normal"/>
    <w:rsid w:val="00CA26E5"/>
    <w:pPr>
      <w:spacing w:before="240" w:after="120"/>
      <w:outlineLvl w:val="0"/>
    </w:pPr>
    <w:rPr>
      <w:rFonts w:ascii="Times New Roman" w:hAnsi="Times New Roman"/>
      <w:b/>
      <w:sz w:val="32"/>
    </w:rPr>
  </w:style>
  <w:style w:type="paragraph" w:customStyle="1" w:styleId="AllowPageBreak">
    <w:name w:val="AllowPageBreak"/>
    <w:rsid w:val="00CA26E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A26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26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26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26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26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26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26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26E5"/>
    <w:rPr>
      <w:rFonts w:ascii="Courier New" w:eastAsia="Times New Roman" w:hAnsi="Courier New" w:cs="Times New Roman"/>
      <w:i/>
      <w:szCs w:val="20"/>
      <w:lang w:eastAsia="en-US"/>
    </w:rPr>
  </w:style>
  <w:style w:type="paragraph" w:customStyle="1" w:styleId="HeadingBase">
    <w:name w:val="Heading Base"/>
    <w:rsid w:val="00CA26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26E5"/>
    <w:pPr>
      <w:tabs>
        <w:tab w:val="right" w:leader="dot" w:pos="9072"/>
      </w:tabs>
      <w:ind w:left="567"/>
    </w:pPr>
    <w:rPr>
      <w:szCs w:val="22"/>
    </w:rPr>
  </w:style>
  <w:style w:type="paragraph" w:customStyle="1" w:styleId="TOCBase">
    <w:name w:val="TOC Base"/>
    <w:rsid w:val="00CA26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26E5"/>
    <w:pPr>
      <w:tabs>
        <w:tab w:val="right" w:leader="dot" w:pos="9072"/>
      </w:tabs>
      <w:spacing w:before="40" w:after="40"/>
      <w:ind w:left="284"/>
    </w:pPr>
    <w:rPr>
      <w:rFonts w:ascii="Times New Roman" w:hAnsi="Times New Roman"/>
    </w:rPr>
  </w:style>
  <w:style w:type="paragraph" w:styleId="TOC1">
    <w:name w:val="toc 1"/>
    <w:basedOn w:val="TOCBase"/>
    <w:next w:val="Normal"/>
    <w:rsid w:val="00CA26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26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26E5"/>
    <w:rPr>
      <w:rFonts w:ascii="Times New Roman" w:eastAsia="Times New Roman" w:hAnsi="Times New Roman" w:cs="Times New Roman"/>
      <w:sz w:val="16"/>
      <w:lang w:eastAsia="en-US"/>
    </w:rPr>
  </w:style>
  <w:style w:type="paragraph" w:styleId="Title">
    <w:name w:val="Title"/>
    <w:basedOn w:val="HeadingBase"/>
    <w:link w:val="TitleChar"/>
    <w:qFormat/>
    <w:rsid w:val="00CA26E5"/>
    <w:pPr>
      <w:spacing w:before="5040"/>
      <w:jc w:val="center"/>
    </w:pPr>
    <w:rPr>
      <w:sz w:val="48"/>
      <w:szCs w:val="72"/>
      <w:lang w:val="en-US"/>
    </w:rPr>
  </w:style>
  <w:style w:type="character" w:customStyle="1" w:styleId="TitleChar">
    <w:name w:val="Title Char"/>
    <w:basedOn w:val="DefaultParagraphFont"/>
    <w:link w:val="Title"/>
    <w:rsid w:val="00CA26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26E5"/>
    <w:pPr>
      <w:tabs>
        <w:tab w:val="left" w:pos="3600"/>
        <w:tab w:val="left" w:pos="3958"/>
      </w:tabs>
    </w:pPr>
  </w:style>
  <w:style w:type="paragraph" w:styleId="List">
    <w:name w:val="List"/>
    <w:basedOn w:val="BodyText"/>
    <w:next w:val="BodyText"/>
    <w:rsid w:val="00CA26E5"/>
    <w:pPr>
      <w:tabs>
        <w:tab w:val="left" w:pos="340"/>
      </w:tabs>
      <w:spacing w:before="60" w:after="60"/>
      <w:ind w:left="340" w:hanging="340"/>
    </w:pPr>
  </w:style>
  <w:style w:type="paragraph" w:styleId="ListBullet">
    <w:name w:val="List Bullet"/>
    <w:basedOn w:val="List"/>
    <w:rsid w:val="00CA26E5"/>
    <w:pPr>
      <w:numPr>
        <w:numId w:val="10"/>
      </w:numPr>
      <w:tabs>
        <w:tab w:val="clear" w:pos="340"/>
      </w:tabs>
      <w:spacing w:before="40" w:after="40"/>
    </w:pPr>
  </w:style>
  <w:style w:type="paragraph" w:customStyle="1" w:styleId="Note">
    <w:name w:val="Note"/>
    <w:basedOn w:val="BodyText"/>
    <w:rsid w:val="00CA26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26E5"/>
    <w:pPr>
      <w:framePr w:wrap="auto" w:hAnchor="text" w:y="6049"/>
    </w:pPr>
    <w:rPr>
      <w:color w:val="000000"/>
      <w:sz w:val="40"/>
    </w:rPr>
  </w:style>
  <w:style w:type="paragraph" w:customStyle="1" w:styleId="TOCTitle">
    <w:name w:val="TOCTitle"/>
    <w:basedOn w:val="Heading1"/>
    <w:rsid w:val="00CA26E5"/>
    <w:pPr>
      <w:spacing w:after="240"/>
      <w:jc w:val="center"/>
      <w:outlineLvl w:val="9"/>
    </w:pPr>
    <w:rPr>
      <w:caps/>
    </w:rPr>
  </w:style>
  <w:style w:type="paragraph" w:customStyle="1" w:styleId="Version">
    <w:name w:val="Version"/>
    <w:rsid w:val="00CA26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26E5"/>
    <w:pPr>
      <w:numPr>
        <w:numId w:val="11"/>
      </w:numPr>
      <w:tabs>
        <w:tab w:val="clear" w:pos="680"/>
      </w:tabs>
    </w:pPr>
  </w:style>
  <w:style w:type="paragraph" w:styleId="Index1">
    <w:name w:val="index 1"/>
    <w:basedOn w:val="Normal"/>
    <w:next w:val="Normal"/>
    <w:semiHidden/>
    <w:rsid w:val="00CA26E5"/>
    <w:pPr>
      <w:keepNext w:val="0"/>
      <w:tabs>
        <w:tab w:val="right" w:pos="4176"/>
      </w:tabs>
      <w:ind w:left="198" w:hanging="198"/>
    </w:pPr>
    <w:rPr>
      <w:rFonts w:ascii="Garamond" w:hAnsi="Garamond"/>
    </w:rPr>
  </w:style>
  <w:style w:type="paragraph" w:styleId="IndexHeading">
    <w:name w:val="index heading"/>
    <w:basedOn w:val="Normal"/>
    <w:next w:val="Index1"/>
    <w:semiHidden/>
    <w:rsid w:val="00CA26E5"/>
    <w:pPr>
      <w:spacing w:before="120" w:after="120"/>
    </w:pPr>
    <w:rPr>
      <w:rFonts w:ascii="Arial" w:hAnsi="Arial"/>
      <w:b/>
      <w:color w:val="918585"/>
      <w:sz w:val="24"/>
    </w:rPr>
  </w:style>
  <w:style w:type="paragraph" w:styleId="Header">
    <w:name w:val="header"/>
    <w:basedOn w:val="Normal"/>
    <w:link w:val="HeaderChar"/>
    <w:rsid w:val="00CA26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26E5"/>
    <w:rPr>
      <w:rFonts w:ascii="Times New Roman" w:eastAsia="Times New Roman" w:hAnsi="Times New Roman" w:cs="Times New Roman"/>
      <w:sz w:val="16"/>
      <w:szCs w:val="20"/>
      <w:lang w:val="en-GB" w:eastAsia="en-US"/>
    </w:rPr>
  </w:style>
  <w:style w:type="paragraph" w:customStyle="1" w:styleId="Chapter">
    <w:name w:val="Chapter"/>
    <w:basedOn w:val="Normal"/>
    <w:rsid w:val="00CA26E5"/>
    <w:pPr>
      <w:spacing w:before="240"/>
    </w:pPr>
    <w:rPr>
      <w:rFonts w:ascii="Times New Roman" w:hAnsi="Times New Roman"/>
      <w:smallCaps/>
      <w:spacing w:val="80"/>
      <w:sz w:val="28"/>
    </w:rPr>
  </w:style>
  <w:style w:type="paragraph" w:customStyle="1" w:styleId="InChapter">
    <w:name w:val="InChapter"/>
    <w:basedOn w:val="Heading3"/>
    <w:rsid w:val="00CA26E5"/>
    <w:pPr>
      <w:spacing w:after="240"/>
      <w:outlineLvl w:val="9"/>
    </w:pPr>
    <w:rPr>
      <w:noProof/>
    </w:rPr>
  </w:style>
  <w:style w:type="paragraph" w:styleId="Index2">
    <w:name w:val="index 2"/>
    <w:basedOn w:val="Normal"/>
    <w:next w:val="Normal"/>
    <w:semiHidden/>
    <w:rsid w:val="00CA26E5"/>
    <w:pPr>
      <w:tabs>
        <w:tab w:val="right" w:pos="4176"/>
      </w:tabs>
      <w:ind w:left="568" w:hanging="284"/>
    </w:pPr>
    <w:rPr>
      <w:rFonts w:ascii="Garamond" w:hAnsi="Garamond"/>
    </w:rPr>
  </w:style>
  <w:style w:type="paragraph" w:customStyle="1" w:styleId="Byline">
    <w:name w:val="Byline"/>
    <w:rsid w:val="00CA26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26E5"/>
    <w:pPr>
      <w:tabs>
        <w:tab w:val="clear" w:pos="3600"/>
        <w:tab w:val="clear" w:pos="3958"/>
      </w:tabs>
      <w:jc w:val="right"/>
    </w:pPr>
  </w:style>
  <w:style w:type="character" w:styleId="Emphasis">
    <w:name w:val="Emphasis"/>
    <w:basedOn w:val="DefaultParagraphFont"/>
    <w:qFormat/>
    <w:rsid w:val="00CA26E5"/>
    <w:rPr>
      <w:i/>
    </w:rPr>
  </w:style>
  <w:style w:type="paragraph" w:styleId="Caption">
    <w:name w:val="caption"/>
    <w:basedOn w:val="BodyText"/>
    <w:next w:val="Normal"/>
    <w:qFormat/>
    <w:rsid w:val="00CA26E5"/>
    <w:pPr>
      <w:framePr w:w="2268" w:hSpace="181" w:vSpace="181" w:wrap="around" w:vAnchor="text" w:hAnchor="page" w:x="1135" w:y="285" w:anchorLock="1"/>
    </w:pPr>
    <w:rPr>
      <w:i/>
    </w:rPr>
  </w:style>
  <w:style w:type="paragraph" w:customStyle="1" w:styleId="MiniTOCTitle">
    <w:name w:val="MiniTOCTitle"/>
    <w:basedOn w:val="Heading4"/>
    <w:rsid w:val="00CA26E5"/>
    <w:pPr>
      <w:spacing w:before="240"/>
      <w:outlineLvl w:val="9"/>
    </w:pPr>
    <w:rPr>
      <w:noProof/>
      <w:sz w:val="24"/>
    </w:rPr>
  </w:style>
  <w:style w:type="paragraph" w:customStyle="1" w:styleId="MiniTOCItem">
    <w:name w:val="MiniTOCItem"/>
    <w:basedOn w:val="ListBullet"/>
    <w:rsid w:val="00CA26E5"/>
    <w:pPr>
      <w:numPr>
        <w:numId w:val="0"/>
      </w:numPr>
      <w:tabs>
        <w:tab w:val="right" w:leader="dot" w:pos="6521"/>
      </w:tabs>
      <w:spacing w:before="0" w:after="0"/>
    </w:pPr>
  </w:style>
  <w:style w:type="paragraph" w:customStyle="1" w:styleId="TOFTitle">
    <w:name w:val="TOFTitle"/>
    <w:basedOn w:val="TOCTitle"/>
    <w:rsid w:val="00CA26E5"/>
  </w:style>
  <w:style w:type="paragraph" w:styleId="TableofFigures">
    <w:name w:val="table of figures"/>
    <w:basedOn w:val="Normal"/>
    <w:next w:val="Normal"/>
    <w:semiHidden/>
    <w:rsid w:val="00CA26E5"/>
    <w:pPr>
      <w:tabs>
        <w:tab w:val="right" w:leader="dot" w:pos="9072"/>
      </w:tabs>
      <w:ind w:left="970" w:hanging="403"/>
    </w:pPr>
    <w:rPr>
      <w:rFonts w:ascii="Times New Roman" w:hAnsi="Times New Roman"/>
      <w:b/>
    </w:rPr>
  </w:style>
  <w:style w:type="paragraph" w:styleId="ListNumber">
    <w:name w:val="List Number"/>
    <w:basedOn w:val="List"/>
    <w:rsid w:val="00CA26E5"/>
    <w:pPr>
      <w:numPr>
        <w:numId w:val="13"/>
      </w:numPr>
      <w:tabs>
        <w:tab w:val="clear" w:pos="340"/>
      </w:tabs>
    </w:pPr>
  </w:style>
  <w:style w:type="character" w:customStyle="1" w:styleId="WingdingSymbols">
    <w:name w:val="Wingding Symbols"/>
    <w:rsid w:val="00CA26E5"/>
    <w:rPr>
      <w:rFonts w:ascii="Wingdings" w:hAnsi="Wingdings"/>
    </w:rPr>
  </w:style>
  <w:style w:type="paragraph" w:customStyle="1" w:styleId="TableHeading">
    <w:name w:val="Table Heading"/>
    <w:basedOn w:val="HeadingBase"/>
    <w:rsid w:val="00CA26E5"/>
    <w:pPr>
      <w:keepLines/>
      <w:pBdr>
        <w:bottom w:val="single" w:sz="6" w:space="1" w:color="918585"/>
      </w:pBdr>
      <w:spacing w:before="240"/>
    </w:pPr>
  </w:style>
  <w:style w:type="character" w:customStyle="1" w:styleId="HotSpot">
    <w:name w:val="HotSpot"/>
    <w:rsid w:val="00CA26E5"/>
    <w:rPr>
      <w:color w:val="0033CC"/>
      <w:u w:val="none"/>
    </w:rPr>
  </w:style>
  <w:style w:type="paragraph" w:customStyle="1" w:styleId="BodyTextRight">
    <w:name w:val="Body Text Right"/>
    <w:basedOn w:val="BodyText"/>
    <w:rsid w:val="00CA26E5"/>
    <w:pPr>
      <w:spacing w:before="0" w:after="0"/>
      <w:jc w:val="right"/>
    </w:pPr>
  </w:style>
  <w:style w:type="paragraph" w:styleId="Index3">
    <w:name w:val="index 3"/>
    <w:basedOn w:val="ListNumber2"/>
    <w:next w:val="Normal"/>
    <w:semiHidden/>
    <w:rsid w:val="00CA26E5"/>
    <w:pPr>
      <w:numPr>
        <w:numId w:val="0"/>
      </w:numPr>
      <w:tabs>
        <w:tab w:val="right" w:leader="dot" w:pos="4176"/>
      </w:tabs>
    </w:pPr>
  </w:style>
  <w:style w:type="paragraph" w:styleId="ListNumber2">
    <w:name w:val="List Number 2"/>
    <w:basedOn w:val="List2"/>
    <w:rsid w:val="00CA26E5"/>
    <w:pPr>
      <w:numPr>
        <w:numId w:val="8"/>
      </w:numPr>
      <w:tabs>
        <w:tab w:val="clear" w:pos="1060"/>
      </w:tabs>
    </w:pPr>
  </w:style>
  <w:style w:type="paragraph" w:customStyle="1" w:styleId="MarginNote">
    <w:name w:val="Margin Note"/>
    <w:basedOn w:val="BodyText"/>
    <w:rsid w:val="00CA26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26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26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26E5"/>
    <w:rPr>
      <w:sz w:val="32"/>
    </w:rPr>
  </w:style>
  <w:style w:type="paragraph" w:customStyle="1" w:styleId="HeadingProcedure">
    <w:name w:val="Heading Procedure"/>
    <w:basedOn w:val="HeadingBase"/>
    <w:next w:val="Normal"/>
    <w:rsid w:val="00CA26E5"/>
    <w:pPr>
      <w:tabs>
        <w:tab w:val="left" w:pos="0"/>
      </w:tabs>
      <w:spacing w:before="120" w:after="60"/>
    </w:pPr>
    <w:rPr>
      <w:i/>
      <w:color w:val="918585"/>
      <w:sz w:val="22"/>
    </w:rPr>
  </w:style>
  <w:style w:type="paragraph" w:customStyle="1" w:styleId="TableBodyText">
    <w:name w:val="Table Body Text"/>
    <w:basedOn w:val="BodyText"/>
    <w:rsid w:val="00CA26E5"/>
    <w:pPr>
      <w:spacing w:before="60" w:after="60"/>
    </w:pPr>
  </w:style>
  <w:style w:type="paragraph" w:styleId="ListContinue">
    <w:name w:val="List Continue"/>
    <w:basedOn w:val="List"/>
    <w:rsid w:val="00CA26E5"/>
    <w:pPr>
      <w:ind w:firstLine="0"/>
    </w:pPr>
  </w:style>
  <w:style w:type="paragraph" w:customStyle="1" w:styleId="ListNote">
    <w:name w:val="List Note"/>
    <w:basedOn w:val="List"/>
    <w:rsid w:val="00CA26E5"/>
    <w:pPr>
      <w:pBdr>
        <w:top w:val="single" w:sz="6" w:space="2" w:color="918585"/>
        <w:bottom w:val="single" w:sz="6" w:space="2" w:color="918585"/>
      </w:pBdr>
      <w:tabs>
        <w:tab w:val="left" w:pos="1021"/>
      </w:tabs>
      <w:ind w:firstLine="0"/>
    </w:pPr>
  </w:style>
  <w:style w:type="paragraph" w:customStyle="1" w:styleId="Warning">
    <w:name w:val="Warning"/>
    <w:basedOn w:val="BodyText"/>
    <w:rsid w:val="00CA26E5"/>
    <w:pPr>
      <w:shd w:val="clear" w:color="auto" w:fill="D9D9D9"/>
      <w:tabs>
        <w:tab w:val="left" w:pos="992"/>
      </w:tabs>
      <w:ind w:left="119" w:right="119"/>
    </w:pPr>
    <w:rPr>
      <w:sz w:val="20"/>
    </w:rPr>
  </w:style>
  <w:style w:type="paragraph" w:customStyle="1" w:styleId="MarginIcons">
    <w:name w:val="Margin Icons"/>
    <w:basedOn w:val="BodyText"/>
    <w:rsid w:val="00CA26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26E5"/>
    <w:rPr>
      <w:rFonts w:ascii="Courier New" w:hAnsi="Courier New"/>
    </w:rPr>
  </w:style>
  <w:style w:type="paragraph" w:customStyle="1" w:styleId="NoteBullet">
    <w:name w:val="Note Bullet"/>
    <w:basedOn w:val="Note"/>
    <w:rsid w:val="00CA26E5"/>
    <w:pPr>
      <w:tabs>
        <w:tab w:val="clear" w:pos="680"/>
      </w:tabs>
      <w:spacing w:before="60" w:after="60"/>
    </w:pPr>
  </w:style>
  <w:style w:type="paragraph" w:customStyle="1" w:styleId="SubHeading2">
    <w:name w:val="SubHeading2"/>
    <w:basedOn w:val="HeadingBase"/>
    <w:rsid w:val="00CA26E5"/>
    <w:pPr>
      <w:spacing w:before="240" w:after="60"/>
    </w:pPr>
    <w:rPr>
      <w:sz w:val="20"/>
    </w:rPr>
  </w:style>
  <w:style w:type="paragraph" w:customStyle="1" w:styleId="SubHeading1">
    <w:name w:val="SubHeading1"/>
    <w:basedOn w:val="HeadingBase"/>
    <w:rsid w:val="00CA26E5"/>
    <w:pPr>
      <w:spacing w:before="240" w:after="60"/>
    </w:pPr>
    <w:rPr>
      <w:color w:val="918585"/>
      <w:sz w:val="22"/>
    </w:rPr>
  </w:style>
  <w:style w:type="paragraph" w:customStyle="1" w:styleId="SideHeading">
    <w:name w:val="Side Heading"/>
    <w:basedOn w:val="HeadingBase"/>
    <w:rsid w:val="00CA26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26E5"/>
    <w:pPr>
      <w:numPr>
        <w:numId w:val="9"/>
      </w:numPr>
    </w:pPr>
  </w:style>
  <w:style w:type="paragraph" w:styleId="PlainText">
    <w:name w:val="Plain Text"/>
    <w:basedOn w:val="Normal"/>
    <w:link w:val="PlainTextChar"/>
    <w:rsid w:val="00CA26E5"/>
    <w:rPr>
      <w:sz w:val="20"/>
    </w:rPr>
  </w:style>
  <w:style w:type="character" w:customStyle="1" w:styleId="PlainTextChar">
    <w:name w:val="Plain Text Char"/>
    <w:basedOn w:val="DefaultParagraphFont"/>
    <w:link w:val="PlainText"/>
    <w:rsid w:val="00CA26E5"/>
    <w:rPr>
      <w:rFonts w:ascii="Courier New" w:eastAsia="Times New Roman" w:hAnsi="Courier New" w:cs="Times New Roman"/>
      <w:sz w:val="20"/>
      <w:szCs w:val="20"/>
      <w:lang w:eastAsia="en-US"/>
    </w:rPr>
  </w:style>
  <w:style w:type="character" w:customStyle="1" w:styleId="MenuOption">
    <w:name w:val="Menu Option"/>
    <w:basedOn w:val="DefaultParagraphFont"/>
    <w:rsid w:val="00CA26E5"/>
    <w:rPr>
      <w:b/>
      <w:smallCaps/>
    </w:rPr>
  </w:style>
  <w:style w:type="paragraph" w:customStyle="1" w:styleId="TableListNumber">
    <w:name w:val="Table List Number"/>
    <w:basedOn w:val="ListNumber"/>
    <w:rsid w:val="00CA26E5"/>
    <w:pPr>
      <w:numPr>
        <w:numId w:val="0"/>
      </w:numPr>
    </w:pPr>
  </w:style>
  <w:style w:type="paragraph" w:styleId="TOC4">
    <w:name w:val="toc 4"/>
    <w:basedOn w:val="TOCBase"/>
    <w:next w:val="Normal"/>
    <w:semiHidden/>
    <w:rsid w:val="00CA26E5"/>
    <w:pPr>
      <w:tabs>
        <w:tab w:val="right" w:leader="dot" w:pos="9071"/>
      </w:tabs>
      <w:ind w:left="1701"/>
    </w:pPr>
  </w:style>
  <w:style w:type="paragraph" w:customStyle="1" w:styleId="ListAlpha">
    <w:name w:val="List Alpha"/>
    <w:basedOn w:val="List"/>
    <w:rsid w:val="00CA26E5"/>
    <w:pPr>
      <w:numPr>
        <w:numId w:val="7"/>
      </w:numPr>
    </w:pPr>
  </w:style>
  <w:style w:type="paragraph" w:customStyle="1" w:styleId="ListAlpha2">
    <w:name w:val="List Alpha 2"/>
    <w:basedOn w:val="List2"/>
    <w:rsid w:val="00CA26E5"/>
    <w:pPr>
      <w:numPr>
        <w:numId w:val="6"/>
      </w:numPr>
    </w:pPr>
  </w:style>
  <w:style w:type="paragraph" w:styleId="List2">
    <w:name w:val="List 2"/>
    <w:basedOn w:val="BodyText"/>
    <w:rsid w:val="00CA26E5"/>
    <w:pPr>
      <w:tabs>
        <w:tab w:val="left" w:pos="680"/>
      </w:tabs>
      <w:spacing w:before="60" w:after="60"/>
      <w:ind w:left="680" w:hanging="340"/>
    </w:pPr>
  </w:style>
  <w:style w:type="paragraph" w:styleId="List3">
    <w:name w:val="List 3"/>
    <w:basedOn w:val="BodyText"/>
    <w:rsid w:val="00CA26E5"/>
    <w:pPr>
      <w:tabs>
        <w:tab w:val="left" w:pos="1021"/>
      </w:tabs>
      <w:spacing w:before="60" w:after="60"/>
      <w:ind w:left="1020" w:hanging="340"/>
    </w:pPr>
  </w:style>
  <w:style w:type="paragraph" w:styleId="List4">
    <w:name w:val="List 4"/>
    <w:basedOn w:val="BodyText"/>
    <w:rsid w:val="00CA26E5"/>
    <w:pPr>
      <w:tabs>
        <w:tab w:val="left" w:pos="1361"/>
      </w:tabs>
      <w:spacing w:before="60" w:after="60"/>
      <w:ind w:left="1361" w:hanging="340"/>
    </w:pPr>
  </w:style>
  <w:style w:type="paragraph" w:styleId="List5">
    <w:name w:val="List 5"/>
    <w:basedOn w:val="BodyText"/>
    <w:rsid w:val="00CA26E5"/>
    <w:pPr>
      <w:tabs>
        <w:tab w:val="left" w:pos="1701"/>
      </w:tabs>
      <w:spacing w:before="60" w:after="60"/>
      <w:ind w:left="1701" w:hanging="340"/>
    </w:pPr>
  </w:style>
  <w:style w:type="paragraph" w:styleId="ListBullet3">
    <w:name w:val="List Bullet 3"/>
    <w:basedOn w:val="List3"/>
    <w:rsid w:val="00CA26E5"/>
    <w:pPr>
      <w:numPr>
        <w:numId w:val="12"/>
      </w:numPr>
      <w:tabs>
        <w:tab w:val="clear" w:pos="1021"/>
      </w:tabs>
      <w:ind w:left="1037" w:hanging="357"/>
    </w:pPr>
  </w:style>
  <w:style w:type="paragraph" w:styleId="ListBullet4">
    <w:name w:val="List Bullet 4"/>
    <w:basedOn w:val="List4"/>
    <w:rsid w:val="00CA26E5"/>
    <w:pPr>
      <w:numPr>
        <w:numId w:val="1"/>
      </w:numPr>
      <w:tabs>
        <w:tab w:val="clear" w:pos="1361"/>
      </w:tabs>
    </w:pPr>
  </w:style>
  <w:style w:type="paragraph" w:styleId="ListBullet5">
    <w:name w:val="List Bullet 5"/>
    <w:basedOn w:val="List5"/>
    <w:rsid w:val="00CA26E5"/>
    <w:pPr>
      <w:numPr>
        <w:numId w:val="2"/>
      </w:numPr>
    </w:pPr>
  </w:style>
  <w:style w:type="paragraph" w:styleId="ListContinue2">
    <w:name w:val="List Continue 2"/>
    <w:basedOn w:val="List2"/>
    <w:rsid w:val="00CA26E5"/>
    <w:pPr>
      <w:ind w:firstLine="0"/>
    </w:pPr>
  </w:style>
  <w:style w:type="paragraph" w:styleId="ListContinue3">
    <w:name w:val="List Continue 3"/>
    <w:basedOn w:val="List3"/>
    <w:rsid w:val="00CA26E5"/>
    <w:pPr>
      <w:ind w:left="1021" w:firstLine="0"/>
    </w:pPr>
  </w:style>
  <w:style w:type="paragraph" w:styleId="ListContinue4">
    <w:name w:val="List Continue 4"/>
    <w:basedOn w:val="List4"/>
    <w:rsid w:val="00CA26E5"/>
    <w:pPr>
      <w:ind w:firstLine="0"/>
    </w:pPr>
  </w:style>
  <w:style w:type="paragraph" w:styleId="ListContinue5">
    <w:name w:val="List Continue 5"/>
    <w:basedOn w:val="List5"/>
    <w:rsid w:val="00CA26E5"/>
    <w:pPr>
      <w:ind w:firstLine="0"/>
    </w:pPr>
  </w:style>
  <w:style w:type="paragraph" w:styleId="ListNumber3">
    <w:name w:val="List Number 3"/>
    <w:basedOn w:val="List3"/>
    <w:rsid w:val="00CA26E5"/>
    <w:pPr>
      <w:numPr>
        <w:numId w:val="3"/>
      </w:numPr>
    </w:pPr>
  </w:style>
  <w:style w:type="paragraph" w:styleId="ListNumber4">
    <w:name w:val="List Number 4"/>
    <w:basedOn w:val="List4"/>
    <w:rsid w:val="00CA26E5"/>
    <w:pPr>
      <w:numPr>
        <w:numId w:val="4"/>
      </w:numPr>
    </w:pPr>
  </w:style>
  <w:style w:type="paragraph" w:styleId="ListNumber5">
    <w:name w:val="List Number 5"/>
    <w:basedOn w:val="List5"/>
    <w:rsid w:val="00CA26E5"/>
    <w:pPr>
      <w:numPr>
        <w:numId w:val="5"/>
      </w:numPr>
    </w:pPr>
  </w:style>
  <w:style w:type="paragraph" w:styleId="BlockText">
    <w:name w:val="Block Text"/>
    <w:basedOn w:val="Normal"/>
    <w:rsid w:val="00CA26E5"/>
    <w:pPr>
      <w:spacing w:after="120"/>
      <w:ind w:left="1440" w:right="1440"/>
    </w:pPr>
  </w:style>
  <w:style w:type="character" w:customStyle="1" w:styleId="Subscript">
    <w:name w:val="Subscript"/>
    <w:basedOn w:val="DefaultParagraphFont"/>
    <w:rsid w:val="00CA26E5"/>
    <w:rPr>
      <w:sz w:val="16"/>
      <w:vertAlign w:val="subscript"/>
    </w:rPr>
  </w:style>
  <w:style w:type="character" w:customStyle="1" w:styleId="Superscript">
    <w:name w:val="Superscript"/>
    <w:basedOn w:val="DefaultParagraphFont"/>
    <w:rsid w:val="00CA26E5"/>
    <w:rPr>
      <w:sz w:val="16"/>
      <w:vertAlign w:val="superscript"/>
    </w:rPr>
  </w:style>
  <w:style w:type="character" w:customStyle="1" w:styleId="Symbols">
    <w:name w:val="Symbols"/>
    <w:basedOn w:val="DefaultParagraphFont"/>
    <w:rsid w:val="00CA26E5"/>
    <w:rPr>
      <w:rFonts w:ascii="Symbol" w:hAnsi="Symbol"/>
    </w:rPr>
  </w:style>
  <w:style w:type="character" w:customStyle="1" w:styleId="MenuOptions">
    <w:name w:val="Menu Options"/>
    <w:basedOn w:val="DefaultParagraphFont"/>
    <w:rsid w:val="00CA26E5"/>
    <w:rPr>
      <w:rFonts w:ascii="Arial Narrow" w:hAnsi="Arial Narrow"/>
      <w:smallCaps/>
    </w:rPr>
  </w:style>
  <w:style w:type="character" w:customStyle="1" w:styleId="Buttons">
    <w:name w:val="Buttons"/>
    <w:basedOn w:val="DefaultParagraphFont"/>
    <w:rsid w:val="00CA26E5"/>
    <w:rPr>
      <w:b/>
    </w:rPr>
  </w:style>
  <w:style w:type="character" w:customStyle="1" w:styleId="Underlined">
    <w:name w:val="Underlined"/>
    <w:basedOn w:val="DefaultParagraphFont"/>
    <w:rsid w:val="00CA26E5"/>
    <w:rPr>
      <w:u w:val="single"/>
    </w:rPr>
  </w:style>
  <w:style w:type="paragraph" w:customStyle="1" w:styleId="TableBodyTextRight">
    <w:name w:val="Table Body Text Right"/>
    <w:basedOn w:val="TableBodyText"/>
    <w:rsid w:val="00CA26E5"/>
    <w:pPr>
      <w:widowControl w:val="0"/>
      <w:autoSpaceDE w:val="0"/>
      <w:autoSpaceDN w:val="0"/>
      <w:adjustRightInd w:val="0"/>
      <w:jc w:val="right"/>
    </w:pPr>
    <w:rPr>
      <w:rFonts w:cs="Arial"/>
      <w:szCs w:val="18"/>
    </w:rPr>
  </w:style>
  <w:style w:type="paragraph" w:customStyle="1" w:styleId="CopyrightText">
    <w:name w:val="Copyright Text"/>
    <w:basedOn w:val="BodyText"/>
    <w:rsid w:val="00CA26E5"/>
    <w:rPr>
      <w:sz w:val="18"/>
    </w:rPr>
  </w:style>
  <w:style w:type="paragraph" w:customStyle="1" w:styleId="BodySmallRight">
    <w:name w:val="Body Small Right"/>
    <w:basedOn w:val="BodyTextRight"/>
    <w:rsid w:val="00CA26E5"/>
    <w:rPr>
      <w:sz w:val="18"/>
      <w:szCs w:val="18"/>
    </w:rPr>
  </w:style>
  <w:style w:type="paragraph" w:customStyle="1" w:styleId="MarginEdition">
    <w:name w:val="Margin Edition"/>
    <w:basedOn w:val="MarginNote"/>
    <w:rsid w:val="00CA26E5"/>
    <w:pPr>
      <w:spacing w:before="0" w:after="0"/>
    </w:pPr>
    <w:rPr>
      <w:rFonts w:ascii="Times New Roman" w:hAnsi="Times New Roman"/>
      <w:color w:val="999999"/>
    </w:rPr>
  </w:style>
  <w:style w:type="paragraph" w:customStyle="1" w:styleId="Spacer">
    <w:name w:val="Spacer"/>
    <w:basedOn w:val="Normal"/>
    <w:rsid w:val="00CA26E5"/>
    <w:rPr>
      <w:sz w:val="2"/>
      <w:szCs w:val="2"/>
    </w:rPr>
  </w:style>
  <w:style w:type="character" w:customStyle="1" w:styleId="Small">
    <w:name w:val="Small"/>
    <w:basedOn w:val="DefaultParagraphFont"/>
    <w:rsid w:val="00CA26E5"/>
    <w:rPr>
      <w:sz w:val="16"/>
    </w:rPr>
  </w:style>
  <w:style w:type="paragraph" w:customStyle="1" w:styleId="WideTable">
    <w:name w:val="Wide Table"/>
    <w:basedOn w:val="Normal"/>
    <w:rsid w:val="00CA26E5"/>
    <w:pPr>
      <w:ind w:left="-1418"/>
    </w:pPr>
    <w:rPr>
      <w:sz w:val="2"/>
      <w:szCs w:val="2"/>
    </w:rPr>
  </w:style>
  <w:style w:type="character" w:styleId="PageNumber">
    <w:name w:val="page number"/>
    <w:basedOn w:val="DefaultParagraphFont"/>
    <w:rsid w:val="00CA26E5"/>
  </w:style>
  <w:style w:type="paragraph" w:styleId="Quote">
    <w:name w:val="Quote"/>
    <w:basedOn w:val="Heading1"/>
    <w:link w:val="QuoteChar"/>
    <w:qFormat/>
    <w:rsid w:val="00CA26E5"/>
    <w:rPr>
      <w:b w:val="0"/>
      <w:sz w:val="72"/>
      <w:szCs w:val="72"/>
      <w:lang w:val="en-NZ"/>
    </w:rPr>
  </w:style>
  <w:style w:type="character" w:customStyle="1" w:styleId="QuoteChar">
    <w:name w:val="Quote Char"/>
    <w:basedOn w:val="DefaultParagraphFont"/>
    <w:link w:val="Quote"/>
    <w:rsid w:val="00CA26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26E5"/>
    <w:pPr>
      <w:pageBreakBefore/>
    </w:pPr>
  </w:style>
  <w:style w:type="paragraph" w:customStyle="1" w:styleId="Border">
    <w:name w:val="Border"/>
    <w:basedOn w:val="Normal"/>
    <w:qFormat/>
    <w:rsid w:val="00CA26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26E5"/>
    <w:rPr>
      <w:b/>
      <w:bCs/>
      <w:i/>
      <w:iCs/>
      <w:color w:val="auto"/>
    </w:rPr>
  </w:style>
  <w:style w:type="paragraph" w:styleId="IntenseQuote">
    <w:name w:val="Intense Quote"/>
    <w:basedOn w:val="Normal"/>
    <w:next w:val="Normal"/>
    <w:link w:val="IntenseQuoteChar"/>
    <w:uiPriority w:val="30"/>
    <w:qFormat/>
    <w:rsid w:val="00CA26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26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26E5"/>
    <w:rPr>
      <w:smallCaps/>
      <w:color w:val="auto"/>
      <w:u w:val="single"/>
    </w:rPr>
  </w:style>
  <w:style w:type="character" w:styleId="IntenseReference">
    <w:name w:val="Intense Reference"/>
    <w:basedOn w:val="DefaultParagraphFont"/>
    <w:uiPriority w:val="32"/>
    <w:qFormat/>
    <w:rsid w:val="00CA26E5"/>
    <w:rPr>
      <w:b/>
      <w:bCs/>
      <w:smallCaps/>
      <w:color w:val="auto"/>
      <w:spacing w:val="5"/>
      <w:u w:val="single"/>
    </w:rPr>
  </w:style>
  <w:style w:type="paragraph" w:customStyle="1" w:styleId="2ColumnHeading">
    <w:name w:val="2Column Heading"/>
    <w:basedOn w:val="BodyText"/>
    <w:qFormat/>
    <w:rsid w:val="00CA26E5"/>
    <w:pPr>
      <w:spacing w:after="60"/>
      <w:ind w:left="-2268"/>
    </w:pPr>
    <w:rPr>
      <w:b/>
    </w:rPr>
  </w:style>
  <w:style w:type="paragraph" w:customStyle="1" w:styleId="Heading1TOC">
    <w:name w:val="Heading1 TOC"/>
    <w:basedOn w:val="Normal"/>
    <w:qFormat/>
    <w:rsid w:val="00CA26E5"/>
    <w:pPr>
      <w:spacing w:before="240" w:after="120"/>
    </w:pPr>
    <w:rPr>
      <w:rFonts w:ascii="Times New Roman" w:hAnsi="Times New Roman"/>
      <w:b/>
      <w:sz w:val="32"/>
    </w:rPr>
  </w:style>
  <w:style w:type="paragraph" w:customStyle="1" w:styleId="Heading2TOC">
    <w:name w:val="Heading2 TOC"/>
    <w:basedOn w:val="Normal"/>
    <w:qFormat/>
    <w:rsid w:val="00CA26E5"/>
    <w:pPr>
      <w:spacing w:before="240" w:after="60"/>
    </w:pPr>
    <w:rPr>
      <w:rFonts w:ascii="Times New Roman" w:hAnsi="Times New Roman"/>
      <w:b/>
      <w:sz w:val="28"/>
    </w:rPr>
  </w:style>
  <w:style w:type="character" w:customStyle="1" w:styleId="Underline">
    <w:name w:val="Underline"/>
    <w:basedOn w:val="DefaultParagraphFont"/>
    <w:qFormat/>
    <w:rsid w:val="00CA26E5"/>
    <w:rPr>
      <w:u w:val="single"/>
    </w:rPr>
  </w:style>
  <w:style w:type="character" w:customStyle="1" w:styleId="BoldandItalics">
    <w:name w:val="Bold and Italics"/>
    <w:qFormat/>
    <w:rsid w:val="00CA26E5"/>
    <w:rPr>
      <w:b/>
      <w:i/>
      <w:u w:val="none"/>
    </w:rPr>
  </w:style>
  <w:style w:type="paragraph" w:styleId="BalloonText">
    <w:name w:val="Balloon Text"/>
    <w:basedOn w:val="Normal"/>
    <w:link w:val="BalloonTextChar"/>
    <w:rsid w:val="00CA26E5"/>
    <w:rPr>
      <w:rFonts w:ascii="Tahoma" w:hAnsi="Tahoma" w:cs="Tahoma"/>
      <w:sz w:val="16"/>
      <w:szCs w:val="16"/>
    </w:rPr>
  </w:style>
  <w:style w:type="character" w:customStyle="1" w:styleId="BalloonTextChar">
    <w:name w:val="Balloon Text Char"/>
    <w:basedOn w:val="DefaultParagraphFont"/>
    <w:link w:val="BalloonText"/>
    <w:rsid w:val="00CA26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26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26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26E5"/>
    <w:rPr>
      <w:b/>
      <w:color w:val="660033"/>
      <w:spacing w:val="0"/>
    </w:rPr>
  </w:style>
  <w:style w:type="paragraph" w:customStyle="1" w:styleId="Nameditemlist">
    <w:name w:val="Named item list"/>
    <w:basedOn w:val="BodyText"/>
    <w:qFormat/>
    <w:rsid w:val="00CA26E5"/>
    <w:pPr>
      <w:tabs>
        <w:tab w:val="left" w:pos="2835"/>
      </w:tabs>
      <w:ind w:left="2835" w:hanging="2835"/>
    </w:pPr>
  </w:style>
  <w:style w:type="paragraph" w:customStyle="1" w:styleId="BodyTextnopadding">
    <w:name w:val="Body Text no padding"/>
    <w:basedOn w:val="BodyText"/>
    <w:qFormat/>
    <w:rsid w:val="00CA26E5"/>
    <w:pPr>
      <w:spacing w:before="0" w:after="0"/>
    </w:pPr>
  </w:style>
  <w:style w:type="paragraph" w:customStyle="1" w:styleId="BodyTextBold">
    <w:name w:val="Body Text Bold"/>
    <w:basedOn w:val="BodyText"/>
    <w:qFormat/>
    <w:rsid w:val="00CA26E5"/>
    <w:rPr>
      <w:b/>
    </w:rPr>
  </w:style>
  <w:style w:type="character" w:styleId="Hyperlink">
    <w:name w:val="Hyperlink"/>
    <w:basedOn w:val="DefaultParagraphFont"/>
    <w:uiPriority w:val="99"/>
    <w:unhideWhenUsed/>
    <w:rsid w:val="008634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559</Words>
  <Characters>3565</Characters>
  <Application>Microsoft Office Word</Application>
  <DocSecurity>0</DocSecurity>
  <Lines>162</Lines>
  <Paragraphs>79</Paragraphs>
  <ScaleCrop>false</ScaleCrop>
  <Company>Author-it Software Corporation Ltd.</Company>
  <LinksUpToDate>false</LinksUpToDate>
  <CharactersWithSpaces>4045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UEERE0050 Identify and isolate multiple supply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2024-11-29T00:57:00Z</dcterms:created>
  <dcterms:modified xsi:type="dcterms:W3CDTF">2024-11-29T00:57:00Z</dcterms:modified>
</cp:coreProperties>
</file>