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087" w:rsidP="00511087">
      <w:pPr>
        <w:pStyle w:val="Title"/>
      </w:pPr>
      <w:r>
        <w:fldChar w:fldCharType="begin"/>
      </w:r>
      <w:r>
        <w:instrText xml:space="preserve"> TITLE   \* MERGEFORMAT </w:instrText>
      </w:r>
      <w:r>
        <w:fldChar w:fldCharType="separate"/>
      </w:r>
      <w:r>
        <w:t>Assessment Requirements for UEERE0050 Identify and isolate multiple supply systems</w:t>
      </w:r>
      <w:r>
        <w:fldChar w:fldCharType="end"/>
      </w:r>
    </w:p>
    <w:p w:rsidR="00511087" w:rsidP="00511087">
      <w:pPr>
        <w:pStyle w:val="Version"/>
        <w:sectPr w:rsidSect="00B64C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C09" w:rsidP="00B64C09">
      <w:pPr>
        <w:pStyle w:val="SuperHeading"/>
      </w:pPr>
      <w:r w:rsidRPr="00B64C09">
        <w:t>Assessment Requirements for UEERE0050 Identify and isolate multiple supply systems</w:t>
      </w:r>
    </w:p>
    <w:p w:rsidR="00000000" w:rsidRPr="00B64C09" w:rsidP="00B64C09">
      <w:pPr>
        <w:pStyle w:val="Heading1"/>
      </w:pPr>
      <w:bookmarkStart w:id="1" w:name="O_1185264"/>
      <w:bookmarkEnd w:id="1"/>
      <w:r w:rsidRPr="00B64C09">
        <w:t>Modification History</w:t>
      </w:r>
    </w:p>
    <w:tbl>
      <w:tblPr>
        <w:tblW w:w="9497" w:type="dxa"/>
        <w:tblLayout w:type="fixed"/>
        <w:tblCellMar>
          <w:left w:w="62" w:type="dxa"/>
          <w:right w:w="62" w:type="dxa"/>
        </w:tblCellMar>
        <w:tblLook w:val="0000"/>
      </w:tblPr>
      <w:tblGrid>
        <w:gridCol w:w="9497"/>
      </w:tblGrid>
      <w:tr w:rsidTr="00B64C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C09" w:rsidP="00B64C09">
            <w:pPr>
              <w:pStyle w:val="BodyText"/>
            </w:pPr>
            <w:r w:rsidRPr="00B64C09">
              <w:t>Release 1. This is the first release of this unit of competency in the UEE Electrotechnology Training Package.</w:t>
            </w:r>
          </w:p>
        </w:tc>
      </w:tr>
    </w:tbl>
    <w:p w:rsidR="00000000" w:rsidRPr="00B64C09" w:rsidP="00B64C09">
      <w:pPr>
        <w:pStyle w:val="NoPaddingFontSize1"/>
      </w:pPr>
    </w:p>
    <w:p w:rsidR="00000000" w:rsidRPr="00B64C09" w:rsidP="00B64C09">
      <w:pPr>
        <w:pStyle w:val="AllowPageBreak"/>
      </w:pPr>
    </w:p>
    <w:p w:rsidR="00000000" w:rsidRPr="00B64C09" w:rsidP="00B64C09">
      <w:pPr>
        <w:pStyle w:val="Heading1"/>
      </w:pPr>
      <w:bookmarkStart w:id="2" w:name="O_1185265"/>
      <w:bookmarkEnd w:id="2"/>
      <w:r w:rsidRPr="00B64C09">
        <w:t>Performance Evidence</w:t>
      </w:r>
    </w:p>
    <w:tbl>
      <w:tblPr>
        <w:tblW w:w="9497" w:type="dxa"/>
        <w:tblLayout w:type="fixed"/>
        <w:tblCellMar>
          <w:left w:w="62" w:type="dxa"/>
          <w:right w:w="62" w:type="dxa"/>
        </w:tblCellMar>
        <w:tblLook w:val="0000"/>
      </w:tblPr>
      <w:tblGrid>
        <w:gridCol w:w="9497"/>
      </w:tblGrid>
      <w:tr w:rsidTr="00B64C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4C09">
            <w:pPr>
              <w:pStyle w:val="BodyText"/>
              <w:rPr>
                <w:lang w:val="en-NZ"/>
              </w:rPr>
            </w:pPr>
            <w:r w:rsidRPr="00B64C09">
              <w:t>Evidence required to demonstrate competence in this unit must be relevant to and satisfy all of the requirements of the elements and performance criteria on at least one occasion and include:</w:t>
            </w:r>
          </w:p>
        </w:tc>
      </w:tr>
      <w:tr w:rsidTr="00B64C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C09" w:rsidP="00B64C09">
            <w:pPr>
              <w:pStyle w:val="ListBullet"/>
            </w:pPr>
            <w:r w:rsidRPr="00B64C09">
              <w:t>applying relevant legislation, regulation</w:t>
            </w:r>
            <w:r w:rsidRPr="00B64C09">
              <w:t>s, standards, codes of practice and workplace requirements including:</w:t>
            </w:r>
          </w:p>
          <w:p w:rsidR="00000000" w:rsidRPr="00B64C09" w:rsidP="00B64C09">
            <w:pPr>
              <w:pStyle w:val="ListBullet2"/>
            </w:pPr>
            <w:r w:rsidRPr="00B64C09">
              <w:t>work health and safety (WHS)/occupational health and safety (OHS)</w:t>
            </w:r>
          </w:p>
          <w:p w:rsidR="00000000" w:rsidRPr="00B64C09" w:rsidP="00B64C09">
            <w:pPr>
              <w:pStyle w:val="ListBullet"/>
            </w:pPr>
            <w:r w:rsidRPr="00B64C09">
              <w:t>identifying hazards, assessing risks, identifying, applying and monitoring control measures</w:t>
            </w:r>
          </w:p>
          <w:p w:rsidR="00000000" w:rsidRPr="00B64C09" w:rsidP="00B64C09">
            <w:pPr>
              <w:pStyle w:val="ListBullet"/>
            </w:pPr>
            <w:r w:rsidRPr="00B64C09">
              <w:t xml:space="preserve">assessing worksite including: </w:t>
            </w:r>
          </w:p>
          <w:p w:rsidR="00000000" w:rsidRPr="00B64C09" w:rsidP="00B64C09">
            <w:pPr>
              <w:pStyle w:val="ListBullet2"/>
            </w:pPr>
            <w:r w:rsidRPr="00B64C09">
              <w:t>locating switchboard/s and circuits</w:t>
            </w:r>
          </w:p>
          <w:p w:rsidR="00000000" w:rsidRPr="00B64C09" w:rsidP="00B64C09">
            <w:pPr>
              <w:pStyle w:val="ListBullet2"/>
            </w:pPr>
            <w:r w:rsidRPr="00B64C09">
              <w:t>locating and interpreting site specific information</w:t>
            </w:r>
          </w:p>
          <w:p w:rsidR="00000000" w:rsidRPr="00B64C09" w:rsidP="00B64C09">
            <w:pPr>
              <w:pStyle w:val="ListBullet2"/>
            </w:pPr>
            <w:r w:rsidRPr="00B64C09">
              <w:t>locating inverter energy systems (IES) and supply systems</w:t>
            </w:r>
          </w:p>
          <w:p w:rsidR="00000000" w:rsidRPr="00B64C09" w:rsidP="00B64C09">
            <w:pPr>
              <w:pStyle w:val="ListBullet2"/>
            </w:pPr>
            <w:r w:rsidRPr="00B64C09">
              <w:t>applying awareness of unidentifiable supply systems</w:t>
            </w:r>
          </w:p>
          <w:p w:rsidR="00000000" w:rsidRPr="00B64C09" w:rsidP="00B64C09">
            <w:pPr>
              <w:pStyle w:val="ListBullet2"/>
            </w:pPr>
            <w:r w:rsidRPr="00B64C09">
              <w:t>identifying and locating i</w:t>
            </w:r>
            <w:r w:rsidRPr="00B64C09">
              <w:t>solation devices</w:t>
            </w:r>
          </w:p>
          <w:p w:rsidR="00000000" w:rsidRPr="00B64C09" w:rsidP="00B64C09">
            <w:pPr>
              <w:pStyle w:val="ListBullet2"/>
            </w:pPr>
            <w:r w:rsidRPr="00B64C09">
              <w:t>identifying and locating supply systems conductors</w:t>
            </w:r>
          </w:p>
          <w:p w:rsidR="00000000" w:rsidRPr="00B64C09" w:rsidP="00B64C09">
            <w:pPr>
              <w:pStyle w:val="ListBullet"/>
            </w:pPr>
            <w:r w:rsidRPr="00B64C09">
              <w:t>shutting down and isolating supply systems for at least two (2) of the following:</w:t>
            </w:r>
          </w:p>
          <w:p w:rsidR="00000000" w:rsidRPr="00B64C09" w:rsidP="00B64C09">
            <w:pPr>
              <w:pStyle w:val="ListBullet2"/>
            </w:pPr>
            <w:r w:rsidRPr="00B64C09">
              <w:t>renewable energy IES</w:t>
            </w:r>
          </w:p>
          <w:p w:rsidR="00000000" w:rsidRPr="00B64C09" w:rsidP="00B64C09">
            <w:pPr>
              <w:pStyle w:val="ListBullet2"/>
            </w:pPr>
            <w:r w:rsidRPr="00B64C09">
              <w:t>grid connected IES with stand-alone functionality</w:t>
            </w:r>
          </w:p>
          <w:p w:rsidR="00000000" w:rsidRPr="00B64C09" w:rsidP="00B64C09">
            <w:pPr>
              <w:pStyle w:val="ListBullet2"/>
            </w:pPr>
            <w:r w:rsidRPr="00B64C09">
              <w:t>stand-alone IES</w:t>
            </w:r>
          </w:p>
          <w:p w:rsidR="00000000" w:rsidRPr="00B64C09" w:rsidP="00B64C09">
            <w:pPr>
              <w:pStyle w:val="ListBullet2"/>
            </w:pPr>
            <w:r w:rsidRPr="00B64C09">
              <w:t>engine driven</w:t>
            </w:r>
          </w:p>
          <w:p w:rsidR="00000000" w:rsidRPr="00B64C09" w:rsidP="00B64C09">
            <w:pPr>
              <w:pStyle w:val="ListBullet"/>
            </w:pPr>
            <w:r w:rsidRPr="00B64C09">
              <w:t>re</w:t>
            </w:r>
            <w:r w:rsidRPr="00B64C09">
              <w:t>turning supply systems to normal operation for at least two (2) of the following:</w:t>
            </w:r>
          </w:p>
          <w:p w:rsidR="00000000" w:rsidRPr="00B64C09" w:rsidP="00B64C09">
            <w:pPr>
              <w:pStyle w:val="ListBullet2"/>
            </w:pPr>
            <w:r w:rsidRPr="00B64C09">
              <w:t>renewable energy IES</w:t>
            </w:r>
          </w:p>
          <w:p w:rsidR="00000000" w:rsidRPr="00B64C09" w:rsidP="00B64C09">
            <w:pPr>
              <w:pStyle w:val="ListBullet2"/>
            </w:pPr>
            <w:r w:rsidRPr="00B64C09">
              <w:t>grid connected IES with stand-alone functionality</w:t>
            </w:r>
          </w:p>
          <w:p w:rsidR="00000000" w:rsidRPr="00B64C09" w:rsidP="00B64C09">
            <w:pPr>
              <w:pStyle w:val="ListBullet2"/>
            </w:pPr>
            <w:r w:rsidRPr="00B64C09">
              <w:t>stand-alone IES</w:t>
            </w:r>
          </w:p>
          <w:p w:rsidR="00000000" w:rsidRPr="00B64C09" w:rsidP="00B64C09">
            <w:pPr>
              <w:pStyle w:val="ListBullet2"/>
            </w:pPr>
            <w:r w:rsidRPr="00B64C09">
              <w:t>engine driven</w:t>
            </w:r>
          </w:p>
          <w:p w:rsidR="00000000" w:rsidRPr="00B64C09" w:rsidP="00B64C09">
            <w:pPr>
              <w:pStyle w:val="ListBullet"/>
            </w:pPr>
            <w:r w:rsidRPr="00B64C09">
              <w:t>isolating multiple sup</w:t>
            </w:r>
            <w:r w:rsidRPr="00B64C09">
              <w:t>ply systems in accordance with workplace and regulatory requirements, including:</w:t>
            </w:r>
          </w:p>
          <w:p w:rsidR="00000000" w:rsidRPr="00B64C09" w:rsidP="00B64C09">
            <w:pPr>
              <w:pStyle w:val="ListBullet2"/>
            </w:pPr>
            <w:r w:rsidRPr="00B64C09">
              <w:t>applying safe isolation practices</w:t>
            </w:r>
          </w:p>
          <w:p w:rsidR="00000000" w:rsidRPr="00B64C09" w:rsidP="00B64C09">
            <w:pPr>
              <w:pStyle w:val="ListBullet2"/>
            </w:pPr>
            <w:r w:rsidRPr="00B64C09">
              <w:t>identifying correct isolation device/s</w:t>
            </w:r>
          </w:p>
          <w:p w:rsidR="00000000" w:rsidRPr="00B64C09" w:rsidP="00B64C09">
            <w:pPr>
              <w:pStyle w:val="ListBullet2"/>
            </w:pPr>
            <w:r w:rsidRPr="00B64C09">
              <w:t>identifying live conductors</w:t>
            </w:r>
          </w:p>
          <w:p w:rsidR="00000000" w:rsidRPr="00B64C09" w:rsidP="00B64C09">
            <w:pPr>
              <w:pStyle w:val="ListBullet2"/>
            </w:pPr>
            <w:r w:rsidRPr="00B64C09">
              <w:t>correctly using testing equipment</w:t>
            </w:r>
          </w:p>
          <w:p w:rsidR="00000000" w:rsidRPr="00B64C09" w:rsidP="00B64C09">
            <w:pPr>
              <w:pStyle w:val="ListBullet2"/>
            </w:pPr>
            <w:r w:rsidRPr="00B64C09">
              <w:t>confirming systems are isolated</w:t>
            </w:r>
          </w:p>
          <w:p w:rsidR="00000000" w:rsidRPr="00B64C09" w:rsidP="00B64C09">
            <w:pPr>
              <w:pStyle w:val="ListBullet2"/>
            </w:pPr>
            <w:r w:rsidRPr="00B64C09">
              <w:t>tagging</w:t>
            </w:r>
            <w:r w:rsidRPr="00B64C09">
              <w:t xml:space="preserve">-out all supplies </w:t>
            </w:r>
          </w:p>
          <w:p w:rsidR="00000000" w:rsidRPr="00B64C09" w:rsidP="00B64C09">
            <w:pPr>
              <w:pStyle w:val="ListBullet"/>
            </w:pPr>
            <w:r w:rsidRPr="00B64C09">
              <w:t>testing re-energised supply systems for correct operation and electrical safety</w:t>
            </w:r>
          </w:p>
          <w:p w:rsidR="00000000" w:rsidRPr="00B64C09" w:rsidP="00B64C09">
            <w:pPr>
              <w:pStyle w:val="ListBullet"/>
            </w:pPr>
            <w:r w:rsidRPr="00B64C09">
              <w:t>confirming documented shutdown and start up procedures are correct including:</w:t>
            </w:r>
          </w:p>
          <w:p w:rsidR="00000000" w:rsidRPr="00B64C09" w:rsidP="00B64C09">
            <w:pPr>
              <w:pStyle w:val="ListBullet2"/>
            </w:pPr>
            <w:r w:rsidRPr="00B64C09">
              <w:t>notifying appropriate person/s of any inconsistencies in the procedures</w:t>
            </w:r>
          </w:p>
          <w:p w:rsidR="00000000" w:rsidRPr="00B64C09" w:rsidP="00B64C09">
            <w:pPr>
              <w:pStyle w:val="ListBullet"/>
            </w:pPr>
            <w:r w:rsidRPr="00B64C09">
              <w:t>dealing with an unplanned event.</w:t>
            </w:r>
          </w:p>
        </w:tc>
      </w:tr>
    </w:tbl>
    <w:p w:rsidR="00000000" w:rsidRPr="00B64C09" w:rsidP="00B64C09">
      <w:pPr>
        <w:pStyle w:val="NoPaddingFontSize1"/>
      </w:pPr>
    </w:p>
    <w:p w:rsidR="00000000" w:rsidRPr="00B64C09" w:rsidP="00B64C09">
      <w:pPr>
        <w:pStyle w:val="AllowPageBreak"/>
      </w:pPr>
    </w:p>
    <w:p w:rsidR="00000000" w:rsidRPr="00B64C09" w:rsidP="00B64C09">
      <w:pPr>
        <w:pStyle w:val="Heading1"/>
      </w:pPr>
      <w:bookmarkStart w:id="3" w:name="O_1185266"/>
      <w:bookmarkEnd w:id="3"/>
      <w:r w:rsidRPr="00B64C09">
        <w:t>Knowledge Evidence</w:t>
      </w:r>
    </w:p>
    <w:tbl>
      <w:tblPr>
        <w:tblW w:w="9497" w:type="dxa"/>
        <w:tblLayout w:type="fixed"/>
        <w:tblCellMar>
          <w:left w:w="62" w:type="dxa"/>
          <w:right w:w="62" w:type="dxa"/>
        </w:tblCellMar>
        <w:tblLook w:val="0000"/>
      </w:tblPr>
      <w:tblGrid>
        <w:gridCol w:w="9497"/>
      </w:tblGrid>
      <w:tr w:rsidTr="00B64C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4C09">
            <w:pPr>
              <w:pStyle w:val="BodyText"/>
              <w:rPr>
                <w:lang w:val="en-NZ"/>
              </w:rPr>
            </w:pPr>
            <w:r w:rsidRPr="00B64C09">
              <w:t xml:space="preserve">Evidence required to demonstrate competence in this unit must be relevant to and satisfy all of the requirements of the elements and performance criteria and include knowledge of: </w:t>
            </w:r>
          </w:p>
        </w:tc>
      </w:tr>
      <w:tr w:rsidTr="00B64C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C09" w:rsidP="00B64C09">
            <w:pPr>
              <w:pStyle w:val="ListBullet"/>
            </w:pPr>
            <w:r w:rsidRPr="00B64C09">
              <w:t>relevant legislation, regulations, standards, codes of practice and workplace requirements including:</w:t>
            </w:r>
          </w:p>
          <w:p w:rsidR="00000000" w:rsidRPr="00B64C09" w:rsidP="00B64C09">
            <w:pPr>
              <w:pStyle w:val="ListBullet2"/>
            </w:pPr>
            <w:r w:rsidRPr="00B64C09">
              <w:t>WHS/OHS</w:t>
            </w:r>
          </w:p>
          <w:p w:rsidR="00000000" w:rsidRPr="00B64C09" w:rsidP="00B64C09">
            <w:pPr>
              <w:pStyle w:val="ListBullet"/>
            </w:pPr>
            <w:r w:rsidRPr="00B64C09">
              <w:tab/>
              <w:t xml:space="preserve">hazard, risk assessment and risk control requirements including potential hazards </w:t>
            </w:r>
          </w:p>
          <w:p w:rsidR="00000000" w:rsidRPr="00B64C09" w:rsidP="00B64C09">
            <w:pPr>
              <w:pStyle w:val="ListBullet"/>
            </w:pPr>
            <w:r w:rsidRPr="00B64C09">
              <w:t>potential injuries caused by multiple supply systems</w:t>
            </w:r>
          </w:p>
          <w:p w:rsidR="00000000" w:rsidRPr="00B64C09" w:rsidP="00B64C09">
            <w:pPr>
              <w:pStyle w:val="ListBullet"/>
            </w:pPr>
            <w:r w:rsidRPr="00B64C09">
              <w:t>notific</w:t>
            </w:r>
            <w:r w:rsidRPr="00B64C09">
              <w:t>ation to relevant person/s of shutting down and starting up supply systems</w:t>
            </w:r>
          </w:p>
          <w:p w:rsidR="00000000" w:rsidRPr="00B64C09" w:rsidP="00B64C09">
            <w:pPr>
              <w:pStyle w:val="ListBullet"/>
            </w:pPr>
            <w:r w:rsidRPr="00B64C09">
              <w:t>safe use of tools and equipment including:</w:t>
            </w:r>
          </w:p>
          <w:p w:rsidR="00000000" w:rsidRPr="00B64C09" w:rsidP="00B64C09">
            <w:pPr>
              <w:pStyle w:val="ListBullet2"/>
            </w:pPr>
            <w:r w:rsidRPr="00B64C09">
              <w:t>testing equipment</w:t>
            </w:r>
          </w:p>
          <w:p w:rsidR="00000000" w:rsidRPr="00B64C09" w:rsidP="00B64C09">
            <w:pPr>
              <w:pStyle w:val="ListBullet"/>
            </w:pPr>
            <w:r w:rsidRPr="00B64C09">
              <w:t>electrical isolation including:</w:t>
            </w:r>
          </w:p>
          <w:p w:rsidR="00000000" w:rsidRPr="00B64C09" w:rsidP="00B64C09">
            <w:pPr>
              <w:pStyle w:val="ListBullet2"/>
            </w:pPr>
            <w:r w:rsidRPr="00B64C09">
              <w:t>anti-islanding</w:t>
            </w:r>
          </w:p>
          <w:p w:rsidR="00000000" w:rsidRPr="00B64C09" w:rsidP="00B64C09">
            <w:pPr>
              <w:pStyle w:val="ListBullet2"/>
            </w:pPr>
            <w:r w:rsidRPr="00B64C09">
              <w:t>unidentifiable supply systems</w:t>
            </w:r>
          </w:p>
          <w:p w:rsidR="00000000" w:rsidRPr="00B64C09" w:rsidP="00B64C09">
            <w:pPr>
              <w:pStyle w:val="ListBullet2"/>
            </w:pPr>
            <w:r w:rsidRPr="00B64C09">
              <w:t>need for ensuring the safe isolation of an electrical supply</w:t>
            </w:r>
          </w:p>
          <w:p w:rsidR="00000000" w:rsidRPr="00B64C09" w:rsidP="00B64C09">
            <w:pPr>
              <w:pStyle w:val="ListBullet2"/>
            </w:pPr>
            <w:r w:rsidRPr="00B64C09">
              <w:t>isolation devices used in IES</w:t>
            </w:r>
          </w:p>
          <w:p w:rsidR="00000000" w:rsidRPr="00B64C09" w:rsidP="00B64C09">
            <w:pPr>
              <w:pStyle w:val="ListBullet2"/>
            </w:pPr>
            <w:r w:rsidRPr="00B64C09">
              <w:t>tagging and lockout</w:t>
            </w:r>
          </w:p>
          <w:p w:rsidR="00000000" w:rsidRPr="00B64C09" w:rsidP="00B64C09">
            <w:pPr>
              <w:pStyle w:val="ListBullet2"/>
            </w:pPr>
            <w:r w:rsidRPr="00B64C09">
              <w:t>central protection systems</w:t>
            </w:r>
          </w:p>
          <w:p w:rsidR="00000000" w:rsidRPr="00B64C09" w:rsidP="00B64C09">
            <w:pPr>
              <w:pStyle w:val="ListBullet"/>
            </w:pPr>
            <w:r w:rsidRPr="00B64C09">
              <w:t>characteristics, operations and safety functions of multiple supply systems including:</w:t>
            </w:r>
          </w:p>
          <w:p w:rsidR="00000000" w:rsidRPr="00B64C09" w:rsidP="00B64C09">
            <w:pPr>
              <w:pStyle w:val="ListBullet2"/>
            </w:pPr>
            <w:r w:rsidRPr="00B64C09">
              <w:t>renewable energy IES</w:t>
            </w:r>
          </w:p>
          <w:p w:rsidR="00000000" w:rsidRPr="00B64C09" w:rsidP="00B64C09">
            <w:pPr>
              <w:pStyle w:val="ListBullet2"/>
            </w:pPr>
            <w:r w:rsidRPr="00B64C09">
              <w:t>grid con</w:t>
            </w:r>
            <w:r w:rsidRPr="00B64C09">
              <w:t>nected IES with stand-alone functionality</w:t>
            </w:r>
          </w:p>
          <w:p w:rsidR="00000000" w:rsidRPr="00B64C09" w:rsidP="00B64C09">
            <w:pPr>
              <w:pStyle w:val="ListBullet2"/>
            </w:pPr>
            <w:r w:rsidRPr="00B64C09">
              <w:t>stand-alone IES</w:t>
            </w:r>
          </w:p>
          <w:p w:rsidR="00000000" w:rsidRPr="00B64C09" w:rsidP="00B64C09">
            <w:pPr>
              <w:pStyle w:val="ListBullet2"/>
            </w:pPr>
            <w:r w:rsidRPr="00B64C09">
              <w:t>engine driven</w:t>
            </w:r>
          </w:p>
          <w:p w:rsidR="00000000" w:rsidRPr="00B64C09" w:rsidP="00B64C09">
            <w:pPr>
              <w:pStyle w:val="ListBullet"/>
            </w:pPr>
            <w:r w:rsidRPr="00B64C09">
              <w:t>types and location of labelling for multiple supply systems</w:t>
            </w:r>
          </w:p>
          <w:p w:rsidR="00000000" w:rsidRPr="00B64C09" w:rsidP="00B64C09">
            <w:pPr>
              <w:pStyle w:val="ListBullet"/>
            </w:pPr>
            <w:r w:rsidRPr="00B64C09">
              <w:t>site specific information including:</w:t>
            </w:r>
          </w:p>
          <w:p w:rsidR="00000000" w:rsidRPr="00B64C09" w:rsidP="00B64C09">
            <w:pPr>
              <w:pStyle w:val="ListBullet2"/>
            </w:pPr>
            <w:r w:rsidRPr="00B64C09">
              <w:t>operational information</w:t>
            </w:r>
          </w:p>
          <w:p w:rsidR="00000000" w:rsidRPr="00B64C09" w:rsidP="00B64C09">
            <w:pPr>
              <w:pStyle w:val="ListBullet2"/>
            </w:pPr>
            <w:r w:rsidRPr="00B64C09">
              <w:t>manuals</w:t>
            </w:r>
          </w:p>
          <w:p w:rsidR="00000000" w:rsidRPr="00B64C09" w:rsidP="00B64C09">
            <w:pPr>
              <w:pStyle w:val="ListBullet2"/>
            </w:pPr>
            <w:r w:rsidRPr="00B64C09">
              <w:t>drawings</w:t>
            </w:r>
          </w:p>
          <w:p w:rsidR="00000000" w:rsidRPr="00B64C09" w:rsidP="00B64C09">
            <w:pPr>
              <w:pStyle w:val="ListBullet2"/>
            </w:pPr>
            <w:r w:rsidRPr="00B64C09">
              <w:t>labelling</w:t>
            </w:r>
          </w:p>
          <w:p w:rsidR="00000000" w:rsidRPr="00B64C09" w:rsidP="00B64C09">
            <w:pPr>
              <w:pStyle w:val="ListBullet2"/>
            </w:pPr>
            <w:r w:rsidRPr="00B64C09">
              <w:t xml:space="preserve">shutdown procedures </w:t>
            </w:r>
            <w:r w:rsidRPr="00B64C09">
              <w:t xml:space="preserve">and start up procedures </w:t>
            </w:r>
          </w:p>
          <w:p w:rsidR="00000000" w:rsidRPr="00B64C09" w:rsidP="00B64C09">
            <w:pPr>
              <w:pStyle w:val="ListBullet2"/>
            </w:pPr>
            <w:r w:rsidRPr="00B64C09">
              <w:t>notification of inconsistencies in shutdown and start up procedures</w:t>
            </w:r>
          </w:p>
          <w:p w:rsidR="00000000" w:rsidRPr="00B64C09" w:rsidP="00B64C09">
            <w:pPr>
              <w:pStyle w:val="ListBullet"/>
            </w:pPr>
            <w:r w:rsidRPr="00B64C09">
              <w:t>working safely with electricity including:</w:t>
            </w:r>
          </w:p>
          <w:p w:rsidR="00000000" w:rsidRPr="00B64C09" w:rsidP="00B64C09">
            <w:pPr>
              <w:pStyle w:val="ListBullet2"/>
            </w:pPr>
            <w:r w:rsidRPr="00B64C09">
              <w:t>hazards of direct current (d.c.) and alternating current (a.c.) electricity</w:t>
            </w:r>
          </w:p>
          <w:p w:rsidR="00000000" w:rsidRPr="00B64C09" w:rsidP="00B64C09">
            <w:pPr>
              <w:pStyle w:val="ListBullet2"/>
            </w:pPr>
            <w:r w:rsidRPr="00B64C09">
              <w:t>effects of electric shock on the body</w:t>
            </w:r>
          </w:p>
          <w:p w:rsidR="00000000" w:rsidRPr="00B64C09" w:rsidP="00B64C09">
            <w:pPr>
              <w:pStyle w:val="ListBullet2"/>
            </w:pPr>
            <w:r w:rsidRPr="00B64C09">
              <w:t>prec</w:t>
            </w:r>
            <w:r w:rsidRPr="00B64C09">
              <w:t>autions to minimise the chance of electric shock</w:t>
            </w:r>
          </w:p>
          <w:p w:rsidR="00000000" w:rsidRPr="00B64C09" w:rsidP="00B64C09">
            <w:pPr>
              <w:pStyle w:val="ListBullet2"/>
            </w:pPr>
            <w:r w:rsidRPr="00B64C09">
              <w:t>procedures for emergency involving electricity</w:t>
            </w:r>
          </w:p>
          <w:p w:rsidR="00000000" w:rsidRPr="00B64C09" w:rsidP="00B64C09">
            <w:pPr>
              <w:pStyle w:val="ListBullet2"/>
            </w:pPr>
            <w:r w:rsidRPr="00B64C09">
              <w:t>common causes of electrical accidents.</w:t>
            </w:r>
          </w:p>
        </w:tc>
      </w:tr>
    </w:tbl>
    <w:p w:rsidR="00000000" w:rsidRPr="00B64C09" w:rsidP="00B64C09">
      <w:pPr>
        <w:pStyle w:val="NoPaddingFontSize1"/>
      </w:pPr>
    </w:p>
    <w:p w:rsidR="00000000" w:rsidRPr="00B64C09" w:rsidP="00B64C09">
      <w:pPr>
        <w:pStyle w:val="AllowPageBreak"/>
      </w:pPr>
    </w:p>
    <w:p w:rsidR="00000000" w:rsidRPr="00B64C09" w:rsidP="00B64C09">
      <w:pPr>
        <w:pStyle w:val="Heading1"/>
      </w:pPr>
      <w:bookmarkStart w:id="4" w:name="O_1185267"/>
      <w:bookmarkEnd w:id="4"/>
      <w:r w:rsidRPr="00B64C09">
        <w:t>Assessment Conditions</w:t>
      </w:r>
    </w:p>
    <w:tbl>
      <w:tblPr>
        <w:tblW w:w="9497" w:type="dxa"/>
        <w:tblLayout w:type="fixed"/>
        <w:tblCellMar>
          <w:left w:w="62" w:type="dxa"/>
          <w:right w:w="62" w:type="dxa"/>
        </w:tblCellMar>
        <w:tblLook w:val="0000"/>
      </w:tblPr>
      <w:tblGrid>
        <w:gridCol w:w="9497"/>
      </w:tblGrid>
      <w:tr w:rsidTr="00B64C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C09" w:rsidP="00B64C09">
            <w:pPr>
              <w:pStyle w:val="BodyText"/>
            </w:pPr>
            <w:r w:rsidRPr="00B64C09">
              <w:t xml:space="preserve">Assessors must hold credentials </w:t>
            </w:r>
            <w:r w:rsidRPr="00B64C09">
              <w:t>specified within the Standards for Registered Training Organisations current at the time of assessment.</w:t>
            </w:r>
          </w:p>
          <w:p w:rsidR="00000000" w:rsidRPr="00B64C09" w:rsidP="00B64C09">
            <w:pPr>
              <w:pStyle w:val="BodyText"/>
            </w:pPr>
            <w:r w:rsidRPr="00B64C09">
              <w:t xml:space="preserve">Assessment must satisfy the Principles of Assessment and Rules of Evidence and all regulatory requirements included within the Standards for Registered </w:t>
            </w:r>
            <w:r w:rsidRPr="00B64C09">
              <w:t>Training Organisations current at the time of assessment.</w:t>
            </w:r>
          </w:p>
          <w:p w:rsidR="00000000" w:rsidRPr="00B64C09" w:rsidP="00B64C09">
            <w:pPr>
              <w:pStyle w:val="BodyText"/>
            </w:pPr>
            <w:r w:rsidRPr="00B64C09">
              <w:t xml:space="preserve">Assessment must occur in workplace operational situations, where it is appropriate to do so. </w:t>
            </w:r>
          </w:p>
          <w:p w:rsidR="00000000" w:rsidRPr="00B64C09" w:rsidP="00B64C09">
            <w:pPr>
              <w:pStyle w:val="BodyText"/>
            </w:pPr>
            <w:r w:rsidRPr="00B64C09">
              <w:t>Where this is not appropriate, assessment must occur in simulated conditions involving realistic and aut</w:t>
            </w:r>
            <w:r w:rsidRPr="00B64C09">
              <w:t>hentic activities that replicate operational workplace conditions.</w:t>
            </w:r>
          </w:p>
          <w:p w:rsidR="00000000" w:rsidRPr="00B64C09" w:rsidP="00B64C09">
            <w:pPr>
              <w:pStyle w:val="BodyText"/>
            </w:pPr>
            <w:r w:rsidRPr="00B64C09">
              <w:t>Assessment processes and techniques must be appropriate to the language, literacy and numeracy requirements of the work being performed and the needs of the candidate.</w:t>
            </w:r>
          </w:p>
          <w:p w:rsidR="00000000" w:rsidRPr="00B64C09" w:rsidP="00B64C09">
            <w:pPr>
              <w:pStyle w:val="BodyText"/>
            </w:pPr>
            <w:r w:rsidRPr="00B64C09">
              <w:t>Resources for assessm</w:t>
            </w:r>
            <w:r w:rsidRPr="00B64C09">
              <w:t>ent must include access to:</w:t>
            </w:r>
          </w:p>
          <w:p w:rsidR="00000000" w:rsidRPr="00B64C09" w:rsidP="00B64C09">
            <w:pPr>
              <w:pStyle w:val="ListBullet"/>
            </w:pPr>
            <w:r w:rsidRPr="00B64C09">
              <w:t>relevant and appropriate materials, tools, equipment and PPE currently used in industry</w:t>
            </w:r>
          </w:p>
          <w:p w:rsidR="00000000" w:rsidRPr="00B64C09" w:rsidP="00B64C09">
            <w:pPr>
              <w:pStyle w:val="ListBullet"/>
            </w:pPr>
            <w:r w:rsidRPr="00B64C09">
              <w:t>applicable documentation, including workplace requirements, relevant industry standards, regulations, codes of practice and operation manua</w:t>
            </w:r>
            <w:r w:rsidRPr="00B64C09">
              <w:t>ls.</w:t>
            </w:r>
          </w:p>
        </w:tc>
      </w:tr>
    </w:tbl>
    <w:p w:rsidR="00000000" w:rsidRPr="00B64C09" w:rsidP="00B64C09">
      <w:pPr>
        <w:pStyle w:val="NoPaddingFontSize1"/>
      </w:pPr>
    </w:p>
    <w:p w:rsidR="00000000" w:rsidRPr="00B64C09" w:rsidP="00B64C09">
      <w:pPr>
        <w:pStyle w:val="AllowPageBreak"/>
      </w:pPr>
    </w:p>
    <w:p w:rsidR="00000000" w:rsidRPr="00B64C09" w:rsidP="00B64C09">
      <w:pPr>
        <w:pStyle w:val="Heading1"/>
      </w:pPr>
      <w:bookmarkStart w:id="5" w:name="O_1185270"/>
      <w:bookmarkEnd w:id="5"/>
      <w:r w:rsidRPr="00B64C09">
        <w:t>Links</w:t>
      </w:r>
    </w:p>
    <w:p w:rsidR="00000000" w:rsidRPr="00B64C09" w:rsidP="00511087">
      <w:pPr>
        <w:pStyle w:val="BodyText"/>
      </w:pPr>
      <w:r w:rsidRPr="00B64C0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A75ED">
        <w:rPr>
          <w:rStyle w:val="Hyperlink"/>
        </w:rPr>
        <w:t>https://vetnet.gov.au/Pages/TrainingDocs.aspx?q=b8a8f136-5421-4ce1-92e0-2b50341431b6</w:t>
      </w:r>
      <w:r>
        <w:fldChar w:fldCharType="end"/>
      </w:r>
    </w:p>
    <w:p w:rsidR="00000000" w:rsidRPr="00B64C09" w:rsidP="00B64C09"/>
    <w:sectPr w:rsidSect="00B64C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09" w:rsidRPr="00511087" w:rsidP="005110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87" w:rsidP="00B64C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1087" w:rsidP="00B64C0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11087" w:rsidP="00B64C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C09" w:rsidRPr="00511087" w:rsidP="005110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87" w:rsidRPr="002D2AF8" w:rsidP="00B64C09">
    <w:pPr>
      <w:pStyle w:val="Header"/>
      <w:framePr w:wrap="around"/>
    </w:pPr>
    <w:r>
      <w:fldChar w:fldCharType="begin"/>
    </w:r>
    <w:r>
      <w:instrText xml:space="preserve"> TITLE   \* MERGEFORMAT </w:instrText>
    </w:r>
    <w:r>
      <w:fldChar w:fldCharType="separate"/>
    </w:r>
    <w:r>
      <w:t>Assessment Requirements for UEERE0050 Identify and isolate multiple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11087" w:rsidP="00B64C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6A4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4E4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BE9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C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C09"/>
    <w:pPr>
      <w:spacing w:before="360" w:after="60"/>
      <w:outlineLvl w:val="0"/>
    </w:pPr>
    <w:rPr>
      <w:sz w:val="32"/>
    </w:rPr>
  </w:style>
  <w:style w:type="paragraph" w:styleId="Heading2">
    <w:name w:val="heading 2"/>
    <w:basedOn w:val="HeadingBase"/>
    <w:next w:val="BodyText"/>
    <w:link w:val="Heading2Char"/>
    <w:qFormat/>
    <w:rsid w:val="00B64C09"/>
    <w:pPr>
      <w:keepLines/>
      <w:spacing w:before="240" w:after="120"/>
      <w:outlineLvl w:val="1"/>
    </w:pPr>
    <w:rPr>
      <w:sz w:val="28"/>
      <w:szCs w:val="40"/>
    </w:rPr>
  </w:style>
  <w:style w:type="paragraph" w:styleId="Heading3">
    <w:name w:val="heading 3"/>
    <w:basedOn w:val="HeadingBase"/>
    <w:next w:val="BodyText"/>
    <w:link w:val="Heading3Char"/>
    <w:qFormat/>
    <w:rsid w:val="00B64C09"/>
    <w:pPr>
      <w:spacing w:before="180" w:after="120"/>
      <w:outlineLvl w:val="2"/>
    </w:pPr>
    <w:rPr>
      <w:spacing w:val="-10"/>
      <w:kern w:val="32"/>
    </w:rPr>
  </w:style>
  <w:style w:type="paragraph" w:styleId="Heading4">
    <w:name w:val="heading 4"/>
    <w:basedOn w:val="HeadingBase"/>
    <w:next w:val="BodyText"/>
    <w:link w:val="Heading4Char"/>
    <w:qFormat/>
    <w:rsid w:val="00B64C09"/>
    <w:pPr>
      <w:spacing w:before="160" w:after="120"/>
      <w:outlineLvl w:val="3"/>
    </w:pPr>
    <w:rPr>
      <w:sz w:val="22"/>
    </w:rPr>
  </w:style>
  <w:style w:type="paragraph" w:styleId="Heading5">
    <w:name w:val="heading 5"/>
    <w:basedOn w:val="HeadingBase"/>
    <w:next w:val="Normal"/>
    <w:link w:val="Heading5Char"/>
    <w:qFormat/>
    <w:rsid w:val="00B64C09"/>
    <w:pPr>
      <w:spacing w:before="80"/>
      <w:outlineLvl w:val="4"/>
    </w:pPr>
    <w:rPr>
      <w:color w:val="918585"/>
      <w:sz w:val="20"/>
    </w:rPr>
  </w:style>
  <w:style w:type="paragraph" w:styleId="Heading6">
    <w:name w:val="heading 6"/>
    <w:basedOn w:val="HeadingBase"/>
    <w:next w:val="Normal"/>
    <w:link w:val="Heading6Char"/>
    <w:qFormat/>
    <w:rsid w:val="00B64C09"/>
    <w:pPr>
      <w:spacing w:before="60"/>
      <w:outlineLvl w:val="5"/>
    </w:pPr>
    <w:rPr>
      <w:color w:val="918585"/>
      <w:sz w:val="20"/>
    </w:rPr>
  </w:style>
  <w:style w:type="paragraph" w:styleId="Heading7">
    <w:name w:val="heading 7"/>
    <w:basedOn w:val="Normal"/>
    <w:next w:val="Normal"/>
    <w:link w:val="Heading7Char"/>
    <w:qFormat/>
    <w:rsid w:val="00B64C09"/>
    <w:pPr>
      <w:ind w:left="720"/>
      <w:outlineLvl w:val="6"/>
    </w:pPr>
    <w:rPr>
      <w:i/>
    </w:rPr>
  </w:style>
  <w:style w:type="paragraph" w:styleId="Heading8">
    <w:name w:val="heading 8"/>
    <w:basedOn w:val="Normal"/>
    <w:next w:val="Normal"/>
    <w:link w:val="Heading8Char"/>
    <w:qFormat/>
    <w:rsid w:val="00B64C09"/>
    <w:pPr>
      <w:ind w:left="720"/>
      <w:outlineLvl w:val="7"/>
    </w:pPr>
    <w:rPr>
      <w:i/>
    </w:rPr>
  </w:style>
  <w:style w:type="paragraph" w:styleId="Heading9">
    <w:name w:val="heading 9"/>
    <w:basedOn w:val="Normal"/>
    <w:next w:val="Normal"/>
    <w:link w:val="Heading9Char"/>
    <w:qFormat/>
    <w:rsid w:val="00B64C09"/>
    <w:pPr>
      <w:ind w:left="720"/>
      <w:outlineLvl w:val="8"/>
    </w:pPr>
    <w:rPr>
      <w:i/>
    </w:rPr>
  </w:style>
  <w:style w:type="character" w:default="1" w:styleId="DefaultParagraphFont">
    <w:name w:val="Default Paragraph Font"/>
    <w:uiPriority w:val="1"/>
    <w:unhideWhenUsed/>
    <w:rsid w:val="00B64C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C09"/>
  </w:style>
  <w:style w:type="character" w:customStyle="1" w:styleId="Heading1Char">
    <w:name w:val="Heading 1 Char"/>
    <w:basedOn w:val="DefaultParagraphFont"/>
    <w:link w:val="Heading1"/>
    <w:rsid w:val="00B64C09"/>
    <w:rPr>
      <w:rFonts w:ascii="Times New Roman" w:eastAsia="Times New Roman" w:hAnsi="Times New Roman" w:cs="Times New Roman"/>
      <w:b/>
      <w:sz w:val="32"/>
      <w:szCs w:val="20"/>
      <w:lang w:eastAsia="en-US"/>
    </w:rPr>
  </w:style>
  <w:style w:type="paragraph" w:styleId="BodyText">
    <w:name w:val="Body Text"/>
    <w:basedOn w:val="Normal"/>
    <w:link w:val="BodyTextChar"/>
    <w:rsid w:val="00B64C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C09"/>
    <w:rPr>
      <w:rFonts w:ascii="Times New Roman" w:eastAsia="Times New Roman" w:hAnsi="Times New Roman" w:cs="Times New Roman"/>
      <w:sz w:val="24"/>
      <w:lang w:eastAsia="en-US"/>
    </w:rPr>
  </w:style>
  <w:style w:type="paragraph" w:styleId="ListBullet">
    <w:name w:val="List Bullet"/>
    <w:basedOn w:val="List"/>
    <w:rsid w:val="00B64C09"/>
    <w:pPr>
      <w:numPr>
        <w:numId w:val="12"/>
      </w:numPr>
      <w:tabs>
        <w:tab w:val="clear" w:pos="340"/>
      </w:tabs>
      <w:spacing w:before="40" w:after="40"/>
    </w:pPr>
  </w:style>
  <w:style w:type="paragraph" w:styleId="ListBullet2">
    <w:name w:val="List Bullet 2"/>
    <w:basedOn w:val="List2"/>
    <w:rsid w:val="00B64C09"/>
    <w:pPr>
      <w:numPr>
        <w:numId w:val="13"/>
      </w:numPr>
      <w:tabs>
        <w:tab w:val="clear" w:pos="680"/>
      </w:tabs>
    </w:pPr>
  </w:style>
  <w:style w:type="paragraph" w:customStyle="1" w:styleId="SuperHeading">
    <w:name w:val="SuperHeading"/>
    <w:basedOn w:val="Normal"/>
    <w:rsid w:val="00B64C09"/>
    <w:pPr>
      <w:spacing w:before="240" w:after="120"/>
      <w:outlineLvl w:val="0"/>
    </w:pPr>
    <w:rPr>
      <w:rFonts w:ascii="Times New Roman" w:hAnsi="Times New Roman"/>
      <w:b/>
      <w:sz w:val="32"/>
    </w:rPr>
  </w:style>
  <w:style w:type="paragraph" w:customStyle="1" w:styleId="AllowPageBreak">
    <w:name w:val="AllowPageBreak"/>
    <w:rsid w:val="00B64C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4C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C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C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C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C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C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C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C09"/>
    <w:rPr>
      <w:rFonts w:ascii="Courier New" w:eastAsia="Times New Roman" w:hAnsi="Courier New" w:cs="Times New Roman"/>
      <w:i/>
      <w:szCs w:val="20"/>
      <w:lang w:eastAsia="en-US"/>
    </w:rPr>
  </w:style>
  <w:style w:type="paragraph" w:customStyle="1" w:styleId="HeadingBase">
    <w:name w:val="Heading Base"/>
    <w:rsid w:val="00B64C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C09"/>
    <w:pPr>
      <w:tabs>
        <w:tab w:val="right" w:leader="dot" w:pos="9072"/>
      </w:tabs>
      <w:ind w:left="567"/>
    </w:pPr>
    <w:rPr>
      <w:szCs w:val="22"/>
    </w:rPr>
  </w:style>
  <w:style w:type="paragraph" w:customStyle="1" w:styleId="TOCBase">
    <w:name w:val="TOC Base"/>
    <w:rsid w:val="00B64C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C09"/>
    <w:pPr>
      <w:tabs>
        <w:tab w:val="right" w:leader="dot" w:pos="9072"/>
      </w:tabs>
      <w:spacing w:before="40" w:after="40"/>
      <w:ind w:left="284"/>
    </w:pPr>
    <w:rPr>
      <w:rFonts w:ascii="Times New Roman" w:hAnsi="Times New Roman"/>
    </w:rPr>
  </w:style>
  <w:style w:type="paragraph" w:styleId="TOC1">
    <w:name w:val="toc 1"/>
    <w:basedOn w:val="TOCBase"/>
    <w:next w:val="Normal"/>
    <w:rsid w:val="00B64C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C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C09"/>
    <w:rPr>
      <w:rFonts w:ascii="Times New Roman" w:eastAsia="Times New Roman" w:hAnsi="Times New Roman" w:cs="Times New Roman"/>
      <w:sz w:val="16"/>
      <w:lang w:eastAsia="en-US"/>
    </w:rPr>
  </w:style>
  <w:style w:type="paragraph" w:styleId="Title">
    <w:name w:val="Title"/>
    <w:basedOn w:val="HeadingBase"/>
    <w:link w:val="TitleChar"/>
    <w:qFormat/>
    <w:rsid w:val="00B64C09"/>
    <w:pPr>
      <w:spacing w:before="5040"/>
      <w:jc w:val="center"/>
    </w:pPr>
    <w:rPr>
      <w:sz w:val="48"/>
      <w:szCs w:val="72"/>
      <w:lang w:val="en-US"/>
    </w:rPr>
  </w:style>
  <w:style w:type="character" w:customStyle="1" w:styleId="TitleChar">
    <w:name w:val="Title Char"/>
    <w:basedOn w:val="DefaultParagraphFont"/>
    <w:link w:val="Title"/>
    <w:rsid w:val="00B64C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C09"/>
    <w:pPr>
      <w:tabs>
        <w:tab w:val="left" w:pos="3600"/>
        <w:tab w:val="left" w:pos="3958"/>
      </w:tabs>
    </w:pPr>
  </w:style>
  <w:style w:type="paragraph" w:styleId="List">
    <w:name w:val="List"/>
    <w:basedOn w:val="BodyText"/>
    <w:next w:val="BodyText"/>
    <w:rsid w:val="00B64C09"/>
    <w:pPr>
      <w:tabs>
        <w:tab w:val="left" w:pos="340"/>
      </w:tabs>
      <w:spacing w:before="60" w:after="60"/>
      <w:ind w:left="340" w:hanging="340"/>
    </w:pPr>
  </w:style>
  <w:style w:type="paragraph" w:customStyle="1" w:styleId="Note">
    <w:name w:val="Note"/>
    <w:basedOn w:val="BodyText"/>
    <w:rsid w:val="00B64C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4C09"/>
    <w:rPr>
      <w:b/>
      <w:spacing w:val="0"/>
    </w:rPr>
  </w:style>
  <w:style w:type="paragraph" w:customStyle="1" w:styleId="SuperTitle">
    <w:name w:val="SuperTitle"/>
    <w:basedOn w:val="Title"/>
    <w:rsid w:val="00B64C09"/>
    <w:pPr>
      <w:framePr w:wrap="auto" w:hAnchor="text" w:y="6049"/>
    </w:pPr>
    <w:rPr>
      <w:color w:val="000000"/>
      <w:sz w:val="40"/>
    </w:rPr>
  </w:style>
  <w:style w:type="paragraph" w:customStyle="1" w:styleId="TOCTitle">
    <w:name w:val="TOCTitle"/>
    <w:basedOn w:val="Heading1"/>
    <w:rsid w:val="00B64C09"/>
    <w:pPr>
      <w:spacing w:after="240"/>
      <w:jc w:val="center"/>
      <w:outlineLvl w:val="9"/>
    </w:pPr>
    <w:rPr>
      <w:caps/>
    </w:rPr>
  </w:style>
  <w:style w:type="paragraph" w:customStyle="1" w:styleId="Version">
    <w:name w:val="Version"/>
    <w:rsid w:val="00B64C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C09"/>
    <w:pPr>
      <w:keepNext w:val="0"/>
      <w:tabs>
        <w:tab w:val="right" w:pos="4176"/>
      </w:tabs>
      <w:ind w:left="198" w:hanging="198"/>
    </w:pPr>
    <w:rPr>
      <w:rFonts w:ascii="Garamond" w:hAnsi="Garamond"/>
    </w:rPr>
  </w:style>
  <w:style w:type="paragraph" w:styleId="IndexHeading">
    <w:name w:val="index heading"/>
    <w:basedOn w:val="Normal"/>
    <w:next w:val="Index1"/>
    <w:semiHidden/>
    <w:rsid w:val="00B64C09"/>
    <w:pPr>
      <w:spacing w:before="120" w:after="120"/>
    </w:pPr>
    <w:rPr>
      <w:rFonts w:ascii="Arial" w:hAnsi="Arial"/>
      <w:b/>
      <w:color w:val="918585"/>
      <w:sz w:val="24"/>
    </w:rPr>
  </w:style>
  <w:style w:type="paragraph" w:styleId="Header">
    <w:name w:val="header"/>
    <w:basedOn w:val="Normal"/>
    <w:link w:val="HeaderChar"/>
    <w:rsid w:val="00B64C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C09"/>
    <w:rPr>
      <w:rFonts w:ascii="Times New Roman" w:eastAsia="Times New Roman" w:hAnsi="Times New Roman" w:cs="Times New Roman"/>
      <w:sz w:val="16"/>
      <w:szCs w:val="20"/>
      <w:lang w:val="en-GB" w:eastAsia="en-US"/>
    </w:rPr>
  </w:style>
  <w:style w:type="paragraph" w:customStyle="1" w:styleId="Chapter">
    <w:name w:val="Chapter"/>
    <w:basedOn w:val="Normal"/>
    <w:rsid w:val="00B64C09"/>
    <w:pPr>
      <w:spacing w:before="240"/>
    </w:pPr>
    <w:rPr>
      <w:rFonts w:ascii="Times New Roman" w:hAnsi="Times New Roman"/>
      <w:smallCaps/>
      <w:spacing w:val="80"/>
      <w:sz w:val="28"/>
    </w:rPr>
  </w:style>
  <w:style w:type="paragraph" w:customStyle="1" w:styleId="InChapter">
    <w:name w:val="InChapter"/>
    <w:basedOn w:val="Heading3"/>
    <w:rsid w:val="00B64C09"/>
    <w:pPr>
      <w:spacing w:after="240"/>
      <w:outlineLvl w:val="9"/>
    </w:pPr>
    <w:rPr>
      <w:noProof/>
    </w:rPr>
  </w:style>
  <w:style w:type="paragraph" w:styleId="Index2">
    <w:name w:val="index 2"/>
    <w:basedOn w:val="Normal"/>
    <w:next w:val="Normal"/>
    <w:semiHidden/>
    <w:rsid w:val="00B64C09"/>
    <w:pPr>
      <w:tabs>
        <w:tab w:val="right" w:pos="4176"/>
      </w:tabs>
      <w:ind w:left="568" w:hanging="284"/>
    </w:pPr>
    <w:rPr>
      <w:rFonts w:ascii="Garamond" w:hAnsi="Garamond"/>
    </w:rPr>
  </w:style>
  <w:style w:type="paragraph" w:customStyle="1" w:styleId="Byline">
    <w:name w:val="Byline"/>
    <w:rsid w:val="00B64C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C09"/>
    <w:pPr>
      <w:tabs>
        <w:tab w:val="clear" w:pos="3600"/>
        <w:tab w:val="clear" w:pos="3958"/>
      </w:tabs>
      <w:jc w:val="right"/>
    </w:pPr>
  </w:style>
  <w:style w:type="character" w:styleId="Emphasis">
    <w:name w:val="Emphasis"/>
    <w:basedOn w:val="DefaultParagraphFont"/>
    <w:qFormat/>
    <w:rsid w:val="00B64C09"/>
    <w:rPr>
      <w:i/>
    </w:rPr>
  </w:style>
  <w:style w:type="paragraph" w:styleId="Caption">
    <w:name w:val="caption"/>
    <w:basedOn w:val="BodyText"/>
    <w:next w:val="Normal"/>
    <w:qFormat/>
    <w:rsid w:val="00B64C09"/>
    <w:pPr>
      <w:framePr w:w="2268" w:hSpace="181" w:vSpace="181" w:wrap="around" w:vAnchor="text" w:hAnchor="page" w:x="1135" w:y="285" w:anchorLock="1"/>
    </w:pPr>
    <w:rPr>
      <w:i/>
    </w:rPr>
  </w:style>
  <w:style w:type="paragraph" w:customStyle="1" w:styleId="MiniTOCTitle">
    <w:name w:val="MiniTOCTitle"/>
    <w:basedOn w:val="Heading4"/>
    <w:rsid w:val="00B64C09"/>
    <w:pPr>
      <w:spacing w:before="240"/>
      <w:outlineLvl w:val="9"/>
    </w:pPr>
    <w:rPr>
      <w:noProof/>
      <w:sz w:val="24"/>
    </w:rPr>
  </w:style>
  <w:style w:type="paragraph" w:customStyle="1" w:styleId="MiniTOCItem">
    <w:name w:val="MiniTOCItem"/>
    <w:basedOn w:val="ListBullet"/>
    <w:rsid w:val="00B64C09"/>
    <w:pPr>
      <w:numPr>
        <w:numId w:val="0"/>
      </w:numPr>
      <w:tabs>
        <w:tab w:val="right" w:leader="dot" w:pos="6521"/>
      </w:tabs>
      <w:spacing w:before="0" w:after="0"/>
    </w:pPr>
  </w:style>
  <w:style w:type="paragraph" w:customStyle="1" w:styleId="TOFTitle">
    <w:name w:val="TOFTitle"/>
    <w:basedOn w:val="TOCTitle"/>
    <w:rsid w:val="00B64C09"/>
  </w:style>
  <w:style w:type="paragraph" w:styleId="TableofFigures">
    <w:name w:val="table of figures"/>
    <w:basedOn w:val="Normal"/>
    <w:next w:val="Normal"/>
    <w:semiHidden/>
    <w:rsid w:val="00B64C09"/>
    <w:pPr>
      <w:tabs>
        <w:tab w:val="right" w:leader="dot" w:pos="9072"/>
      </w:tabs>
      <w:ind w:left="970" w:hanging="403"/>
    </w:pPr>
    <w:rPr>
      <w:rFonts w:ascii="Times New Roman" w:hAnsi="Times New Roman"/>
      <w:b/>
    </w:rPr>
  </w:style>
  <w:style w:type="paragraph" w:styleId="ListNumber">
    <w:name w:val="List Number"/>
    <w:basedOn w:val="List"/>
    <w:rsid w:val="00B64C09"/>
    <w:pPr>
      <w:numPr>
        <w:numId w:val="15"/>
      </w:numPr>
      <w:tabs>
        <w:tab w:val="clear" w:pos="340"/>
      </w:tabs>
    </w:pPr>
  </w:style>
  <w:style w:type="character" w:customStyle="1" w:styleId="WingdingSymbols">
    <w:name w:val="Wingding Symbols"/>
    <w:rsid w:val="00B64C09"/>
    <w:rPr>
      <w:rFonts w:ascii="Wingdings" w:hAnsi="Wingdings"/>
    </w:rPr>
  </w:style>
  <w:style w:type="paragraph" w:customStyle="1" w:styleId="TableHeading">
    <w:name w:val="Table Heading"/>
    <w:basedOn w:val="HeadingBase"/>
    <w:rsid w:val="00B64C09"/>
    <w:pPr>
      <w:keepLines/>
      <w:pBdr>
        <w:bottom w:val="single" w:sz="6" w:space="1" w:color="918585"/>
      </w:pBdr>
      <w:spacing w:before="240"/>
    </w:pPr>
  </w:style>
  <w:style w:type="character" w:customStyle="1" w:styleId="HotSpot">
    <w:name w:val="HotSpot"/>
    <w:rsid w:val="00B64C09"/>
    <w:rPr>
      <w:color w:val="0033CC"/>
      <w:u w:val="none"/>
    </w:rPr>
  </w:style>
  <w:style w:type="paragraph" w:customStyle="1" w:styleId="BodyTextRight">
    <w:name w:val="Body Text Right"/>
    <w:basedOn w:val="BodyText"/>
    <w:rsid w:val="00B64C09"/>
    <w:pPr>
      <w:spacing w:before="0" w:after="0"/>
      <w:jc w:val="right"/>
    </w:pPr>
  </w:style>
  <w:style w:type="paragraph" w:styleId="Index3">
    <w:name w:val="index 3"/>
    <w:basedOn w:val="ListNumber2"/>
    <w:next w:val="Normal"/>
    <w:semiHidden/>
    <w:rsid w:val="00B64C09"/>
    <w:pPr>
      <w:numPr>
        <w:numId w:val="0"/>
      </w:numPr>
      <w:tabs>
        <w:tab w:val="right" w:leader="dot" w:pos="4176"/>
      </w:tabs>
    </w:pPr>
  </w:style>
  <w:style w:type="paragraph" w:styleId="ListNumber2">
    <w:name w:val="List Number 2"/>
    <w:basedOn w:val="List2"/>
    <w:rsid w:val="00B64C09"/>
    <w:pPr>
      <w:numPr>
        <w:numId w:val="10"/>
      </w:numPr>
      <w:tabs>
        <w:tab w:val="clear" w:pos="1060"/>
      </w:tabs>
    </w:pPr>
  </w:style>
  <w:style w:type="paragraph" w:customStyle="1" w:styleId="MarginNote">
    <w:name w:val="Margin Note"/>
    <w:basedOn w:val="BodyText"/>
    <w:rsid w:val="00B64C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C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C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C09"/>
    <w:rPr>
      <w:sz w:val="32"/>
    </w:rPr>
  </w:style>
  <w:style w:type="paragraph" w:customStyle="1" w:styleId="HeadingProcedure">
    <w:name w:val="Heading Procedure"/>
    <w:basedOn w:val="HeadingBase"/>
    <w:next w:val="Normal"/>
    <w:rsid w:val="00B64C09"/>
    <w:pPr>
      <w:tabs>
        <w:tab w:val="left" w:pos="0"/>
      </w:tabs>
      <w:spacing w:before="120" w:after="60"/>
    </w:pPr>
    <w:rPr>
      <w:i/>
      <w:color w:val="918585"/>
      <w:sz w:val="22"/>
    </w:rPr>
  </w:style>
  <w:style w:type="paragraph" w:customStyle="1" w:styleId="TableBodyText">
    <w:name w:val="Table Body Text"/>
    <w:basedOn w:val="BodyText"/>
    <w:rsid w:val="00B64C09"/>
    <w:pPr>
      <w:spacing w:before="60" w:after="60"/>
    </w:pPr>
  </w:style>
  <w:style w:type="paragraph" w:styleId="ListContinue">
    <w:name w:val="List Continue"/>
    <w:basedOn w:val="List"/>
    <w:rsid w:val="00B64C09"/>
    <w:pPr>
      <w:ind w:firstLine="0"/>
    </w:pPr>
  </w:style>
  <w:style w:type="paragraph" w:customStyle="1" w:styleId="ListNote">
    <w:name w:val="List Note"/>
    <w:basedOn w:val="List"/>
    <w:rsid w:val="00B64C09"/>
    <w:pPr>
      <w:pBdr>
        <w:top w:val="single" w:sz="6" w:space="2" w:color="918585"/>
        <w:bottom w:val="single" w:sz="6" w:space="2" w:color="918585"/>
      </w:pBdr>
      <w:tabs>
        <w:tab w:val="left" w:pos="1021"/>
      </w:tabs>
      <w:ind w:firstLine="0"/>
    </w:pPr>
  </w:style>
  <w:style w:type="paragraph" w:customStyle="1" w:styleId="Warning">
    <w:name w:val="Warning"/>
    <w:basedOn w:val="BodyText"/>
    <w:rsid w:val="00B64C09"/>
    <w:pPr>
      <w:shd w:val="clear" w:color="auto" w:fill="D9D9D9"/>
      <w:tabs>
        <w:tab w:val="left" w:pos="992"/>
      </w:tabs>
      <w:ind w:left="119" w:right="119"/>
    </w:pPr>
    <w:rPr>
      <w:sz w:val="20"/>
    </w:rPr>
  </w:style>
  <w:style w:type="paragraph" w:customStyle="1" w:styleId="MarginIcons">
    <w:name w:val="Margin Icons"/>
    <w:basedOn w:val="BodyText"/>
    <w:rsid w:val="00B64C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C09"/>
    <w:rPr>
      <w:rFonts w:ascii="Courier New" w:hAnsi="Courier New"/>
    </w:rPr>
  </w:style>
  <w:style w:type="paragraph" w:customStyle="1" w:styleId="NoteBullet">
    <w:name w:val="Note Bullet"/>
    <w:basedOn w:val="Note"/>
    <w:rsid w:val="00B64C09"/>
    <w:pPr>
      <w:tabs>
        <w:tab w:val="clear" w:pos="680"/>
      </w:tabs>
      <w:spacing w:before="60" w:after="60"/>
    </w:pPr>
  </w:style>
  <w:style w:type="paragraph" w:customStyle="1" w:styleId="SubHeading2">
    <w:name w:val="SubHeading2"/>
    <w:basedOn w:val="HeadingBase"/>
    <w:rsid w:val="00B64C09"/>
    <w:pPr>
      <w:spacing w:before="240" w:after="60"/>
    </w:pPr>
    <w:rPr>
      <w:sz w:val="20"/>
    </w:rPr>
  </w:style>
  <w:style w:type="paragraph" w:customStyle="1" w:styleId="SubHeading1">
    <w:name w:val="SubHeading1"/>
    <w:basedOn w:val="HeadingBase"/>
    <w:rsid w:val="00B64C09"/>
    <w:pPr>
      <w:spacing w:before="240" w:after="60"/>
    </w:pPr>
    <w:rPr>
      <w:color w:val="918585"/>
      <w:sz w:val="22"/>
    </w:rPr>
  </w:style>
  <w:style w:type="paragraph" w:customStyle="1" w:styleId="SideHeading">
    <w:name w:val="Side Heading"/>
    <w:basedOn w:val="HeadingBase"/>
    <w:rsid w:val="00B64C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C09"/>
    <w:pPr>
      <w:tabs>
        <w:tab w:val="num" w:pos="360"/>
      </w:tabs>
    </w:pPr>
  </w:style>
  <w:style w:type="paragraph" w:styleId="PlainText">
    <w:name w:val="Plain Text"/>
    <w:basedOn w:val="Normal"/>
    <w:link w:val="PlainTextChar"/>
    <w:rsid w:val="00B64C09"/>
    <w:rPr>
      <w:sz w:val="20"/>
    </w:rPr>
  </w:style>
  <w:style w:type="character" w:customStyle="1" w:styleId="PlainTextChar">
    <w:name w:val="Plain Text Char"/>
    <w:basedOn w:val="DefaultParagraphFont"/>
    <w:link w:val="PlainText"/>
    <w:rsid w:val="00B64C09"/>
    <w:rPr>
      <w:rFonts w:ascii="Courier New" w:eastAsia="Times New Roman" w:hAnsi="Courier New" w:cs="Times New Roman"/>
      <w:sz w:val="20"/>
      <w:szCs w:val="20"/>
      <w:lang w:eastAsia="en-US"/>
    </w:rPr>
  </w:style>
  <w:style w:type="character" w:customStyle="1" w:styleId="MenuOption">
    <w:name w:val="Menu Option"/>
    <w:basedOn w:val="DefaultParagraphFont"/>
    <w:rsid w:val="00B64C09"/>
    <w:rPr>
      <w:b/>
      <w:smallCaps/>
    </w:rPr>
  </w:style>
  <w:style w:type="paragraph" w:customStyle="1" w:styleId="TableListNumber">
    <w:name w:val="Table List Number"/>
    <w:basedOn w:val="ListNumber"/>
    <w:rsid w:val="00B64C09"/>
    <w:pPr>
      <w:numPr>
        <w:numId w:val="0"/>
      </w:numPr>
    </w:pPr>
  </w:style>
  <w:style w:type="paragraph" w:styleId="TOC4">
    <w:name w:val="toc 4"/>
    <w:basedOn w:val="TOCBase"/>
    <w:next w:val="Normal"/>
    <w:semiHidden/>
    <w:rsid w:val="00B64C09"/>
    <w:pPr>
      <w:tabs>
        <w:tab w:val="right" w:leader="dot" w:pos="9071"/>
      </w:tabs>
      <w:ind w:left="1701"/>
    </w:pPr>
  </w:style>
  <w:style w:type="paragraph" w:customStyle="1" w:styleId="ListAlpha">
    <w:name w:val="List Alpha"/>
    <w:basedOn w:val="List"/>
    <w:rsid w:val="00B64C09"/>
    <w:pPr>
      <w:numPr>
        <w:numId w:val="9"/>
      </w:numPr>
    </w:pPr>
  </w:style>
  <w:style w:type="paragraph" w:customStyle="1" w:styleId="ListAlpha2">
    <w:name w:val="List Alpha 2"/>
    <w:basedOn w:val="List2"/>
    <w:rsid w:val="00B64C09"/>
    <w:pPr>
      <w:numPr>
        <w:numId w:val="8"/>
      </w:numPr>
    </w:pPr>
  </w:style>
  <w:style w:type="paragraph" w:styleId="List2">
    <w:name w:val="List 2"/>
    <w:basedOn w:val="BodyText"/>
    <w:rsid w:val="00B64C09"/>
    <w:pPr>
      <w:tabs>
        <w:tab w:val="left" w:pos="680"/>
      </w:tabs>
      <w:spacing w:before="60" w:after="60"/>
      <w:ind w:left="680" w:hanging="340"/>
    </w:pPr>
  </w:style>
  <w:style w:type="paragraph" w:styleId="List3">
    <w:name w:val="List 3"/>
    <w:basedOn w:val="BodyText"/>
    <w:rsid w:val="00B64C09"/>
    <w:pPr>
      <w:tabs>
        <w:tab w:val="left" w:pos="1021"/>
      </w:tabs>
      <w:spacing w:before="60" w:after="60"/>
      <w:ind w:left="1020" w:hanging="340"/>
    </w:pPr>
  </w:style>
  <w:style w:type="paragraph" w:styleId="List4">
    <w:name w:val="List 4"/>
    <w:basedOn w:val="BodyText"/>
    <w:rsid w:val="00B64C09"/>
    <w:pPr>
      <w:tabs>
        <w:tab w:val="left" w:pos="1361"/>
      </w:tabs>
      <w:spacing w:before="60" w:after="60"/>
      <w:ind w:left="1361" w:hanging="340"/>
    </w:pPr>
  </w:style>
  <w:style w:type="paragraph" w:styleId="List5">
    <w:name w:val="List 5"/>
    <w:basedOn w:val="BodyText"/>
    <w:rsid w:val="00B64C09"/>
    <w:pPr>
      <w:tabs>
        <w:tab w:val="left" w:pos="1701"/>
      </w:tabs>
      <w:spacing w:before="60" w:after="60"/>
      <w:ind w:left="1701" w:hanging="340"/>
    </w:pPr>
  </w:style>
  <w:style w:type="paragraph" w:styleId="ListBullet3">
    <w:name w:val="List Bullet 3"/>
    <w:basedOn w:val="List3"/>
    <w:rsid w:val="00B64C09"/>
    <w:pPr>
      <w:numPr>
        <w:numId w:val="14"/>
      </w:numPr>
      <w:tabs>
        <w:tab w:val="clear" w:pos="1021"/>
      </w:tabs>
      <w:ind w:left="1037" w:hanging="357"/>
    </w:pPr>
  </w:style>
  <w:style w:type="paragraph" w:styleId="ListBullet4">
    <w:name w:val="List Bullet 4"/>
    <w:basedOn w:val="List4"/>
    <w:rsid w:val="00B64C09"/>
    <w:pPr>
      <w:numPr>
        <w:numId w:val="3"/>
      </w:numPr>
      <w:tabs>
        <w:tab w:val="clear" w:pos="1361"/>
      </w:tabs>
    </w:pPr>
  </w:style>
  <w:style w:type="paragraph" w:styleId="ListBullet5">
    <w:name w:val="List Bullet 5"/>
    <w:basedOn w:val="List5"/>
    <w:rsid w:val="00B64C09"/>
    <w:pPr>
      <w:numPr>
        <w:numId w:val="4"/>
      </w:numPr>
    </w:pPr>
  </w:style>
  <w:style w:type="paragraph" w:styleId="ListContinue2">
    <w:name w:val="List Continue 2"/>
    <w:basedOn w:val="List2"/>
    <w:rsid w:val="00B64C09"/>
    <w:pPr>
      <w:ind w:firstLine="0"/>
    </w:pPr>
  </w:style>
  <w:style w:type="paragraph" w:styleId="ListContinue3">
    <w:name w:val="List Continue 3"/>
    <w:basedOn w:val="List3"/>
    <w:rsid w:val="00B64C09"/>
    <w:pPr>
      <w:ind w:left="1021" w:firstLine="0"/>
    </w:pPr>
  </w:style>
  <w:style w:type="paragraph" w:styleId="ListContinue4">
    <w:name w:val="List Continue 4"/>
    <w:basedOn w:val="List4"/>
    <w:rsid w:val="00B64C09"/>
    <w:pPr>
      <w:ind w:firstLine="0"/>
    </w:pPr>
  </w:style>
  <w:style w:type="paragraph" w:styleId="ListContinue5">
    <w:name w:val="List Continue 5"/>
    <w:basedOn w:val="List5"/>
    <w:rsid w:val="00B64C09"/>
    <w:pPr>
      <w:ind w:firstLine="0"/>
    </w:pPr>
  </w:style>
  <w:style w:type="paragraph" w:styleId="ListNumber3">
    <w:name w:val="List Number 3"/>
    <w:basedOn w:val="List3"/>
    <w:rsid w:val="00B64C09"/>
    <w:pPr>
      <w:numPr>
        <w:numId w:val="5"/>
      </w:numPr>
    </w:pPr>
  </w:style>
  <w:style w:type="paragraph" w:styleId="ListNumber4">
    <w:name w:val="List Number 4"/>
    <w:basedOn w:val="List4"/>
    <w:rsid w:val="00B64C09"/>
    <w:pPr>
      <w:numPr>
        <w:numId w:val="6"/>
      </w:numPr>
    </w:pPr>
  </w:style>
  <w:style w:type="paragraph" w:styleId="ListNumber5">
    <w:name w:val="List Number 5"/>
    <w:basedOn w:val="List5"/>
    <w:rsid w:val="00B64C09"/>
    <w:pPr>
      <w:numPr>
        <w:numId w:val="7"/>
      </w:numPr>
    </w:pPr>
  </w:style>
  <w:style w:type="paragraph" w:styleId="BlockText">
    <w:name w:val="Block Text"/>
    <w:basedOn w:val="Normal"/>
    <w:rsid w:val="00B64C09"/>
    <w:pPr>
      <w:spacing w:after="120"/>
      <w:ind w:left="1440" w:right="1440"/>
    </w:pPr>
  </w:style>
  <w:style w:type="character" w:customStyle="1" w:styleId="Subscript">
    <w:name w:val="Subscript"/>
    <w:basedOn w:val="DefaultParagraphFont"/>
    <w:rsid w:val="00B64C09"/>
    <w:rPr>
      <w:sz w:val="16"/>
      <w:vertAlign w:val="subscript"/>
    </w:rPr>
  </w:style>
  <w:style w:type="character" w:customStyle="1" w:styleId="Superscript">
    <w:name w:val="Superscript"/>
    <w:basedOn w:val="DefaultParagraphFont"/>
    <w:rsid w:val="00B64C09"/>
    <w:rPr>
      <w:sz w:val="16"/>
      <w:vertAlign w:val="superscript"/>
    </w:rPr>
  </w:style>
  <w:style w:type="character" w:customStyle="1" w:styleId="Symbols">
    <w:name w:val="Symbols"/>
    <w:basedOn w:val="DefaultParagraphFont"/>
    <w:rsid w:val="00B64C09"/>
    <w:rPr>
      <w:rFonts w:ascii="Symbol" w:hAnsi="Symbol"/>
    </w:rPr>
  </w:style>
  <w:style w:type="character" w:customStyle="1" w:styleId="MenuOptions">
    <w:name w:val="Menu Options"/>
    <w:basedOn w:val="DefaultParagraphFont"/>
    <w:rsid w:val="00B64C09"/>
    <w:rPr>
      <w:rFonts w:ascii="Arial Narrow" w:hAnsi="Arial Narrow"/>
      <w:smallCaps/>
    </w:rPr>
  </w:style>
  <w:style w:type="character" w:customStyle="1" w:styleId="Buttons">
    <w:name w:val="Buttons"/>
    <w:basedOn w:val="DefaultParagraphFont"/>
    <w:rsid w:val="00B64C09"/>
    <w:rPr>
      <w:b/>
    </w:rPr>
  </w:style>
  <w:style w:type="character" w:customStyle="1" w:styleId="Underlined">
    <w:name w:val="Underlined"/>
    <w:basedOn w:val="DefaultParagraphFont"/>
    <w:rsid w:val="00B64C09"/>
    <w:rPr>
      <w:u w:val="single"/>
    </w:rPr>
  </w:style>
  <w:style w:type="paragraph" w:customStyle="1" w:styleId="TableBodyTextRight">
    <w:name w:val="Table Body Text Right"/>
    <w:basedOn w:val="TableBodyText"/>
    <w:rsid w:val="00B64C09"/>
    <w:pPr>
      <w:widowControl w:val="0"/>
      <w:autoSpaceDE w:val="0"/>
      <w:autoSpaceDN w:val="0"/>
      <w:adjustRightInd w:val="0"/>
      <w:jc w:val="right"/>
    </w:pPr>
    <w:rPr>
      <w:rFonts w:cs="Arial"/>
      <w:szCs w:val="18"/>
    </w:rPr>
  </w:style>
  <w:style w:type="paragraph" w:customStyle="1" w:styleId="CopyrightText">
    <w:name w:val="Copyright Text"/>
    <w:basedOn w:val="BodyText"/>
    <w:rsid w:val="00B64C09"/>
    <w:rPr>
      <w:sz w:val="18"/>
    </w:rPr>
  </w:style>
  <w:style w:type="paragraph" w:customStyle="1" w:styleId="BodySmallRight">
    <w:name w:val="Body Small Right"/>
    <w:basedOn w:val="BodyTextRight"/>
    <w:rsid w:val="00B64C09"/>
    <w:rPr>
      <w:sz w:val="18"/>
      <w:szCs w:val="18"/>
    </w:rPr>
  </w:style>
  <w:style w:type="paragraph" w:customStyle="1" w:styleId="MarginEdition">
    <w:name w:val="Margin Edition"/>
    <w:basedOn w:val="MarginNote"/>
    <w:rsid w:val="00B64C09"/>
    <w:pPr>
      <w:spacing w:before="0" w:after="0"/>
    </w:pPr>
    <w:rPr>
      <w:rFonts w:ascii="Times New Roman" w:hAnsi="Times New Roman"/>
      <w:color w:val="999999"/>
    </w:rPr>
  </w:style>
  <w:style w:type="paragraph" w:customStyle="1" w:styleId="Spacer">
    <w:name w:val="Spacer"/>
    <w:basedOn w:val="Normal"/>
    <w:rsid w:val="00B64C09"/>
    <w:rPr>
      <w:sz w:val="2"/>
      <w:szCs w:val="2"/>
    </w:rPr>
  </w:style>
  <w:style w:type="character" w:customStyle="1" w:styleId="Small">
    <w:name w:val="Small"/>
    <w:basedOn w:val="DefaultParagraphFont"/>
    <w:rsid w:val="00B64C09"/>
    <w:rPr>
      <w:sz w:val="16"/>
    </w:rPr>
  </w:style>
  <w:style w:type="paragraph" w:customStyle="1" w:styleId="WideTable">
    <w:name w:val="Wide Table"/>
    <w:basedOn w:val="Normal"/>
    <w:rsid w:val="00B64C09"/>
    <w:pPr>
      <w:ind w:left="-1418"/>
    </w:pPr>
    <w:rPr>
      <w:sz w:val="2"/>
      <w:szCs w:val="2"/>
    </w:rPr>
  </w:style>
  <w:style w:type="character" w:styleId="PageNumber">
    <w:name w:val="page number"/>
    <w:basedOn w:val="DefaultParagraphFont"/>
    <w:rsid w:val="00B64C09"/>
  </w:style>
  <w:style w:type="paragraph" w:styleId="Quote">
    <w:name w:val="Quote"/>
    <w:basedOn w:val="Heading1"/>
    <w:link w:val="QuoteChar"/>
    <w:qFormat/>
    <w:rsid w:val="00B64C09"/>
    <w:rPr>
      <w:b w:val="0"/>
      <w:sz w:val="72"/>
      <w:szCs w:val="72"/>
      <w:lang w:val="en-NZ"/>
    </w:rPr>
  </w:style>
  <w:style w:type="character" w:customStyle="1" w:styleId="QuoteChar">
    <w:name w:val="Quote Char"/>
    <w:basedOn w:val="DefaultParagraphFont"/>
    <w:link w:val="Quote"/>
    <w:rsid w:val="00B64C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C09"/>
    <w:pPr>
      <w:pageBreakBefore/>
    </w:pPr>
  </w:style>
  <w:style w:type="paragraph" w:customStyle="1" w:styleId="Border">
    <w:name w:val="Border"/>
    <w:basedOn w:val="Normal"/>
    <w:qFormat/>
    <w:rsid w:val="00B64C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C09"/>
    <w:rPr>
      <w:b/>
      <w:bCs/>
      <w:i/>
      <w:iCs/>
      <w:color w:val="auto"/>
    </w:rPr>
  </w:style>
  <w:style w:type="paragraph" w:styleId="IntenseQuote">
    <w:name w:val="Intense Quote"/>
    <w:basedOn w:val="Normal"/>
    <w:next w:val="Normal"/>
    <w:link w:val="IntenseQuoteChar"/>
    <w:uiPriority w:val="30"/>
    <w:qFormat/>
    <w:rsid w:val="00B64C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C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C09"/>
    <w:rPr>
      <w:smallCaps/>
      <w:color w:val="auto"/>
      <w:u w:val="single"/>
    </w:rPr>
  </w:style>
  <w:style w:type="character" w:styleId="IntenseReference">
    <w:name w:val="Intense Reference"/>
    <w:basedOn w:val="DefaultParagraphFont"/>
    <w:uiPriority w:val="32"/>
    <w:qFormat/>
    <w:rsid w:val="00B64C09"/>
    <w:rPr>
      <w:b/>
      <w:bCs/>
      <w:smallCaps/>
      <w:color w:val="auto"/>
      <w:spacing w:val="5"/>
      <w:u w:val="single"/>
    </w:rPr>
  </w:style>
  <w:style w:type="paragraph" w:customStyle="1" w:styleId="2ColumnHeading">
    <w:name w:val="2Column Heading"/>
    <w:basedOn w:val="BodyText"/>
    <w:qFormat/>
    <w:rsid w:val="00B64C09"/>
    <w:pPr>
      <w:spacing w:after="60"/>
      <w:ind w:left="-2268"/>
    </w:pPr>
    <w:rPr>
      <w:b/>
    </w:rPr>
  </w:style>
  <w:style w:type="paragraph" w:customStyle="1" w:styleId="Heading1TOC">
    <w:name w:val="Heading1 TOC"/>
    <w:basedOn w:val="Normal"/>
    <w:qFormat/>
    <w:rsid w:val="00B64C09"/>
    <w:pPr>
      <w:spacing w:before="240" w:after="120"/>
    </w:pPr>
    <w:rPr>
      <w:rFonts w:ascii="Times New Roman" w:hAnsi="Times New Roman"/>
      <w:b/>
      <w:sz w:val="32"/>
    </w:rPr>
  </w:style>
  <w:style w:type="paragraph" w:customStyle="1" w:styleId="Heading2TOC">
    <w:name w:val="Heading2 TOC"/>
    <w:basedOn w:val="Normal"/>
    <w:qFormat/>
    <w:rsid w:val="00B64C09"/>
    <w:pPr>
      <w:spacing w:before="240" w:after="60"/>
    </w:pPr>
    <w:rPr>
      <w:rFonts w:ascii="Times New Roman" w:hAnsi="Times New Roman"/>
      <w:b/>
      <w:sz w:val="28"/>
    </w:rPr>
  </w:style>
  <w:style w:type="character" w:customStyle="1" w:styleId="Underline">
    <w:name w:val="Underline"/>
    <w:basedOn w:val="DefaultParagraphFont"/>
    <w:qFormat/>
    <w:rsid w:val="00B64C09"/>
    <w:rPr>
      <w:u w:val="single"/>
    </w:rPr>
  </w:style>
  <w:style w:type="character" w:customStyle="1" w:styleId="BoldandItalics">
    <w:name w:val="Bold and Italics"/>
    <w:qFormat/>
    <w:rsid w:val="00B64C09"/>
    <w:rPr>
      <w:b/>
      <w:i/>
      <w:u w:val="none"/>
    </w:rPr>
  </w:style>
  <w:style w:type="paragraph" w:styleId="BalloonText">
    <w:name w:val="Balloon Text"/>
    <w:basedOn w:val="Normal"/>
    <w:link w:val="BalloonTextChar"/>
    <w:rsid w:val="00B64C09"/>
    <w:rPr>
      <w:rFonts w:ascii="Tahoma" w:hAnsi="Tahoma" w:cs="Tahoma"/>
      <w:sz w:val="16"/>
      <w:szCs w:val="16"/>
    </w:rPr>
  </w:style>
  <w:style w:type="character" w:customStyle="1" w:styleId="BalloonTextChar">
    <w:name w:val="Balloon Text Char"/>
    <w:basedOn w:val="DefaultParagraphFont"/>
    <w:link w:val="BalloonText"/>
    <w:rsid w:val="00B64C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C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C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C09"/>
    <w:rPr>
      <w:b/>
      <w:color w:val="660033"/>
      <w:spacing w:val="0"/>
    </w:rPr>
  </w:style>
  <w:style w:type="paragraph" w:customStyle="1" w:styleId="Nameditemlist">
    <w:name w:val="Named item list"/>
    <w:basedOn w:val="BodyText"/>
    <w:qFormat/>
    <w:rsid w:val="00B64C09"/>
    <w:pPr>
      <w:tabs>
        <w:tab w:val="left" w:pos="2835"/>
      </w:tabs>
      <w:ind w:left="2835" w:hanging="2835"/>
    </w:pPr>
  </w:style>
  <w:style w:type="paragraph" w:customStyle="1" w:styleId="BodyTextnopadding">
    <w:name w:val="Body Text no padding"/>
    <w:basedOn w:val="BodyText"/>
    <w:qFormat/>
    <w:rsid w:val="00B64C09"/>
    <w:pPr>
      <w:spacing w:before="0" w:after="0"/>
    </w:pPr>
  </w:style>
  <w:style w:type="paragraph" w:customStyle="1" w:styleId="BodyTextBold">
    <w:name w:val="Body Text Bold"/>
    <w:basedOn w:val="BodyText"/>
    <w:qFormat/>
    <w:rsid w:val="00B64C09"/>
    <w:rPr>
      <w:b/>
    </w:rPr>
  </w:style>
  <w:style w:type="character" w:styleId="Hyperlink">
    <w:name w:val="Hyperlink"/>
    <w:basedOn w:val="DefaultParagraphFont"/>
    <w:uiPriority w:val="99"/>
    <w:unhideWhenUsed/>
    <w:rsid w:val="005110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Words>
  <Characters>4369</Characters>
  <Application>Microsoft Office Word</Application>
  <DocSecurity>0</DocSecurity>
  <Lines>112</Lines>
  <Paragraphs>98</Paragraphs>
  <ScaleCrop>false</ScaleCrop>
  <Company>Author-it Software Corporation Ltd.</Company>
  <LinksUpToDate>false</LinksUpToDate>
  <CharactersWithSpaces>4911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UEERE0050 Identify and isolate multiple supply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2024-11-29T00:50:00Z</dcterms:created>
  <dcterms:modified xsi:type="dcterms:W3CDTF">2024-11-29T00:50:00Z</dcterms:modified>
</cp:coreProperties>
</file>