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B70" w:rsidP="00AD4B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UEERE0047 Solve problems in wind energy conversion systems (WECS) rated up to 10 kW</w:t>
      </w:r>
      <w:r>
        <w:fldChar w:fldCharType="end"/>
      </w:r>
    </w:p>
    <w:p w:rsidR="00AD4B70" w:rsidP="00AD4B70">
      <w:pPr>
        <w:pStyle w:val="Version"/>
        <w:sectPr w:rsidSect="005C00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C00D9" w:rsidP="005C00D9">
      <w:pPr>
        <w:pStyle w:val="SuperHeading"/>
      </w:pPr>
      <w:r w:rsidRPr="005C00D9">
        <w:t>Assessment Requirements for UEERE0047 Solve problems in wind energy conversion systems (WECS) rated up to 10 kW</w:t>
      </w:r>
    </w:p>
    <w:p w:rsidR="00000000" w:rsidRPr="005C00D9" w:rsidP="005C00D9">
      <w:pPr>
        <w:pStyle w:val="Heading1"/>
      </w:pPr>
      <w:bookmarkStart w:id="1" w:name="O_1102587"/>
      <w:bookmarkEnd w:id="1"/>
      <w:r w:rsidRPr="005C00D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0D9" w:rsidP="005C00D9">
            <w:pPr>
              <w:pStyle w:val="BodyText"/>
            </w:pPr>
            <w:r w:rsidRPr="005C00D9">
              <w:t>Release 1. This is the first release of this unit of competency in the UEE Electrotechnology Training Package.</w:t>
            </w:r>
          </w:p>
        </w:tc>
      </w:tr>
    </w:tbl>
    <w:p w:rsidR="00000000" w:rsidRPr="005C00D9" w:rsidP="005C00D9">
      <w:pPr>
        <w:pStyle w:val="NoPaddingFontSize1"/>
      </w:pPr>
    </w:p>
    <w:p w:rsidR="00000000" w:rsidRPr="005C00D9" w:rsidP="005C00D9">
      <w:pPr>
        <w:pStyle w:val="AllowPageBreak"/>
      </w:pPr>
    </w:p>
    <w:p w:rsidR="00000000" w:rsidRPr="005C00D9" w:rsidP="005C00D9">
      <w:pPr>
        <w:pStyle w:val="Heading1"/>
      </w:pPr>
      <w:bookmarkStart w:id="2" w:name="O_1102588"/>
      <w:bookmarkEnd w:id="2"/>
      <w:r w:rsidRPr="005C00D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0D9">
            <w:pPr>
              <w:pStyle w:val="BodyText"/>
              <w:rPr>
                <w:lang w:val="en-NZ"/>
              </w:rPr>
            </w:pPr>
            <w:r w:rsidRPr="005C00D9">
              <w:t>Evidence required to demonstrate competence in this unit must be relevant to and satisfy all of the req</w:t>
            </w:r>
            <w:r w:rsidRPr="005C00D9">
              <w:t>uirements of the elements, performance criteria and range of conditions on at least one occasion and include:</w:t>
            </w:r>
          </w:p>
        </w:tc>
      </w:tr>
      <w:tr w:rsidTr="005C0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0D9" w:rsidP="005C00D9">
            <w:pPr>
              <w:pStyle w:val="ListBullet"/>
            </w:pPr>
            <w:r w:rsidRPr="005C00D9">
              <w:t>understanding the nature of the problem</w:t>
            </w:r>
          </w:p>
          <w:p w:rsidR="00000000" w:rsidRPr="005C00D9" w:rsidP="005C00D9">
            <w:pPr>
              <w:pStyle w:val="ListBullet"/>
            </w:pPr>
            <w:r w:rsidRPr="005C00D9">
              <w:t>using established routines to solve apparatus problems</w:t>
            </w:r>
          </w:p>
          <w:p w:rsidR="00000000" w:rsidRPr="005C00D9" w:rsidP="005C00D9">
            <w:pPr>
              <w:pStyle w:val="ListBullet"/>
            </w:pPr>
            <w:r w:rsidRPr="005C00D9">
              <w:t>providing viable solutions to apparatus problems</w:t>
            </w:r>
          </w:p>
          <w:p w:rsidR="00000000" w:rsidRPr="005C00D9" w:rsidP="005C00D9">
            <w:pPr>
              <w:pStyle w:val="ListBullet"/>
            </w:pPr>
            <w:r w:rsidRPr="005C00D9">
              <w:t>documenting justification for the solutions used</w:t>
            </w:r>
          </w:p>
          <w:p w:rsidR="00000000" w:rsidRPr="005C00D9" w:rsidP="005C00D9">
            <w:pPr>
              <w:pStyle w:val="ListBullet"/>
            </w:pPr>
            <w:r w:rsidRPr="005C00D9">
              <w:t>dealing with unplanned events</w:t>
            </w:r>
          </w:p>
          <w:p w:rsidR="00000000" w:rsidRPr="005C00D9" w:rsidP="005C00D9">
            <w:pPr>
              <w:pStyle w:val="ListBullet"/>
            </w:pPr>
            <w:r w:rsidRPr="005C00D9">
              <w:t>applying relevant work health and safety (WHS)/occupational health and safety (OHS) requirements and workplace procedures and practices, including the use of risk control measur</w:t>
            </w:r>
            <w:r w:rsidRPr="005C00D9">
              <w:t>es</w:t>
            </w:r>
          </w:p>
          <w:p w:rsidR="00000000" w:rsidRPr="005C00D9" w:rsidP="005C00D9">
            <w:pPr>
              <w:pStyle w:val="ListBullet"/>
            </w:pPr>
            <w:r w:rsidRPr="005C00D9">
              <w:t>applying sustainable energy principles and practices</w:t>
            </w:r>
          </w:p>
          <w:p w:rsidR="00000000" w:rsidRPr="005C00D9" w:rsidP="005C00D9">
            <w:pPr>
              <w:pStyle w:val="ListBullet"/>
            </w:pPr>
            <w:r w:rsidRPr="005C00D9">
              <w:t>checking isolation of circuits/machines/systems</w:t>
            </w:r>
          </w:p>
          <w:p w:rsidR="00000000" w:rsidRPr="005C00D9" w:rsidP="005C00D9">
            <w:pPr>
              <w:pStyle w:val="ListBullet"/>
            </w:pPr>
            <w:r w:rsidRPr="005C00D9">
              <w:t>coordinating work with relevant person/s</w:t>
            </w:r>
          </w:p>
          <w:p w:rsidR="00000000" w:rsidRPr="005C00D9" w:rsidP="005C00D9">
            <w:pPr>
              <w:pStyle w:val="ListBullet"/>
            </w:pPr>
            <w:r w:rsidRPr="005C00D9">
              <w:t>determining live electrical testing/measurement requirements</w:t>
            </w:r>
          </w:p>
          <w:p w:rsidR="00000000" w:rsidRPr="005C00D9" w:rsidP="005C00D9">
            <w:pPr>
              <w:pStyle w:val="ListBullet"/>
            </w:pPr>
            <w:r w:rsidRPr="005C00D9">
              <w:t>identifying and accessing materials, tools, equipment and testing devices</w:t>
            </w:r>
          </w:p>
          <w:p w:rsidR="00000000" w:rsidRPr="005C00D9" w:rsidP="005C00D9">
            <w:pPr>
              <w:pStyle w:val="ListBullet"/>
            </w:pPr>
            <w:r w:rsidRPr="005C00D9">
              <w:t>solving problems in wind energy conversion systems (WECS).</w:t>
            </w:r>
          </w:p>
        </w:tc>
      </w:tr>
    </w:tbl>
    <w:p w:rsidR="00000000" w:rsidRPr="005C00D9" w:rsidP="005C00D9">
      <w:pPr>
        <w:pStyle w:val="NoPaddingFontSize1"/>
      </w:pPr>
    </w:p>
    <w:p w:rsidR="00000000" w:rsidRPr="005C00D9" w:rsidP="005C00D9">
      <w:pPr>
        <w:pStyle w:val="AllowPageBreak"/>
      </w:pPr>
    </w:p>
    <w:p w:rsidR="00000000" w:rsidRPr="005C00D9" w:rsidP="005C00D9">
      <w:pPr>
        <w:pStyle w:val="Heading1"/>
      </w:pPr>
      <w:bookmarkStart w:id="3" w:name="O_1102589"/>
      <w:bookmarkEnd w:id="3"/>
      <w:r w:rsidRPr="005C00D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C00D9">
            <w:pPr>
              <w:pStyle w:val="BodyText"/>
              <w:rPr>
                <w:lang w:val="en-NZ"/>
              </w:rPr>
            </w:pPr>
            <w:r w:rsidRPr="005C00D9">
              <w:t>Evidence required to demonstrate competence in this unit must be relevant to and sa</w:t>
            </w:r>
            <w:r w:rsidRPr="005C00D9">
              <w:t>tisfy all of the requirements of the elements, performance criteria and range of conditions and include knowledge of:</w:t>
            </w:r>
          </w:p>
        </w:tc>
      </w:tr>
      <w:tr w:rsidTr="005C0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0D9" w:rsidP="005C00D9">
            <w:pPr>
              <w:pStyle w:val="ListBullet"/>
            </w:pPr>
            <w:r w:rsidRPr="005C00D9">
              <w:t>types, construction and operating features of small WECS, construction and operating features to the extent indicated by the following a</w:t>
            </w:r>
            <w:r w:rsidRPr="005C00D9">
              <w:t>spects:</w:t>
            </w:r>
          </w:p>
          <w:p w:rsidR="00000000" w:rsidRPr="005C00D9" w:rsidP="005C00D9">
            <w:pPr>
              <w:pStyle w:val="ListBullet2"/>
            </w:pPr>
            <w:r w:rsidRPr="005C00D9">
              <w:t>basic operation of lift and drag type WECS</w:t>
            </w:r>
          </w:p>
          <w:p w:rsidR="00000000" w:rsidRPr="005C00D9" w:rsidP="005C00D9">
            <w:pPr>
              <w:pStyle w:val="ListBullet2"/>
            </w:pPr>
            <w:r w:rsidRPr="005C00D9">
              <w:t>characteristics of WECS in terms of power and torque, efficiency (power and output co-efficient), solidity and tip speed ratio</w:t>
            </w:r>
          </w:p>
          <w:p w:rsidR="00000000" w:rsidRPr="005C00D9" w:rsidP="005C00D9">
            <w:pPr>
              <w:pStyle w:val="ListBullet2"/>
            </w:pPr>
            <w:r w:rsidRPr="005C00D9">
              <w:t>major categories and sub-categories of WECS</w:t>
            </w:r>
          </w:p>
          <w:p w:rsidR="00000000" w:rsidRPr="005C00D9" w:rsidP="005C00D9">
            <w:pPr>
              <w:pStyle w:val="ListBullet2"/>
            </w:pPr>
            <w:r w:rsidRPr="005C00D9">
              <w:t>advantages and disadvantages of each type of WECS</w:t>
            </w:r>
          </w:p>
          <w:p w:rsidR="00000000" w:rsidRPr="005C00D9" w:rsidP="005C00D9">
            <w:pPr>
              <w:pStyle w:val="ListBullet2"/>
            </w:pPr>
            <w:r w:rsidRPr="005C00D9">
              <w:t xml:space="preserve">suitable materials for the construction of WECS taking into consideration fatigue stresses </w:t>
            </w:r>
            <w:r w:rsidRPr="005C00D9">
              <w:t>and environmental conditions such as salt air, humidity and ice</w:t>
            </w:r>
          </w:p>
          <w:p w:rsidR="00000000" w:rsidRPr="005C00D9" w:rsidP="005C00D9">
            <w:pPr>
              <w:pStyle w:val="ListBullet2"/>
            </w:pPr>
            <w:r w:rsidRPr="005C00D9">
              <w:t>typical system configurations and components for st</w:t>
            </w:r>
            <w:r w:rsidRPr="005C00D9">
              <w:t>and-alone power systems and water pumping</w:t>
            </w:r>
          </w:p>
          <w:p w:rsidR="00000000" w:rsidRPr="005C00D9" w:rsidP="005C00D9">
            <w:pPr>
              <w:pStyle w:val="ListBullet2"/>
            </w:pPr>
            <w:r w:rsidRPr="005C00D9">
              <w:t>strategies and/or mechanisms to control mechanical stresses on the WECS in gale force winds and power output for battery charging</w:t>
            </w:r>
          </w:p>
          <w:p w:rsidR="00000000" w:rsidRPr="005C00D9" w:rsidP="005C00D9">
            <w:pPr>
              <w:pStyle w:val="ListBullet2"/>
            </w:pPr>
            <w:r w:rsidRPr="005C00D9">
              <w:t>appropriate types of WECS for a particular application</w:t>
            </w:r>
          </w:p>
          <w:p w:rsidR="00000000" w:rsidRPr="005C00D9" w:rsidP="005C00D9">
            <w:pPr>
              <w:pStyle w:val="ListBullet2"/>
            </w:pPr>
            <w:r w:rsidRPr="005C00D9">
              <w:t>problem-solving techniques</w:t>
            </w:r>
          </w:p>
          <w:p w:rsidR="00000000" w:rsidRPr="005C00D9" w:rsidP="005C00D9">
            <w:pPr>
              <w:pStyle w:val="ListBullet2"/>
            </w:pPr>
            <w:r w:rsidRPr="005C00D9">
              <w:t>re</w:t>
            </w:r>
            <w:r w:rsidRPr="005C00D9">
              <w:t>levant manufacturer specifications</w:t>
            </w:r>
          </w:p>
          <w:p w:rsidR="00000000" w:rsidRPr="005C00D9" w:rsidP="005C00D9">
            <w:pPr>
              <w:pStyle w:val="ListBullet2"/>
            </w:pPr>
            <w:r w:rsidRPr="005C00D9">
              <w:t>relevant safe work method statements (SWMS)/job safety assessments or risk mitigation processes</w:t>
            </w:r>
          </w:p>
          <w:p w:rsidR="00000000" w:rsidRPr="005C00D9" w:rsidP="005C00D9">
            <w:pPr>
              <w:pStyle w:val="ListBullet2"/>
            </w:pPr>
            <w:r w:rsidRPr="005C00D9">
              <w:t>relevant WHS/OHS legislated requirements</w:t>
            </w:r>
          </w:p>
          <w:p w:rsidR="00000000" w:rsidRPr="005C00D9" w:rsidP="005C00D9">
            <w:pPr>
              <w:pStyle w:val="ListBullet2"/>
            </w:pPr>
            <w:r w:rsidRPr="005C00D9">
              <w:t>relevant workplace documentation</w:t>
            </w:r>
          </w:p>
          <w:p w:rsidR="00000000" w:rsidRPr="005C00D9" w:rsidP="005C00D9">
            <w:pPr>
              <w:pStyle w:val="ListBullet2"/>
            </w:pPr>
            <w:r w:rsidRPr="005C00D9">
              <w:t>relevant workplace policies and procedures encompas</w:t>
            </w:r>
            <w:r w:rsidRPr="005C00D9">
              <w:t>sing:</w:t>
            </w:r>
          </w:p>
          <w:p w:rsidR="00000000" w:rsidRPr="005C00D9" w:rsidP="005C00D9">
            <w:pPr>
              <w:pStyle w:val="ListBullet3"/>
            </w:pPr>
            <w:r w:rsidRPr="005C00D9">
              <w:t>power output for battery charging</w:t>
            </w:r>
          </w:p>
          <w:p w:rsidR="00000000" w:rsidRPr="005C00D9" w:rsidP="005C00D9">
            <w:pPr>
              <w:pStyle w:val="ListBullet3"/>
            </w:pPr>
            <w:r w:rsidRPr="005C00D9">
              <w:t>water pumping.</w:t>
            </w:r>
          </w:p>
        </w:tc>
      </w:tr>
    </w:tbl>
    <w:p w:rsidR="00000000" w:rsidRPr="005C00D9" w:rsidP="005C00D9">
      <w:pPr>
        <w:pStyle w:val="NoPaddingFontSize1"/>
      </w:pPr>
    </w:p>
    <w:p w:rsidR="00000000" w:rsidRPr="005C00D9" w:rsidP="005C00D9">
      <w:pPr>
        <w:pStyle w:val="AllowPageBreak"/>
      </w:pPr>
    </w:p>
    <w:p w:rsidR="00000000" w:rsidRPr="005C00D9" w:rsidP="005C00D9">
      <w:pPr>
        <w:pStyle w:val="Heading1"/>
      </w:pPr>
      <w:bookmarkStart w:id="4" w:name="O_1102590"/>
      <w:bookmarkEnd w:id="4"/>
      <w:r w:rsidRPr="005C00D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C00D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C00D9" w:rsidP="005C00D9">
            <w:pPr>
              <w:pStyle w:val="BodyText"/>
            </w:pPr>
            <w:r w:rsidRPr="005C00D9">
              <w:t>Assessors must hold credentials specified within the Standards for Registered Training Organisations current at the time of assessment.</w:t>
            </w:r>
          </w:p>
          <w:p w:rsidR="00000000" w:rsidRPr="005C00D9" w:rsidP="005C00D9">
            <w:pPr>
              <w:pStyle w:val="BodyText"/>
            </w:pPr>
            <w:r w:rsidRPr="005C00D9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5C00D9" w:rsidP="005C00D9">
            <w:pPr>
              <w:pStyle w:val="BodyText"/>
            </w:pPr>
            <w:r w:rsidRPr="005C00D9">
              <w:t>Assessment must occur in suitable workplace op</w:t>
            </w:r>
            <w:r w:rsidRPr="005C00D9">
              <w:t>erational situations where it is appropriate to do so; where this is not appropriate, assessment must occur in suitable simulated workplace operational situations that replicate workplace conditions.</w:t>
            </w:r>
          </w:p>
          <w:p w:rsidR="00000000" w:rsidRPr="005C00D9" w:rsidP="005C00D9">
            <w:pPr>
              <w:pStyle w:val="BodyText"/>
            </w:pPr>
            <w:r w:rsidRPr="005C00D9">
              <w:t xml:space="preserve">Assessment processes and techniques must be appropriate </w:t>
            </w:r>
            <w:r w:rsidRPr="005C00D9">
              <w:t>to the language, literacy and numeracy requirements of the work being performed and the needs of the candidate.</w:t>
            </w:r>
          </w:p>
          <w:p w:rsidR="00000000" w:rsidRPr="005C00D9" w:rsidP="005C00D9">
            <w:pPr>
              <w:pStyle w:val="BodyText"/>
            </w:pPr>
            <w:r w:rsidRPr="005C00D9">
              <w:t>Resources for assessment must include access to:</w:t>
            </w:r>
          </w:p>
          <w:p w:rsidR="00000000" w:rsidRPr="005C00D9" w:rsidP="005C00D9">
            <w:pPr>
              <w:pStyle w:val="ListBullet"/>
            </w:pPr>
            <w:r w:rsidRPr="005C00D9">
              <w:t>a range of relevant exercises, case studies and/or other simulations</w:t>
            </w:r>
          </w:p>
          <w:p w:rsidR="00000000" w:rsidRPr="005C00D9" w:rsidP="005C00D9">
            <w:pPr>
              <w:pStyle w:val="ListBullet"/>
            </w:pPr>
            <w:r w:rsidRPr="005C00D9">
              <w:t>relevant and appropriate materials, tools, equipment and personal protective equipment (PPE) currently used in industry</w:t>
            </w:r>
          </w:p>
          <w:p w:rsidR="00000000" w:rsidRPr="005C00D9" w:rsidP="005C00D9">
            <w:pPr>
              <w:pStyle w:val="ListBullet"/>
            </w:pPr>
            <w:r w:rsidRPr="005C00D9">
              <w:t>resources that reflect current industry practices in relation to solving problems in WECS</w:t>
            </w:r>
          </w:p>
          <w:p w:rsidR="00000000" w:rsidRPr="005C00D9" w:rsidP="005C00D9">
            <w:pPr>
              <w:pStyle w:val="ListBullet"/>
            </w:pPr>
            <w:r w:rsidRPr="005C00D9">
              <w:t xml:space="preserve">applicable documentation, including workplace </w:t>
            </w:r>
            <w:r w:rsidRPr="005C00D9">
              <w:t>procedures, equipment specifications, regulations, codes of practice and operation manuals.</w:t>
            </w:r>
          </w:p>
        </w:tc>
      </w:tr>
    </w:tbl>
    <w:p w:rsidR="00000000" w:rsidRPr="005C00D9" w:rsidP="005C00D9">
      <w:pPr>
        <w:pStyle w:val="NoPaddingFontSize1"/>
      </w:pPr>
    </w:p>
    <w:p w:rsidR="00000000" w:rsidRPr="005C00D9" w:rsidP="005C00D9">
      <w:pPr>
        <w:pStyle w:val="AllowPageBreak"/>
      </w:pPr>
    </w:p>
    <w:p w:rsidR="00000000" w:rsidRPr="005C00D9" w:rsidP="005C00D9">
      <w:pPr>
        <w:pStyle w:val="Heading1"/>
      </w:pPr>
      <w:bookmarkStart w:id="5" w:name="O_1102593"/>
      <w:bookmarkEnd w:id="5"/>
      <w:r w:rsidRPr="005C00D9">
        <w:t>Links</w:t>
      </w:r>
    </w:p>
    <w:p w:rsidR="00000000" w:rsidRPr="005C00D9" w:rsidP="00AD4B70">
      <w:pPr>
        <w:pStyle w:val="BodyText"/>
      </w:pPr>
      <w:r w:rsidRPr="005C00D9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A3133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C00D9" w:rsidP="005C00D9"/>
    <w:sectPr w:rsidSect="005C00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D9" w:rsidRPr="00AD4B70" w:rsidP="00AD4B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70" w:rsidP="005C00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4B70" w:rsidP="005C00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D4B70" w:rsidP="005C00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C00D9" w:rsidRPr="00AD4B70" w:rsidP="00AD4B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0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B70" w:rsidRPr="002D2AF8" w:rsidP="005C00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UEERE0047 Solve problems in wind energy conversion systems (WECS) rated up to 10 kW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2022</w:t>
    </w:r>
    <w:r>
      <w:fldChar w:fldCharType="end"/>
    </w:r>
  </w:p>
  <w:p w:rsidR="00AD4B70" w:rsidP="005C00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3466E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2AAD4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FB890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0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C00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C00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C00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C00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C00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C00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C00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C00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C00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C00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C00D9"/>
  </w:style>
  <w:style w:type="character" w:customStyle="1" w:styleId="Heading1Char">
    <w:name w:val="Heading 1 Char"/>
    <w:basedOn w:val="DefaultParagraphFont"/>
    <w:link w:val="Heading1"/>
    <w:rsid w:val="005C00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C00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C00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C00D9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C00D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C00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C00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C00D9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C00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C00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C00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C0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C00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C0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C00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C00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C00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C00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C00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C00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C00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C00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C00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C00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C00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C00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C00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C00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C00D9"/>
    <w:rPr>
      <w:b/>
      <w:spacing w:val="0"/>
    </w:rPr>
  </w:style>
  <w:style w:type="paragraph" w:customStyle="1" w:styleId="SuperTitle">
    <w:name w:val="SuperTitle"/>
    <w:basedOn w:val="Title"/>
    <w:rsid w:val="005C00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C00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C00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C00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C00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C00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C00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C00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C00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C00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C00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C00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C00D9"/>
    <w:rPr>
      <w:i/>
    </w:rPr>
  </w:style>
  <w:style w:type="paragraph" w:styleId="Caption">
    <w:name w:val="caption"/>
    <w:basedOn w:val="BodyText"/>
    <w:next w:val="Normal"/>
    <w:qFormat/>
    <w:rsid w:val="005C00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C00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C00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C00D9"/>
  </w:style>
  <w:style w:type="paragraph" w:styleId="TableofFigures">
    <w:name w:val="table of figures"/>
    <w:basedOn w:val="Normal"/>
    <w:next w:val="Normal"/>
    <w:semiHidden/>
    <w:rsid w:val="005C00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C00D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5C00D9"/>
    <w:rPr>
      <w:rFonts w:ascii="Wingdings" w:hAnsi="Wingdings"/>
    </w:rPr>
  </w:style>
  <w:style w:type="paragraph" w:customStyle="1" w:styleId="TableHeading">
    <w:name w:val="Table Heading"/>
    <w:basedOn w:val="HeadingBase"/>
    <w:rsid w:val="005C00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C00D9"/>
    <w:rPr>
      <w:color w:val="0033CC"/>
      <w:u w:val="none"/>
    </w:rPr>
  </w:style>
  <w:style w:type="paragraph" w:customStyle="1" w:styleId="BodyTextRight">
    <w:name w:val="Body Text Right"/>
    <w:basedOn w:val="BodyText"/>
    <w:rsid w:val="005C00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C00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C00D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C00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C00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C00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C00D9"/>
    <w:rPr>
      <w:sz w:val="32"/>
    </w:rPr>
  </w:style>
  <w:style w:type="paragraph" w:customStyle="1" w:styleId="HeadingProcedure">
    <w:name w:val="Heading Procedure"/>
    <w:basedOn w:val="HeadingBase"/>
    <w:next w:val="Normal"/>
    <w:rsid w:val="005C00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C00D9"/>
    <w:pPr>
      <w:spacing w:before="60" w:after="60"/>
    </w:pPr>
  </w:style>
  <w:style w:type="paragraph" w:styleId="ListContinue">
    <w:name w:val="List Continue"/>
    <w:basedOn w:val="List"/>
    <w:rsid w:val="005C00D9"/>
    <w:pPr>
      <w:ind w:firstLine="0"/>
    </w:pPr>
  </w:style>
  <w:style w:type="paragraph" w:customStyle="1" w:styleId="ListNote">
    <w:name w:val="List Note"/>
    <w:basedOn w:val="List"/>
    <w:rsid w:val="005C00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C00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C00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C00D9"/>
    <w:rPr>
      <w:rFonts w:ascii="Courier New" w:hAnsi="Courier New"/>
    </w:rPr>
  </w:style>
  <w:style w:type="paragraph" w:customStyle="1" w:styleId="NoteBullet">
    <w:name w:val="Note Bullet"/>
    <w:basedOn w:val="Note"/>
    <w:rsid w:val="005C00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C00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C00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C00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C00D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C00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C00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C00D9"/>
    <w:rPr>
      <w:b/>
      <w:smallCaps/>
    </w:rPr>
  </w:style>
  <w:style w:type="paragraph" w:customStyle="1" w:styleId="TableListNumber">
    <w:name w:val="Table List Number"/>
    <w:basedOn w:val="ListNumber"/>
    <w:rsid w:val="005C00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C00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C00D9"/>
    <w:pPr>
      <w:numPr>
        <w:numId w:val="10"/>
      </w:numPr>
    </w:pPr>
  </w:style>
  <w:style w:type="paragraph" w:customStyle="1" w:styleId="ListAlpha2">
    <w:name w:val="List Alpha 2"/>
    <w:basedOn w:val="List2"/>
    <w:rsid w:val="005C00D9"/>
    <w:pPr>
      <w:numPr>
        <w:numId w:val="9"/>
      </w:numPr>
    </w:pPr>
  </w:style>
  <w:style w:type="paragraph" w:styleId="List2">
    <w:name w:val="List 2"/>
    <w:basedOn w:val="BodyText"/>
    <w:rsid w:val="005C00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C00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C00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C00D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C00D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C00D9"/>
    <w:pPr>
      <w:numPr>
        <w:numId w:val="5"/>
      </w:numPr>
    </w:pPr>
  </w:style>
  <w:style w:type="paragraph" w:styleId="ListContinue2">
    <w:name w:val="List Continue 2"/>
    <w:basedOn w:val="List2"/>
    <w:rsid w:val="005C00D9"/>
    <w:pPr>
      <w:ind w:firstLine="0"/>
    </w:pPr>
  </w:style>
  <w:style w:type="paragraph" w:styleId="ListContinue3">
    <w:name w:val="List Continue 3"/>
    <w:basedOn w:val="List3"/>
    <w:rsid w:val="005C00D9"/>
    <w:pPr>
      <w:ind w:left="1021" w:firstLine="0"/>
    </w:pPr>
  </w:style>
  <w:style w:type="paragraph" w:styleId="ListContinue4">
    <w:name w:val="List Continue 4"/>
    <w:basedOn w:val="List4"/>
    <w:rsid w:val="005C00D9"/>
    <w:pPr>
      <w:ind w:firstLine="0"/>
    </w:pPr>
  </w:style>
  <w:style w:type="paragraph" w:styleId="ListContinue5">
    <w:name w:val="List Continue 5"/>
    <w:basedOn w:val="List5"/>
    <w:rsid w:val="005C00D9"/>
    <w:pPr>
      <w:ind w:firstLine="0"/>
    </w:pPr>
  </w:style>
  <w:style w:type="paragraph" w:styleId="ListNumber3">
    <w:name w:val="List Number 3"/>
    <w:basedOn w:val="List3"/>
    <w:rsid w:val="005C00D9"/>
    <w:pPr>
      <w:numPr>
        <w:numId w:val="6"/>
      </w:numPr>
    </w:pPr>
  </w:style>
  <w:style w:type="paragraph" w:styleId="ListNumber4">
    <w:name w:val="List Number 4"/>
    <w:basedOn w:val="List4"/>
    <w:rsid w:val="005C00D9"/>
    <w:pPr>
      <w:numPr>
        <w:numId w:val="7"/>
      </w:numPr>
    </w:pPr>
  </w:style>
  <w:style w:type="paragraph" w:styleId="ListNumber5">
    <w:name w:val="List Number 5"/>
    <w:basedOn w:val="List5"/>
    <w:rsid w:val="005C00D9"/>
    <w:pPr>
      <w:numPr>
        <w:numId w:val="8"/>
      </w:numPr>
    </w:pPr>
  </w:style>
  <w:style w:type="paragraph" w:styleId="BlockText">
    <w:name w:val="Block Text"/>
    <w:basedOn w:val="Normal"/>
    <w:rsid w:val="005C00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C00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C00D9"/>
    <w:rPr>
      <w:sz w:val="16"/>
      <w:vertAlign w:val="superscript"/>
    </w:rPr>
  </w:style>
  <w:style w:type="character" w:customStyle="1" w:styleId="Symbols">
    <w:name w:val="Symbols"/>
    <w:basedOn w:val="DefaultParagraphFont"/>
    <w:rsid w:val="005C00D9"/>
    <w:rPr>
      <w:rFonts w:ascii="Symbol" w:hAnsi="Symbol"/>
    </w:rPr>
  </w:style>
  <w:style w:type="character" w:customStyle="1" w:styleId="MenuOptions">
    <w:name w:val="Menu Options"/>
    <w:basedOn w:val="DefaultParagraphFont"/>
    <w:rsid w:val="005C00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C00D9"/>
    <w:rPr>
      <w:b/>
    </w:rPr>
  </w:style>
  <w:style w:type="character" w:customStyle="1" w:styleId="Underlined">
    <w:name w:val="Underlined"/>
    <w:basedOn w:val="DefaultParagraphFont"/>
    <w:rsid w:val="005C00D9"/>
    <w:rPr>
      <w:u w:val="single"/>
    </w:rPr>
  </w:style>
  <w:style w:type="paragraph" w:customStyle="1" w:styleId="TableBodyTextRight">
    <w:name w:val="Table Body Text Right"/>
    <w:basedOn w:val="TableBodyText"/>
    <w:rsid w:val="005C00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C00D9"/>
    <w:rPr>
      <w:sz w:val="18"/>
    </w:rPr>
  </w:style>
  <w:style w:type="paragraph" w:customStyle="1" w:styleId="BodySmallRight">
    <w:name w:val="Body Small Right"/>
    <w:basedOn w:val="BodyTextRight"/>
    <w:rsid w:val="005C00D9"/>
    <w:rPr>
      <w:sz w:val="18"/>
      <w:szCs w:val="18"/>
    </w:rPr>
  </w:style>
  <w:style w:type="paragraph" w:customStyle="1" w:styleId="MarginEdition">
    <w:name w:val="Margin Edition"/>
    <w:basedOn w:val="MarginNote"/>
    <w:rsid w:val="005C00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C00D9"/>
    <w:rPr>
      <w:sz w:val="2"/>
      <w:szCs w:val="2"/>
    </w:rPr>
  </w:style>
  <w:style w:type="character" w:customStyle="1" w:styleId="Small">
    <w:name w:val="Small"/>
    <w:basedOn w:val="DefaultParagraphFont"/>
    <w:rsid w:val="005C00D9"/>
    <w:rPr>
      <w:sz w:val="16"/>
    </w:rPr>
  </w:style>
  <w:style w:type="paragraph" w:customStyle="1" w:styleId="WideTable">
    <w:name w:val="Wide Table"/>
    <w:basedOn w:val="Normal"/>
    <w:rsid w:val="005C00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C00D9"/>
  </w:style>
  <w:style w:type="paragraph" w:styleId="Quote">
    <w:name w:val="Quote"/>
    <w:basedOn w:val="Heading1"/>
    <w:link w:val="QuoteChar"/>
    <w:qFormat/>
    <w:rsid w:val="005C00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C00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C00D9"/>
    <w:pPr>
      <w:pageBreakBefore/>
    </w:pPr>
  </w:style>
  <w:style w:type="paragraph" w:customStyle="1" w:styleId="Border">
    <w:name w:val="Border"/>
    <w:basedOn w:val="Normal"/>
    <w:qFormat/>
    <w:rsid w:val="005C00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C00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0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0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C00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C00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C00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C00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C00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C00D9"/>
    <w:rPr>
      <w:u w:val="single"/>
    </w:rPr>
  </w:style>
  <w:style w:type="character" w:customStyle="1" w:styleId="BoldandItalics">
    <w:name w:val="Bold and Italics"/>
    <w:qFormat/>
    <w:rsid w:val="005C00D9"/>
    <w:rPr>
      <w:b/>
      <w:i/>
      <w:u w:val="none"/>
    </w:rPr>
  </w:style>
  <w:style w:type="paragraph" w:styleId="BalloonText">
    <w:name w:val="Balloon Text"/>
    <w:basedOn w:val="Normal"/>
    <w:link w:val="BalloonTextChar"/>
    <w:rsid w:val="005C00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C00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C00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C00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C00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C00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C00D9"/>
    <w:pPr>
      <w:spacing w:before="0" w:after="0"/>
    </w:pPr>
  </w:style>
  <w:style w:type="paragraph" w:customStyle="1" w:styleId="BodyTextBold">
    <w:name w:val="Body Text Bold"/>
    <w:basedOn w:val="BodyText"/>
    <w:qFormat/>
    <w:rsid w:val="005C00D9"/>
    <w:rPr>
      <w:b/>
    </w:rPr>
  </w:style>
  <w:style w:type="character" w:styleId="Hyperlink">
    <w:name w:val="Hyperlink"/>
    <w:basedOn w:val="DefaultParagraphFont"/>
    <w:uiPriority w:val="99"/>
    <w:unhideWhenUsed/>
    <w:rsid w:val="00AD4B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3755</Characters>
  <Application>Microsoft Office Word</Application>
  <DocSecurity>0</DocSecurity>
  <Lines>87</Lines>
  <Paragraphs>59</Paragraphs>
  <ScaleCrop>false</ScaleCrop>
  <Company>Author-it Software Corporation Ltd.</Company>
  <LinksUpToDate>false</LinksUpToDate>
  <CharactersWithSpaces>4269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UEERE0047 Solve problems in wind energy conversion systems (WECS) rated up to 10 kW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2022-10-24T04:24:00Z</dcterms:created>
  <dcterms:modified xsi:type="dcterms:W3CDTF">2022-10-24T04:24:00Z</dcterms:modified>
</cp:coreProperties>
</file>