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EB0" w:rsidP="00927EB0">
      <w:pPr>
        <w:pStyle w:val="Title"/>
      </w:pPr>
      <w:r>
        <w:fldChar w:fldCharType="begin"/>
      </w:r>
      <w:r>
        <w:instrText xml:space="preserve"> TITLE   \* MERGEFORMAT </w:instrText>
      </w:r>
      <w:r>
        <w:fldChar w:fldCharType="separate"/>
      </w:r>
      <w:r>
        <w:t>Assessment Requirements for UEERE0046 Solve problems in stand-alone renewable energy (RE) systems</w:t>
      </w:r>
      <w:r>
        <w:fldChar w:fldCharType="end"/>
      </w:r>
    </w:p>
    <w:p w:rsidR="00927EB0" w:rsidP="00927EB0">
      <w:pPr>
        <w:pStyle w:val="Version"/>
        <w:sectPr w:rsidSect="00EC75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5AF" w:rsidP="00EC75AF">
      <w:pPr>
        <w:pStyle w:val="SuperHeading"/>
      </w:pPr>
      <w:r w:rsidRPr="00EC75AF">
        <w:t>Assessment Requirements for UEERE0046 Solve problems in stand-alone renewable energy (RE) systems</w:t>
      </w:r>
    </w:p>
    <w:p w:rsidR="00000000" w:rsidRPr="00EC75AF" w:rsidP="00EC75AF">
      <w:pPr>
        <w:pStyle w:val="Heading1"/>
      </w:pPr>
      <w:bookmarkStart w:id="1" w:name="O_1102568"/>
      <w:bookmarkEnd w:id="1"/>
      <w:r w:rsidRPr="00EC75AF">
        <w:t>Modification History</w:t>
      </w:r>
    </w:p>
    <w:tbl>
      <w:tblPr>
        <w:tblW w:w="9497" w:type="dxa"/>
        <w:tblLayout w:type="fixed"/>
        <w:tblCellMar>
          <w:left w:w="62" w:type="dxa"/>
          <w:right w:w="62" w:type="dxa"/>
        </w:tblCellMar>
        <w:tblLook w:val="0000"/>
      </w:tblPr>
      <w:tblGrid>
        <w:gridCol w:w="9497"/>
      </w:tblGrid>
      <w:tr w:rsidTr="00EC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5AF" w:rsidP="00EC75AF">
            <w:pPr>
              <w:pStyle w:val="BodyText"/>
            </w:pPr>
            <w:r w:rsidRPr="00EC75AF">
              <w:t>Release 1. This is the first release of this unit of competency in the UEE Electrotechnology Training Package.</w:t>
            </w:r>
          </w:p>
        </w:tc>
      </w:tr>
    </w:tbl>
    <w:p w:rsidR="00000000" w:rsidRPr="00EC75AF" w:rsidP="00EC75AF">
      <w:pPr>
        <w:pStyle w:val="NoPaddingFontSize1"/>
      </w:pPr>
    </w:p>
    <w:p w:rsidR="00000000" w:rsidRPr="00EC75AF" w:rsidP="00EC75AF">
      <w:pPr>
        <w:pStyle w:val="AllowPageBreak"/>
      </w:pPr>
    </w:p>
    <w:p w:rsidR="00000000" w:rsidRPr="00EC75AF" w:rsidP="00EC75AF">
      <w:pPr>
        <w:pStyle w:val="Heading1"/>
      </w:pPr>
      <w:bookmarkStart w:id="2" w:name="O_1102569"/>
      <w:bookmarkEnd w:id="2"/>
      <w:r w:rsidRPr="00EC75AF">
        <w:t>Performance Evidence</w:t>
      </w:r>
    </w:p>
    <w:tbl>
      <w:tblPr>
        <w:tblW w:w="9497" w:type="dxa"/>
        <w:tblLayout w:type="fixed"/>
        <w:tblCellMar>
          <w:left w:w="62" w:type="dxa"/>
          <w:right w:w="62" w:type="dxa"/>
        </w:tblCellMar>
        <w:tblLook w:val="0000"/>
      </w:tblPr>
      <w:tblGrid>
        <w:gridCol w:w="9497"/>
      </w:tblGrid>
      <w:tr w:rsidTr="00EC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75AF">
            <w:pPr>
              <w:pStyle w:val="BodyText"/>
              <w:rPr>
                <w:lang w:val="en-NZ"/>
              </w:rPr>
            </w:pPr>
            <w:r w:rsidRPr="00EC75AF">
              <w:t>Evidence required to demonstrate competence in this unit must be relevant to and satisfy all of the requirements of the elements, performance criteria and range of conditions on at least one occasion and include:</w:t>
            </w:r>
          </w:p>
        </w:tc>
      </w:tr>
      <w:tr w:rsidTr="00EC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5AF" w:rsidP="00EC75AF">
            <w:pPr>
              <w:pStyle w:val="ListBullet"/>
            </w:pPr>
            <w:r w:rsidRPr="00EC75AF">
              <w:t>un</w:t>
            </w:r>
            <w:r w:rsidRPr="00EC75AF">
              <w:t>derstanding the nature of the problem</w:t>
            </w:r>
          </w:p>
          <w:p w:rsidR="00000000" w:rsidRPr="00EC75AF" w:rsidP="00EC75AF">
            <w:pPr>
              <w:pStyle w:val="ListBullet"/>
            </w:pPr>
            <w:r w:rsidRPr="00EC75AF">
              <w:t>using established routines to solve apparatus problems</w:t>
            </w:r>
          </w:p>
          <w:p w:rsidR="00000000" w:rsidRPr="00EC75AF" w:rsidP="00EC75AF">
            <w:pPr>
              <w:pStyle w:val="ListBullet"/>
            </w:pPr>
            <w:r w:rsidRPr="00EC75AF">
              <w:t>providing viable solutions to apparatus problems</w:t>
            </w:r>
          </w:p>
          <w:p w:rsidR="00000000" w:rsidRPr="00EC75AF" w:rsidP="00EC75AF">
            <w:pPr>
              <w:pStyle w:val="ListBullet"/>
            </w:pPr>
            <w:r w:rsidRPr="00EC75AF">
              <w:t>documenting justification for the solutions used</w:t>
            </w:r>
          </w:p>
          <w:p w:rsidR="00000000" w:rsidRPr="00EC75AF" w:rsidP="00EC75AF">
            <w:pPr>
              <w:pStyle w:val="ListBullet"/>
            </w:pPr>
            <w:r w:rsidRPr="00EC75AF">
              <w:t>dealing with unplanned events</w:t>
            </w:r>
          </w:p>
          <w:p w:rsidR="00000000" w:rsidRPr="00EC75AF" w:rsidP="00EC75AF">
            <w:pPr>
              <w:pStyle w:val="ListBullet"/>
            </w:pPr>
            <w:r w:rsidRPr="00EC75AF">
              <w:t>applying relevant work health and s</w:t>
            </w:r>
            <w:r w:rsidRPr="00EC75AF">
              <w:t>afety (WHS)/occupational health and safety (OHS) requirements and workplace procedures and practices, including the use of risk control measures</w:t>
            </w:r>
          </w:p>
          <w:p w:rsidR="00000000" w:rsidRPr="00EC75AF" w:rsidP="00EC75AF">
            <w:pPr>
              <w:pStyle w:val="ListBullet"/>
            </w:pPr>
            <w:r w:rsidRPr="00EC75AF">
              <w:t>applying sustainable energy principles and practices</w:t>
            </w:r>
          </w:p>
          <w:p w:rsidR="00000000" w:rsidRPr="00EC75AF" w:rsidP="00EC75AF">
            <w:pPr>
              <w:pStyle w:val="ListBullet"/>
            </w:pPr>
            <w:r w:rsidRPr="00EC75AF">
              <w:t>checking isolation of circuits/machines/systems</w:t>
            </w:r>
          </w:p>
          <w:p w:rsidR="00000000" w:rsidRPr="00EC75AF" w:rsidP="00EC75AF">
            <w:pPr>
              <w:pStyle w:val="ListBullet"/>
            </w:pPr>
            <w:r w:rsidRPr="00EC75AF">
              <w:t>coordinating work with relevant person/s</w:t>
            </w:r>
          </w:p>
          <w:p w:rsidR="00000000" w:rsidRPr="00EC75AF" w:rsidP="00EC75AF">
            <w:pPr>
              <w:pStyle w:val="ListBullet"/>
            </w:pPr>
            <w:r w:rsidRPr="00EC75AF">
              <w:t>determining live electrical testing/measurement requirements</w:t>
            </w:r>
          </w:p>
          <w:p w:rsidR="00000000" w:rsidRPr="00EC75AF" w:rsidP="00EC75AF">
            <w:pPr>
              <w:pStyle w:val="ListBullet"/>
            </w:pPr>
            <w:r w:rsidRPr="00EC75AF">
              <w:t>identifying and accessing materials, tools, equipment and testing devices.</w:t>
            </w:r>
          </w:p>
        </w:tc>
      </w:tr>
    </w:tbl>
    <w:p w:rsidR="00000000" w:rsidRPr="00EC75AF" w:rsidP="00EC75AF">
      <w:pPr>
        <w:pStyle w:val="NoPaddingFontSize1"/>
      </w:pPr>
    </w:p>
    <w:p w:rsidR="00000000" w:rsidRPr="00EC75AF" w:rsidP="00EC75AF">
      <w:pPr>
        <w:pStyle w:val="AllowPageBreak"/>
      </w:pPr>
    </w:p>
    <w:p w:rsidR="00000000" w:rsidRPr="00EC75AF" w:rsidP="00EC75AF">
      <w:pPr>
        <w:pStyle w:val="Heading1"/>
      </w:pPr>
      <w:bookmarkStart w:id="3" w:name="O_1102570"/>
      <w:bookmarkEnd w:id="3"/>
      <w:r w:rsidRPr="00EC75AF">
        <w:t>Knowledge Evidence</w:t>
      </w:r>
    </w:p>
    <w:tbl>
      <w:tblPr>
        <w:tblW w:w="9497" w:type="dxa"/>
        <w:tblLayout w:type="fixed"/>
        <w:tblCellMar>
          <w:left w:w="62" w:type="dxa"/>
          <w:right w:w="62" w:type="dxa"/>
        </w:tblCellMar>
        <w:tblLook w:val="0000"/>
      </w:tblPr>
      <w:tblGrid>
        <w:gridCol w:w="9497"/>
      </w:tblGrid>
      <w:tr w:rsidTr="00EC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75AF">
            <w:pPr>
              <w:pStyle w:val="BodyText"/>
              <w:rPr>
                <w:lang w:val="en-NZ"/>
              </w:rPr>
            </w:pPr>
            <w:r w:rsidRPr="00EC75AF">
              <w:t>Evidence required to demonstrate compet</w:t>
            </w:r>
            <w:r w:rsidRPr="00EC75AF">
              <w:t>ence in this unit must be relevant to and satisfy all of the requirements of the elements, performance criteria and range of conditions and include knowledge of:</w:t>
            </w:r>
          </w:p>
        </w:tc>
      </w:tr>
      <w:tr w:rsidTr="00EC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5AF" w:rsidP="00EC75AF">
            <w:pPr>
              <w:pStyle w:val="ListBullet"/>
            </w:pPr>
            <w:r w:rsidRPr="00EC75AF">
              <w:t>stand-alone renewable energy (RE) system components, including:</w:t>
            </w:r>
          </w:p>
          <w:p w:rsidR="00000000" w:rsidRPr="00EC75AF" w:rsidP="00EC75AF">
            <w:pPr>
              <w:pStyle w:val="ListBullet2"/>
            </w:pPr>
            <w:r w:rsidRPr="00EC75AF">
              <w:t>extra-low voltage (ELV) wir</w:t>
            </w:r>
            <w:r w:rsidRPr="00EC75AF">
              <w:t>ing and circuit protection for RE systems encompassing:</w:t>
            </w:r>
          </w:p>
          <w:p w:rsidR="00000000" w:rsidRPr="00EC75AF" w:rsidP="00EC75AF">
            <w:pPr>
              <w:pStyle w:val="ListBullet3"/>
            </w:pPr>
            <w:r w:rsidRPr="00EC75AF">
              <w:t>ELV and low voltage (LV) circuits in a stand-alone or grid connected RE system and the regulatory restrictions regarding work at each level</w:t>
            </w:r>
          </w:p>
          <w:p w:rsidR="00000000" w:rsidRPr="00EC75AF" w:rsidP="00EC75AF">
            <w:pPr>
              <w:pStyle w:val="ListBullet3"/>
            </w:pPr>
            <w:r w:rsidRPr="00EC75AF">
              <w:t>earthing requirements for RE systems over a range of applications and environments</w:t>
            </w:r>
          </w:p>
          <w:p w:rsidR="00000000" w:rsidRPr="00EC75AF" w:rsidP="00EC75AF">
            <w:pPr>
              <w:pStyle w:val="ListBullet3"/>
            </w:pPr>
            <w:r w:rsidRPr="00EC75AF">
              <w:t>required sizes for ELV cabling in a RE system, considering allowable voltage drops and cable current-carrying capacity, in accordance with AS/NZS 3000 Electrical installatio</w:t>
            </w:r>
            <w:r w:rsidRPr="00EC75AF">
              <w:t>ns (known as the Australian/New Zealand Wiring Rules) and AS/NZS 4509 Stand-alone power systems</w:t>
            </w:r>
          </w:p>
          <w:p w:rsidR="00000000" w:rsidRPr="00EC75AF" w:rsidP="00EC75AF">
            <w:pPr>
              <w:pStyle w:val="ListBullet3"/>
            </w:pPr>
            <w:r w:rsidRPr="00EC75AF">
              <w:t>selection of suitable direct current (d.c.) circuit protection and isolation for all relevant points in a stand-alone RE system in accordance with AS/NZS 3000 E</w:t>
            </w:r>
            <w:r w:rsidRPr="00EC75AF">
              <w:t>lectrical installations (known as the Australian/New Zealand Wiring Rules) and AS/NZS 4509 Stand-alone power systems</w:t>
            </w:r>
          </w:p>
          <w:p w:rsidR="00000000" w:rsidRPr="00EC75AF" w:rsidP="00EC75AF">
            <w:pPr>
              <w:pStyle w:val="ListBullet2"/>
            </w:pPr>
            <w:r w:rsidRPr="00EC75AF">
              <w:t>electrical diagrams for a RE system encompassing:</w:t>
            </w:r>
          </w:p>
          <w:p w:rsidR="00000000" w:rsidRPr="00EC75AF" w:rsidP="00EC75AF">
            <w:pPr>
              <w:pStyle w:val="ListBullet3"/>
            </w:pPr>
            <w:r w:rsidRPr="00EC75AF">
              <w:t>functional block diagrams for typical stand-alone RE system configurations</w:t>
            </w:r>
          </w:p>
          <w:p w:rsidR="00000000" w:rsidRPr="00EC75AF" w:rsidP="00EC75AF">
            <w:pPr>
              <w:pStyle w:val="ListBullet3"/>
            </w:pPr>
            <w:r w:rsidRPr="00EC75AF">
              <w:t>circuit sche</w:t>
            </w:r>
            <w:r w:rsidRPr="00EC75AF">
              <w:t>matic of typical RE systems supplying d.c. and/or alternating current (a.c.) loads, including all major components, protection devices, earthing, isolation, switching and metering</w:t>
            </w:r>
          </w:p>
          <w:p w:rsidR="00000000" w:rsidRPr="00EC75AF" w:rsidP="00EC75AF">
            <w:pPr>
              <w:pStyle w:val="ListBullet3"/>
            </w:pPr>
            <w:r w:rsidRPr="00EC75AF">
              <w:t>unit wiring diagram for a typical stand-alone RE system d.c. control board</w:t>
            </w:r>
          </w:p>
          <w:p w:rsidR="00000000" w:rsidRPr="00EC75AF" w:rsidP="00EC75AF">
            <w:pPr>
              <w:pStyle w:val="ListBullet3"/>
            </w:pPr>
            <w:r w:rsidRPr="00EC75AF">
              <w:t>a</w:t>
            </w:r>
            <w:r w:rsidRPr="00EC75AF">
              <w:t>rchitectural and site diagrams to show the locations of equipment, fittings and cabling</w:t>
            </w:r>
          </w:p>
          <w:p w:rsidR="00000000" w:rsidRPr="00EC75AF" w:rsidP="00EC75AF">
            <w:pPr>
              <w:pStyle w:val="ListBullet2"/>
            </w:pPr>
            <w:r w:rsidRPr="00EC75AF">
              <w:t>batteries encompassing:</w:t>
            </w:r>
          </w:p>
          <w:p w:rsidR="00000000" w:rsidRPr="00EC75AF" w:rsidP="00EC75AF">
            <w:pPr>
              <w:pStyle w:val="ListBullet3"/>
            </w:pPr>
            <w:r w:rsidRPr="00EC75AF">
              <w:t>major features of each of the major types of commercially available batteries for stand-alone RE applications, including basic chemistry, phys</w:t>
            </w:r>
            <w:r w:rsidRPr="00EC75AF">
              <w:t>ical structure, advantages and disadvantages</w:t>
            </w:r>
          </w:p>
          <w:p w:rsidR="00000000" w:rsidRPr="00EC75AF" w:rsidP="00EC75AF">
            <w:pPr>
              <w:pStyle w:val="ListBullet3"/>
            </w:pPr>
            <w:r w:rsidRPr="00EC75AF">
              <w:t>factors affecting the life of a battery</w:t>
            </w:r>
          </w:p>
          <w:p w:rsidR="00000000" w:rsidRPr="00EC75AF" w:rsidP="00EC75AF">
            <w:pPr>
              <w:pStyle w:val="ListBullet3"/>
            </w:pPr>
            <w:r w:rsidRPr="00EC75AF">
              <w:t>processes of sulphation and stratification in lead-acid batteries, their causes, effects and methods of prevention or reduction</w:t>
            </w:r>
          </w:p>
          <w:p w:rsidR="00000000" w:rsidRPr="00EC75AF" w:rsidP="00EC75AF">
            <w:pPr>
              <w:pStyle w:val="ListBullet3"/>
            </w:pPr>
            <w:r w:rsidRPr="00EC75AF">
              <w:t>effect of depth of discharge and of temperature on the capacity and life of lead-acid batteries</w:t>
            </w:r>
          </w:p>
          <w:p w:rsidR="00000000" w:rsidRPr="00EC75AF" w:rsidP="00EC75AF">
            <w:pPr>
              <w:pStyle w:val="ListBullet3"/>
            </w:pPr>
            <w:r w:rsidRPr="00EC75AF">
              <w:t>major specifications for a lead-acid battery in a stand-alone RE system application</w:t>
            </w:r>
          </w:p>
          <w:p w:rsidR="00000000" w:rsidRPr="00EC75AF" w:rsidP="00EC75AF">
            <w:pPr>
              <w:pStyle w:val="ListBullet3"/>
            </w:pPr>
            <w:r w:rsidRPr="00EC75AF">
              <w:t>main features of charging regimes suitable for the major types of stand-alon</w:t>
            </w:r>
            <w:r w:rsidRPr="00EC75AF">
              <w:t>e RE system batteries, using real examples</w:t>
            </w:r>
          </w:p>
          <w:p w:rsidR="00000000" w:rsidRPr="00EC75AF" w:rsidP="00EC75AF">
            <w:pPr>
              <w:pStyle w:val="ListBullet3"/>
            </w:pPr>
            <w:r w:rsidRPr="00EC75AF">
              <w:t>life of a stand-alone RE system battery in years, based on manufacturer’s cycle life data and given capacity, configuration and operating conditions</w:t>
            </w:r>
          </w:p>
          <w:p w:rsidR="00000000" w:rsidRPr="00EC75AF" w:rsidP="00EC75AF">
            <w:pPr>
              <w:pStyle w:val="ListBullet3"/>
            </w:pPr>
            <w:r w:rsidRPr="00EC75AF">
              <w:t>precautions required when handling, installing or maintaining le</w:t>
            </w:r>
            <w:r w:rsidRPr="00EC75AF">
              <w:t>ad-acid batteries</w:t>
            </w:r>
          </w:p>
          <w:p w:rsidR="00000000" w:rsidRPr="00EC75AF" w:rsidP="00EC75AF">
            <w:pPr>
              <w:pStyle w:val="ListBullet3"/>
            </w:pPr>
            <w:r w:rsidRPr="00EC75AF">
              <w:t>procedures required for safe disposal of the major commercially available types of batteries in accordance with AS/NZS 4509 Stand-alone power systems</w:t>
            </w:r>
          </w:p>
          <w:p w:rsidR="00000000" w:rsidRPr="00EC75AF" w:rsidP="00EC75AF">
            <w:pPr>
              <w:pStyle w:val="ListBullet2"/>
            </w:pPr>
            <w:r w:rsidRPr="00EC75AF">
              <w:t>balance of system components and common loads encompassing:</w:t>
            </w:r>
          </w:p>
          <w:p w:rsidR="00000000" w:rsidRPr="00EC75AF" w:rsidP="00EC75AF">
            <w:pPr>
              <w:pStyle w:val="ListBullet3"/>
            </w:pPr>
            <w:r w:rsidRPr="00EC75AF">
              <w:t>features of commercially a</w:t>
            </w:r>
            <w:r w:rsidRPr="00EC75AF">
              <w:t>vailable inverters suitable for use in stand-alone RE systems</w:t>
            </w:r>
          </w:p>
          <w:p w:rsidR="00000000" w:rsidRPr="00EC75AF" w:rsidP="00EC75AF">
            <w:pPr>
              <w:pStyle w:val="ListBullet3"/>
            </w:pPr>
            <w:r w:rsidRPr="00EC75AF">
              <w:t>major operating parameters of an inverter, including d.c. voltage operating window, efficiency, output voltage waveform and output voltage regulation over a range of loads up to 5-minute ratings</w:t>
            </w:r>
          </w:p>
          <w:p w:rsidR="00000000" w:rsidRPr="00EC75AF" w:rsidP="00EC75AF">
            <w:pPr>
              <w:pStyle w:val="ListBullet3"/>
            </w:pPr>
            <w:r w:rsidRPr="00EC75AF">
              <w:t>problems that may be caused by non-sine supply voltage waveforms on typical loads, and the solutions used to overcome these</w:t>
            </w:r>
          </w:p>
          <w:p w:rsidR="00000000" w:rsidRPr="00EC75AF" w:rsidP="00EC75AF">
            <w:pPr>
              <w:pStyle w:val="ListBullet3"/>
            </w:pPr>
            <w:r w:rsidRPr="00EC75AF">
              <w:t>significance of low power factor loads for inverter systems and the principle of power factor correction</w:t>
            </w:r>
          </w:p>
          <w:p w:rsidR="00000000" w:rsidRPr="00EC75AF" w:rsidP="00EC75AF">
            <w:pPr>
              <w:pStyle w:val="ListBullet3"/>
            </w:pPr>
            <w:r w:rsidRPr="00EC75AF">
              <w:t>operation of the major typ</w:t>
            </w:r>
            <w:r w:rsidRPr="00EC75AF">
              <w:t>es of regulators for use in stand-alone RE systems using commercially available equipment as examples</w:t>
            </w:r>
          </w:p>
          <w:p w:rsidR="00000000" w:rsidRPr="00EC75AF" w:rsidP="00EC75AF">
            <w:pPr>
              <w:pStyle w:val="ListBullet3"/>
            </w:pPr>
            <w:r w:rsidRPr="00EC75AF">
              <w:t>current vs. voltage characteristics, efficiency and charging voltage waveform for a transformer/rectifier type and a switch mode type battery charger suit</w:t>
            </w:r>
            <w:r w:rsidRPr="00EC75AF">
              <w:t xml:space="preserve">able for use in </w:t>
            </w:r>
            <w:r w:rsidRPr="00EC75AF">
              <w:t>stand-alone RE systems</w:t>
            </w:r>
          </w:p>
          <w:p w:rsidR="00000000" w:rsidRPr="00EC75AF" w:rsidP="00EC75AF">
            <w:pPr>
              <w:pStyle w:val="ListBullet3"/>
            </w:pPr>
            <w:r w:rsidRPr="00EC75AF">
              <w:t>operation of and applications for MPPTs for photovoltaic (PV) arrays</w:t>
            </w:r>
          </w:p>
          <w:p w:rsidR="00000000" w:rsidRPr="00EC75AF" w:rsidP="00EC75AF">
            <w:pPr>
              <w:pStyle w:val="ListBullet3"/>
            </w:pPr>
            <w:r w:rsidRPr="00EC75AF">
              <w:t>basic operation, advantages and disadvantages of mechanical tracking devices for PV arrays</w:t>
            </w:r>
          </w:p>
          <w:p w:rsidR="00000000" w:rsidRPr="00EC75AF" w:rsidP="00EC75AF">
            <w:pPr>
              <w:pStyle w:val="ListBullet3"/>
            </w:pPr>
            <w:r w:rsidRPr="00EC75AF">
              <w:t>control parameters or data using digital displays on inverters, regulators or controllers</w:t>
            </w:r>
          </w:p>
          <w:p w:rsidR="00000000" w:rsidRPr="00EC75AF" w:rsidP="00EC75AF">
            <w:pPr>
              <w:pStyle w:val="ListBullet2"/>
            </w:pPr>
            <w:r w:rsidRPr="00EC75AF">
              <w:t>basic lighting design encompassing:</w:t>
            </w:r>
          </w:p>
          <w:p w:rsidR="00000000" w:rsidRPr="00EC75AF" w:rsidP="00EC75AF">
            <w:pPr>
              <w:pStyle w:val="ListBullet3"/>
            </w:pPr>
            <w:r w:rsidRPr="00EC75AF">
              <w:t>properties and features of the major lamp types, including their suitability for use in stand-alone RE power systems</w:t>
            </w:r>
          </w:p>
          <w:p w:rsidR="00000000" w:rsidRPr="00EC75AF" w:rsidP="00EC75AF">
            <w:pPr>
              <w:pStyle w:val="ListBullet3"/>
            </w:pPr>
            <w:r w:rsidRPr="00EC75AF">
              <w:t>effect on r</w:t>
            </w:r>
            <w:r w:rsidRPr="00EC75AF">
              <w:t>oom lighting levels, of luminaire design and positioning, décor, room construction and windows</w:t>
            </w:r>
          </w:p>
          <w:p w:rsidR="00000000" w:rsidRPr="00EC75AF" w:rsidP="00EC75AF">
            <w:pPr>
              <w:pStyle w:val="ListBullet3"/>
            </w:pPr>
            <w:r w:rsidRPr="00EC75AF">
              <w:t xml:space="preserve">selection and sizing of suitable lamps and fittings and their placement in a household taking into account usage, lighting levels required by relevant standards </w:t>
            </w:r>
            <w:r w:rsidRPr="00EC75AF">
              <w:t>and energy efficiency considerations</w:t>
            </w:r>
          </w:p>
          <w:p w:rsidR="00000000" w:rsidRPr="00EC75AF" w:rsidP="00EC75AF">
            <w:pPr>
              <w:pStyle w:val="ListBullet2"/>
            </w:pPr>
            <w:r w:rsidRPr="00EC75AF">
              <w:t>generating sets encompassing:</w:t>
            </w:r>
          </w:p>
          <w:p w:rsidR="00000000" w:rsidRPr="00EC75AF" w:rsidP="00EC75AF">
            <w:pPr>
              <w:pStyle w:val="ListBullet3"/>
            </w:pPr>
            <w:r w:rsidRPr="00EC75AF">
              <w:t>major components in the construction of a generating set</w:t>
            </w:r>
          </w:p>
          <w:p w:rsidR="00000000" w:rsidRPr="00EC75AF" w:rsidP="00EC75AF">
            <w:pPr>
              <w:pStyle w:val="ListBullet3"/>
            </w:pPr>
            <w:r w:rsidRPr="00EC75AF">
              <w:t>main components of gas, petrol or diesel internal combustion engines</w:t>
            </w:r>
          </w:p>
          <w:p w:rsidR="00000000" w:rsidRPr="00EC75AF" w:rsidP="00EC75AF">
            <w:pPr>
              <w:pStyle w:val="ListBullet3"/>
            </w:pPr>
            <w:r w:rsidRPr="00EC75AF">
              <w:t xml:space="preserve">basic principle of operation of internal combustion engines, </w:t>
            </w:r>
            <w:r w:rsidRPr="00EC75AF">
              <w:t>including different fuel types and ignition methods</w:t>
            </w:r>
          </w:p>
          <w:p w:rsidR="00000000" w:rsidRPr="00EC75AF" w:rsidP="00EC75AF">
            <w:pPr>
              <w:pStyle w:val="ListBullet3"/>
            </w:pPr>
            <w:r w:rsidRPr="00EC75AF">
              <w:t>operating characteristics, advantages and disadvantages of generating sets using different fuel types, aspiration methods, operating speed and number of cylinders</w:t>
            </w:r>
          </w:p>
          <w:p w:rsidR="00000000" w:rsidRPr="00EC75AF" w:rsidP="00EC75AF">
            <w:pPr>
              <w:pStyle w:val="ListBullet3"/>
            </w:pPr>
            <w:r w:rsidRPr="00EC75AF">
              <w:t xml:space="preserve">major methods of mechanical coupling and </w:t>
            </w:r>
            <w:r w:rsidRPr="00EC75AF">
              <w:t>power transmission between an engine and alternator</w:t>
            </w:r>
          </w:p>
          <w:p w:rsidR="00000000" w:rsidRPr="00EC75AF" w:rsidP="00EC75AF">
            <w:pPr>
              <w:pStyle w:val="ListBullet3"/>
            </w:pPr>
            <w:r w:rsidRPr="00EC75AF">
              <w:t>function and ratings of mechanical and electronic speed governing systems</w:t>
            </w:r>
          </w:p>
          <w:p w:rsidR="00000000" w:rsidRPr="00EC75AF" w:rsidP="00EC75AF">
            <w:pPr>
              <w:pStyle w:val="ListBullet3"/>
            </w:pPr>
            <w:r w:rsidRPr="00EC75AF">
              <w:t>basic structure and operation of an alternator</w:t>
            </w:r>
          </w:p>
          <w:p w:rsidR="00000000" w:rsidRPr="00EC75AF" w:rsidP="00EC75AF">
            <w:pPr>
              <w:pStyle w:val="ListBullet3"/>
            </w:pPr>
            <w:r w:rsidRPr="00EC75AF">
              <w:t>advantages and disadvantages of different types of excitation system and voltage regulation used for generating set alternators</w:t>
            </w:r>
          </w:p>
          <w:p w:rsidR="00000000" w:rsidRPr="00EC75AF" w:rsidP="00EC75AF">
            <w:pPr>
              <w:pStyle w:val="ListBullet3"/>
            </w:pPr>
            <w:r w:rsidRPr="00EC75AF">
              <w:t>components and basic operation of a brushless excitation system in an alternator, and the principle of self-excitation</w:t>
            </w:r>
          </w:p>
          <w:p w:rsidR="00000000" w:rsidRPr="00EC75AF" w:rsidP="00EC75AF">
            <w:pPr>
              <w:pStyle w:val="ListBullet2"/>
            </w:pPr>
            <w:r w:rsidRPr="00EC75AF">
              <w:t>generato</w:t>
            </w:r>
            <w:r w:rsidRPr="00EC75AF">
              <w:t>r set sizing calculations encompassing:</w:t>
            </w:r>
          </w:p>
          <w:p w:rsidR="00000000" w:rsidRPr="00EC75AF" w:rsidP="00EC75AF">
            <w:pPr>
              <w:pStyle w:val="ListBullet3"/>
            </w:pPr>
            <w:r w:rsidRPr="00EC75AF">
              <w:t>major electrical and mechanical ratings which control the performance of a generator set</w:t>
            </w:r>
          </w:p>
          <w:p w:rsidR="00000000" w:rsidRPr="00EC75AF" w:rsidP="00EC75AF">
            <w:pPr>
              <w:pStyle w:val="ListBullet3"/>
            </w:pPr>
            <w:r w:rsidRPr="00EC75AF">
              <w:t>calculations relating to real and apparent power, power factor, mechanical power, voltage regulation and speed droop for singl</w:t>
            </w:r>
            <w:r w:rsidRPr="00EC75AF">
              <w:t>e phase gensets</w:t>
            </w:r>
          </w:p>
          <w:p w:rsidR="00000000" w:rsidRPr="00EC75AF" w:rsidP="00EC75AF">
            <w:pPr>
              <w:pStyle w:val="ListBullet3"/>
            </w:pPr>
            <w:r w:rsidRPr="00EC75AF">
              <w:t>derating factor for a generator set given manufacturer’s derating data and a given set of operating conditions</w:t>
            </w:r>
          </w:p>
          <w:p w:rsidR="00000000" w:rsidRPr="00EC75AF" w:rsidP="00EC75AF">
            <w:pPr>
              <w:pStyle w:val="ListBullet3"/>
            </w:pPr>
            <w:r w:rsidRPr="00EC75AF">
              <w:t>selection of a suitable generator set given maximum demand and surge loadings and derating factor</w:t>
            </w:r>
          </w:p>
          <w:p w:rsidR="00000000" w:rsidRPr="00EC75AF" w:rsidP="00EC75AF">
            <w:pPr>
              <w:pStyle w:val="ListBullet3"/>
            </w:pPr>
            <w:r w:rsidRPr="00EC75AF">
              <w:t>calculation of the fuel consump</w:t>
            </w:r>
            <w:r w:rsidRPr="00EC75AF">
              <w:t>tion of a generator set given manufacturer’s data and operating conditions</w:t>
            </w:r>
          </w:p>
          <w:p w:rsidR="00000000" w:rsidRPr="00EC75AF" w:rsidP="00EC75AF">
            <w:pPr>
              <w:pStyle w:val="ListBullet2"/>
            </w:pPr>
            <w:r w:rsidRPr="00EC75AF">
              <w:t>problem-solving techniques, including measuring and calculating value requirements</w:t>
            </w:r>
          </w:p>
          <w:p w:rsidR="00000000" w:rsidRPr="00EC75AF" w:rsidP="00EC75AF">
            <w:pPr>
              <w:pStyle w:val="ListBullet2"/>
            </w:pPr>
            <w:r w:rsidRPr="00EC75AF">
              <w:t>relevant manufacturer specifications</w:t>
            </w:r>
          </w:p>
          <w:p w:rsidR="00000000" w:rsidRPr="00EC75AF" w:rsidP="00EC75AF">
            <w:pPr>
              <w:pStyle w:val="ListBullet2"/>
            </w:pPr>
            <w:r w:rsidRPr="00EC75AF">
              <w:t>relevant safe work method statements (SWMS)/job safety asses</w:t>
            </w:r>
            <w:r w:rsidRPr="00EC75AF">
              <w:t>sments or risk mitigation processes</w:t>
            </w:r>
          </w:p>
          <w:p w:rsidR="00000000" w:rsidRPr="00EC75AF" w:rsidP="00EC75AF">
            <w:pPr>
              <w:pStyle w:val="ListBullet2"/>
            </w:pPr>
            <w:r w:rsidRPr="00EC75AF">
              <w:t>relevant WHS/OHS legislated requirements</w:t>
            </w:r>
          </w:p>
          <w:p w:rsidR="00000000" w:rsidRPr="00EC75AF" w:rsidP="00EC75AF">
            <w:pPr>
              <w:pStyle w:val="ListBullet2"/>
            </w:pPr>
            <w:r w:rsidRPr="00EC75AF">
              <w:t>relevant workplace documentation</w:t>
            </w:r>
          </w:p>
          <w:p w:rsidR="00000000" w:rsidRPr="00EC75AF" w:rsidP="00EC75AF">
            <w:pPr>
              <w:pStyle w:val="ListBullet2"/>
            </w:pPr>
            <w:r w:rsidRPr="00EC75AF">
              <w:t>relevant workplace policies and procedures.</w:t>
            </w:r>
          </w:p>
        </w:tc>
      </w:tr>
    </w:tbl>
    <w:p w:rsidR="00000000" w:rsidRPr="00EC75AF" w:rsidP="00EC75AF">
      <w:pPr>
        <w:pStyle w:val="NoPaddingFontSize1"/>
      </w:pPr>
    </w:p>
    <w:p w:rsidR="00000000" w:rsidRPr="00EC75AF" w:rsidP="00EC75AF">
      <w:pPr>
        <w:pStyle w:val="AllowPageBreak"/>
      </w:pPr>
    </w:p>
    <w:p w:rsidR="00000000" w:rsidRPr="00EC75AF" w:rsidP="00EC75AF">
      <w:pPr>
        <w:pStyle w:val="Heading1"/>
      </w:pPr>
      <w:bookmarkStart w:id="4" w:name="O_1102571"/>
      <w:bookmarkEnd w:id="4"/>
      <w:r w:rsidRPr="00EC75AF">
        <w:t>Assessment Conditions</w:t>
      </w:r>
    </w:p>
    <w:tbl>
      <w:tblPr>
        <w:tblW w:w="9497" w:type="dxa"/>
        <w:tblLayout w:type="fixed"/>
        <w:tblCellMar>
          <w:left w:w="62" w:type="dxa"/>
          <w:right w:w="62" w:type="dxa"/>
        </w:tblCellMar>
        <w:tblLook w:val="0000"/>
      </w:tblPr>
      <w:tblGrid>
        <w:gridCol w:w="9497"/>
      </w:tblGrid>
      <w:tr w:rsidTr="00EC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5AF" w:rsidP="00EC75AF">
            <w:pPr>
              <w:pStyle w:val="BodyText"/>
            </w:pPr>
            <w:r w:rsidRPr="00EC75AF">
              <w:t>Assessors must hold credentials specified within the Standards for Registered Training Organisations current at the time of assessment.</w:t>
            </w:r>
          </w:p>
          <w:p w:rsidR="00000000" w:rsidRPr="00EC75AF" w:rsidP="00EC75AF">
            <w:pPr>
              <w:pStyle w:val="BodyText"/>
            </w:pPr>
            <w:r w:rsidRPr="00EC75AF">
              <w:t>Assessment must satisfy the Principles of Assessment and Rules of Evidence and all regulatory requirements included with</w:t>
            </w:r>
            <w:r w:rsidRPr="00EC75AF">
              <w:t>in the Standards for Registered Training Organisations current at the time of assessment.</w:t>
            </w:r>
          </w:p>
          <w:p w:rsidR="00000000" w:rsidRPr="00EC75AF" w:rsidP="00EC75AF">
            <w:pPr>
              <w:pStyle w:val="BodyText"/>
            </w:pPr>
            <w:r w:rsidRPr="00EC75AF">
              <w:t>Assessment must occur in workplace operational situations where it is appropriate to do so; where this is not appropriate, assessment must occur in simulated workplac</w:t>
            </w:r>
            <w:r w:rsidRPr="00EC75AF">
              <w:t>e operational situations that replicate workplace conditions.</w:t>
            </w:r>
          </w:p>
          <w:p w:rsidR="00000000" w:rsidRPr="00EC75AF" w:rsidP="00EC75AF">
            <w:pPr>
              <w:pStyle w:val="BodyText"/>
            </w:pPr>
            <w:r w:rsidRPr="00EC75AF">
              <w:t>Assessment processes and techniques must be appropriate to the language, literacy and numeracy requirements of the work being performed and the needs of the candidate.</w:t>
            </w:r>
          </w:p>
          <w:p w:rsidR="00000000" w:rsidRPr="00EC75AF" w:rsidP="00EC75AF">
            <w:pPr>
              <w:pStyle w:val="BodyText"/>
            </w:pPr>
            <w:r w:rsidRPr="00EC75AF">
              <w:t>Resources for assessment m</w:t>
            </w:r>
            <w:r w:rsidRPr="00EC75AF">
              <w:t>ust include access to:</w:t>
            </w:r>
          </w:p>
          <w:p w:rsidR="00000000" w:rsidRPr="00EC75AF" w:rsidP="00EC75AF">
            <w:pPr>
              <w:pStyle w:val="ListBullet"/>
            </w:pPr>
            <w:r w:rsidRPr="00EC75AF">
              <w:t>a range of relevant exercises, case studies and/or other simulations</w:t>
            </w:r>
          </w:p>
          <w:p w:rsidR="00000000" w:rsidRPr="00EC75AF" w:rsidP="00EC75AF">
            <w:pPr>
              <w:pStyle w:val="ListBullet"/>
            </w:pPr>
            <w:r w:rsidRPr="00EC75AF">
              <w:t>relevant and appropriate materials, tools, equipment and personal protective equipment (PPE) currently used in industry</w:t>
            </w:r>
          </w:p>
          <w:p w:rsidR="00000000" w:rsidRPr="00EC75AF" w:rsidP="00EC75AF">
            <w:pPr>
              <w:pStyle w:val="ListBullet"/>
            </w:pPr>
            <w:r w:rsidRPr="00EC75AF">
              <w:t>resources that reflect current industry practices in relation to solving basic problems in stand-alone RE systems</w:t>
            </w:r>
          </w:p>
          <w:p w:rsidR="00000000" w:rsidRPr="00EC75AF" w:rsidP="00EC75AF">
            <w:pPr>
              <w:pStyle w:val="ListBullet"/>
            </w:pPr>
            <w:r w:rsidRPr="00EC75AF">
              <w:t>applicable documentation, including workplace procedures, equipment specifications, regulations, codes of practice and operation manuals.</w:t>
            </w:r>
          </w:p>
        </w:tc>
      </w:tr>
    </w:tbl>
    <w:p w:rsidR="00000000" w:rsidRPr="00EC75AF" w:rsidP="00EC75AF">
      <w:pPr>
        <w:pStyle w:val="NoPaddingFontSize1"/>
      </w:pPr>
    </w:p>
    <w:p w:rsidR="00000000" w:rsidRPr="00EC75AF" w:rsidP="00EC75AF">
      <w:pPr>
        <w:pStyle w:val="AllowPageBreak"/>
      </w:pPr>
    </w:p>
    <w:p w:rsidR="00000000" w:rsidRPr="00EC75AF" w:rsidP="00EC75AF">
      <w:pPr>
        <w:pStyle w:val="Heading1"/>
      </w:pPr>
      <w:bookmarkStart w:id="5" w:name="O_1102574"/>
      <w:bookmarkEnd w:id="5"/>
      <w:r w:rsidRPr="00EC75AF">
        <w:t>Links</w:t>
      </w:r>
    </w:p>
    <w:p w:rsidR="00000000" w:rsidRPr="00EC75AF" w:rsidP="00927EB0">
      <w:pPr>
        <w:pStyle w:val="BodyText"/>
      </w:pPr>
      <w:r w:rsidRPr="00EC75A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20F87">
        <w:rPr>
          <w:rStyle w:val="Hyperlink"/>
        </w:rPr>
        <w:t>https://vetnet.gov.au/Pages/TrainingDocs.aspx?q=b8a8f136-5421-4ce1-92e0-2b50341431b6</w:t>
      </w:r>
      <w:r>
        <w:fldChar w:fldCharType="end"/>
      </w:r>
    </w:p>
    <w:p w:rsidR="00000000" w:rsidRPr="00EC75AF" w:rsidP="00EC75AF"/>
    <w:sectPr w:rsidSect="00EC75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AF" w:rsidRPr="00927EB0" w:rsidP="00927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B0" w:rsidP="00EC7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7EB0" w:rsidP="00EC75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7EB0" w:rsidP="00EC7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5AF" w:rsidRPr="00927EB0" w:rsidP="00927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B0" w:rsidRPr="002D2AF8" w:rsidP="00EC75AF">
    <w:pPr>
      <w:pStyle w:val="Header"/>
      <w:framePr w:wrap="around"/>
    </w:pPr>
    <w:r>
      <w:fldChar w:fldCharType="begin"/>
    </w:r>
    <w:r>
      <w:instrText xml:space="preserve"> TITLE   \* MERGEFORMAT </w:instrText>
    </w:r>
    <w:r>
      <w:fldChar w:fldCharType="separate"/>
    </w:r>
    <w:r>
      <w:t>Assessment Requirements for UEERE0046 Solve problems in stand-alone renewable energy (RE)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927EB0" w:rsidP="00EC7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65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AD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45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5AF"/>
    <w:pPr>
      <w:spacing w:before="360" w:after="60"/>
      <w:outlineLvl w:val="0"/>
    </w:pPr>
    <w:rPr>
      <w:sz w:val="32"/>
    </w:rPr>
  </w:style>
  <w:style w:type="paragraph" w:styleId="Heading2">
    <w:name w:val="heading 2"/>
    <w:basedOn w:val="HeadingBase"/>
    <w:next w:val="BodyText"/>
    <w:link w:val="Heading2Char"/>
    <w:qFormat/>
    <w:rsid w:val="00EC75AF"/>
    <w:pPr>
      <w:keepLines/>
      <w:spacing w:before="240" w:after="120"/>
      <w:outlineLvl w:val="1"/>
    </w:pPr>
    <w:rPr>
      <w:sz w:val="28"/>
      <w:szCs w:val="40"/>
    </w:rPr>
  </w:style>
  <w:style w:type="paragraph" w:styleId="Heading3">
    <w:name w:val="heading 3"/>
    <w:basedOn w:val="HeadingBase"/>
    <w:next w:val="BodyText"/>
    <w:link w:val="Heading3Char"/>
    <w:qFormat/>
    <w:rsid w:val="00EC75AF"/>
    <w:pPr>
      <w:spacing w:before="180" w:after="120"/>
      <w:outlineLvl w:val="2"/>
    </w:pPr>
    <w:rPr>
      <w:spacing w:val="-10"/>
      <w:kern w:val="32"/>
    </w:rPr>
  </w:style>
  <w:style w:type="paragraph" w:styleId="Heading4">
    <w:name w:val="heading 4"/>
    <w:basedOn w:val="HeadingBase"/>
    <w:next w:val="BodyText"/>
    <w:link w:val="Heading4Char"/>
    <w:qFormat/>
    <w:rsid w:val="00EC75AF"/>
    <w:pPr>
      <w:spacing w:before="160" w:after="120"/>
      <w:outlineLvl w:val="3"/>
    </w:pPr>
    <w:rPr>
      <w:sz w:val="22"/>
    </w:rPr>
  </w:style>
  <w:style w:type="paragraph" w:styleId="Heading5">
    <w:name w:val="heading 5"/>
    <w:basedOn w:val="HeadingBase"/>
    <w:next w:val="Normal"/>
    <w:link w:val="Heading5Char"/>
    <w:qFormat/>
    <w:rsid w:val="00EC75AF"/>
    <w:pPr>
      <w:spacing w:before="80"/>
      <w:outlineLvl w:val="4"/>
    </w:pPr>
    <w:rPr>
      <w:color w:val="918585"/>
      <w:sz w:val="20"/>
    </w:rPr>
  </w:style>
  <w:style w:type="paragraph" w:styleId="Heading6">
    <w:name w:val="heading 6"/>
    <w:basedOn w:val="HeadingBase"/>
    <w:next w:val="Normal"/>
    <w:link w:val="Heading6Char"/>
    <w:qFormat/>
    <w:rsid w:val="00EC75AF"/>
    <w:pPr>
      <w:spacing w:before="60"/>
      <w:outlineLvl w:val="5"/>
    </w:pPr>
    <w:rPr>
      <w:color w:val="918585"/>
      <w:sz w:val="20"/>
    </w:rPr>
  </w:style>
  <w:style w:type="paragraph" w:styleId="Heading7">
    <w:name w:val="heading 7"/>
    <w:basedOn w:val="Normal"/>
    <w:next w:val="Normal"/>
    <w:link w:val="Heading7Char"/>
    <w:qFormat/>
    <w:rsid w:val="00EC75AF"/>
    <w:pPr>
      <w:ind w:left="720"/>
      <w:outlineLvl w:val="6"/>
    </w:pPr>
    <w:rPr>
      <w:i/>
    </w:rPr>
  </w:style>
  <w:style w:type="paragraph" w:styleId="Heading8">
    <w:name w:val="heading 8"/>
    <w:basedOn w:val="Normal"/>
    <w:next w:val="Normal"/>
    <w:link w:val="Heading8Char"/>
    <w:qFormat/>
    <w:rsid w:val="00EC75AF"/>
    <w:pPr>
      <w:ind w:left="720"/>
      <w:outlineLvl w:val="7"/>
    </w:pPr>
    <w:rPr>
      <w:i/>
    </w:rPr>
  </w:style>
  <w:style w:type="paragraph" w:styleId="Heading9">
    <w:name w:val="heading 9"/>
    <w:basedOn w:val="Normal"/>
    <w:next w:val="Normal"/>
    <w:link w:val="Heading9Char"/>
    <w:qFormat/>
    <w:rsid w:val="00EC75AF"/>
    <w:pPr>
      <w:ind w:left="720"/>
      <w:outlineLvl w:val="8"/>
    </w:pPr>
    <w:rPr>
      <w:i/>
    </w:rPr>
  </w:style>
  <w:style w:type="character" w:default="1" w:styleId="DefaultParagraphFont">
    <w:name w:val="Default Paragraph Font"/>
    <w:uiPriority w:val="1"/>
    <w:unhideWhenUsed/>
    <w:rsid w:val="00EC7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5AF"/>
  </w:style>
  <w:style w:type="character" w:customStyle="1" w:styleId="Heading1Char">
    <w:name w:val="Heading 1 Char"/>
    <w:basedOn w:val="DefaultParagraphFont"/>
    <w:link w:val="Heading1"/>
    <w:rsid w:val="00EC75AF"/>
    <w:rPr>
      <w:rFonts w:ascii="Times New Roman" w:eastAsia="Times New Roman" w:hAnsi="Times New Roman" w:cs="Times New Roman"/>
      <w:b/>
      <w:sz w:val="32"/>
      <w:szCs w:val="20"/>
      <w:lang w:eastAsia="en-US"/>
    </w:rPr>
  </w:style>
  <w:style w:type="paragraph" w:styleId="BodyText">
    <w:name w:val="Body Text"/>
    <w:basedOn w:val="Normal"/>
    <w:link w:val="BodyTextChar"/>
    <w:rsid w:val="00EC7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5AF"/>
    <w:rPr>
      <w:rFonts w:ascii="Times New Roman" w:eastAsia="Times New Roman" w:hAnsi="Times New Roman" w:cs="Times New Roman"/>
      <w:sz w:val="24"/>
      <w:lang w:eastAsia="en-US"/>
    </w:rPr>
  </w:style>
  <w:style w:type="paragraph" w:styleId="ListBullet">
    <w:name w:val="List Bullet"/>
    <w:basedOn w:val="List"/>
    <w:rsid w:val="00EC75AF"/>
    <w:pPr>
      <w:numPr>
        <w:numId w:val="13"/>
      </w:numPr>
      <w:tabs>
        <w:tab w:val="clear" w:pos="340"/>
      </w:tabs>
      <w:spacing w:before="40" w:after="40"/>
    </w:pPr>
  </w:style>
  <w:style w:type="paragraph" w:styleId="ListBullet2">
    <w:name w:val="List Bullet 2"/>
    <w:basedOn w:val="List2"/>
    <w:rsid w:val="00EC75AF"/>
    <w:pPr>
      <w:numPr>
        <w:numId w:val="14"/>
      </w:numPr>
      <w:tabs>
        <w:tab w:val="clear" w:pos="680"/>
      </w:tabs>
    </w:pPr>
  </w:style>
  <w:style w:type="paragraph" w:customStyle="1" w:styleId="SuperHeading">
    <w:name w:val="SuperHeading"/>
    <w:basedOn w:val="Normal"/>
    <w:rsid w:val="00EC75AF"/>
    <w:pPr>
      <w:spacing w:before="240" w:after="120"/>
      <w:outlineLvl w:val="0"/>
    </w:pPr>
    <w:rPr>
      <w:rFonts w:ascii="Times New Roman" w:hAnsi="Times New Roman"/>
      <w:b/>
      <w:sz w:val="32"/>
    </w:rPr>
  </w:style>
  <w:style w:type="paragraph" w:customStyle="1" w:styleId="AllowPageBreak">
    <w:name w:val="AllowPageBreak"/>
    <w:rsid w:val="00EC75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75A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7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5AF"/>
    <w:rPr>
      <w:rFonts w:ascii="Courier New" w:eastAsia="Times New Roman" w:hAnsi="Courier New" w:cs="Times New Roman"/>
      <w:i/>
      <w:szCs w:val="20"/>
      <w:lang w:eastAsia="en-US"/>
    </w:rPr>
  </w:style>
  <w:style w:type="paragraph" w:customStyle="1" w:styleId="HeadingBase">
    <w:name w:val="Heading Base"/>
    <w:rsid w:val="00EC7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5AF"/>
    <w:pPr>
      <w:tabs>
        <w:tab w:val="right" w:leader="dot" w:pos="9072"/>
      </w:tabs>
      <w:ind w:left="567"/>
    </w:pPr>
    <w:rPr>
      <w:szCs w:val="22"/>
    </w:rPr>
  </w:style>
  <w:style w:type="paragraph" w:customStyle="1" w:styleId="TOCBase">
    <w:name w:val="TOC Base"/>
    <w:rsid w:val="00EC7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5AF"/>
    <w:pPr>
      <w:tabs>
        <w:tab w:val="right" w:leader="dot" w:pos="9072"/>
      </w:tabs>
      <w:spacing w:before="40" w:after="40"/>
      <w:ind w:left="284"/>
    </w:pPr>
    <w:rPr>
      <w:rFonts w:ascii="Times New Roman" w:hAnsi="Times New Roman"/>
    </w:rPr>
  </w:style>
  <w:style w:type="paragraph" w:styleId="TOC1">
    <w:name w:val="toc 1"/>
    <w:basedOn w:val="TOCBase"/>
    <w:next w:val="Normal"/>
    <w:rsid w:val="00EC7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5AF"/>
    <w:rPr>
      <w:rFonts w:ascii="Times New Roman" w:eastAsia="Times New Roman" w:hAnsi="Times New Roman" w:cs="Times New Roman"/>
      <w:sz w:val="16"/>
      <w:lang w:eastAsia="en-US"/>
    </w:rPr>
  </w:style>
  <w:style w:type="paragraph" w:styleId="Title">
    <w:name w:val="Title"/>
    <w:basedOn w:val="HeadingBase"/>
    <w:link w:val="TitleChar"/>
    <w:qFormat/>
    <w:rsid w:val="00EC75AF"/>
    <w:pPr>
      <w:spacing w:before="5040"/>
      <w:jc w:val="center"/>
    </w:pPr>
    <w:rPr>
      <w:sz w:val="48"/>
      <w:szCs w:val="72"/>
      <w:lang w:val="en-US"/>
    </w:rPr>
  </w:style>
  <w:style w:type="character" w:customStyle="1" w:styleId="TitleChar">
    <w:name w:val="Title Char"/>
    <w:basedOn w:val="DefaultParagraphFont"/>
    <w:link w:val="Title"/>
    <w:rsid w:val="00EC7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5AF"/>
    <w:pPr>
      <w:tabs>
        <w:tab w:val="left" w:pos="3600"/>
        <w:tab w:val="left" w:pos="3958"/>
      </w:tabs>
    </w:pPr>
  </w:style>
  <w:style w:type="paragraph" w:styleId="List">
    <w:name w:val="List"/>
    <w:basedOn w:val="BodyText"/>
    <w:next w:val="BodyText"/>
    <w:rsid w:val="00EC75AF"/>
    <w:pPr>
      <w:tabs>
        <w:tab w:val="left" w:pos="340"/>
      </w:tabs>
      <w:spacing w:before="60" w:after="60"/>
      <w:ind w:left="340" w:hanging="340"/>
    </w:pPr>
  </w:style>
  <w:style w:type="paragraph" w:customStyle="1" w:styleId="Note">
    <w:name w:val="Note"/>
    <w:basedOn w:val="BodyText"/>
    <w:rsid w:val="00EC75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75AF"/>
    <w:rPr>
      <w:b/>
      <w:spacing w:val="0"/>
    </w:rPr>
  </w:style>
  <w:style w:type="paragraph" w:customStyle="1" w:styleId="SuperTitle">
    <w:name w:val="SuperTitle"/>
    <w:basedOn w:val="Title"/>
    <w:rsid w:val="00EC75AF"/>
    <w:pPr>
      <w:framePr w:wrap="auto" w:hAnchor="text" w:y="6049"/>
    </w:pPr>
    <w:rPr>
      <w:color w:val="000000"/>
      <w:sz w:val="40"/>
    </w:rPr>
  </w:style>
  <w:style w:type="paragraph" w:customStyle="1" w:styleId="TOCTitle">
    <w:name w:val="TOCTitle"/>
    <w:basedOn w:val="Heading1"/>
    <w:rsid w:val="00EC75AF"/>
    <w:pPr>
      <w:spacing w:after="240"/>
      <w:jc w:val="center"/>
      <w:outlineLvl w:val="9"/>
    </w:pPr>
    <w:rPr>
      <w:caps/>
    </w:rPr>
  </w:style>
  <w:style w:type="paragraph" w:customStyle="1" w:styleId="Version">
    <w:name w:val="Version"/>
    <w:rsid w:val="00EC75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5AF"/>
    <w:pPr>
      <w:keepNext w:val="0"/>
      <w:tabs>
        <w:tab w:val="right" w:pos="4176"/>
      </w:tabs>
      <w:ind w:left="198" w:hanging="198"/>
    </w:pPr>
    <w:rPr>
      <w:rFonts w:ascii="Garamond" w:hAnsi="Garamond"/>
    </w:rPr>
  </w:style>
  <w:style w:type="paragraph" w:styleId="IndexHeading">
    <w:name w:val="index heading"/>
    <w:basedOn w:val="Normal"/>
    <w:next w:val="Index1"/>
    <w:semiHidden/>
    <w:rsid w:val="00EC75AF"/>
    <w:pPr>
      <w:spacing w:before="120" w:after="120"/>
    </w:pPr>
    <w:rPr>
      <w:rFonts w:ascii="Arial" w:hAnsi="Arial"/>
      <w:b/>
      <w:color w:val="918585"/>
      <w:sz w:val="24"/>
    </w:rPr>
  </w:style>
  <w:style w:type="paragraph" w:styleId="Header">
    <w:name w:val="header"/>
    <w:basedOn w:val="Normal"/>
    <w:link w:val="HeaderChar"/>
    <w:rsid w:val="00EC7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5AF"/>
    <w:rPr>
      <w:rFonts w:ascii="Times New Roman" w:eastAsia="Times New Roman" w:hAnsi="Times New Roman" w:cs="Times New Roman"/>
      <w:sz w:val="16"/>
      <w:szCs w:val="20"/>
      <w:lang w:val="en-GB" w:eastAsia="en-US"/>
    </w:rPr>
  </w:style>
  <w:style w:type="paragraph" w:customStyle="1" w:styleId="Chapter">
    <w:name w:val="Chapter"/>
    <w:basedOn w:val="Normal"/>
    <w:rsid w:val="00EC75AF"/>
    <w:pPr>
      <w:spacing w:before="240"/>
    </w:pPr>
    <w:rPr>
      <w:rFonts w:ascii="Times New Roman" w:hAnsi="Times New Roman"/>
      <w:smallCaps/>
      <w:spacing w:val="80"/>
      <w:sz w:val="28"/>
    </w:rPr>
  </w:style>
  <w:style w:type="paragraph" w:customStyle="1" w:styleId="InChapter">
    <w:name w:val="InChapter"/>
    <w:basedOn w:val="Heading3"/>
    <w:rsid w:val="00EC75AF"/>
    <w:pPr>
      <w:spacing w:after="240"/>
      <w:outlineLvl w:val="9"/>
    </w:pPr>
    <w:rPr>
      <w:noProof/>
    </w:rPr>
  </w:style>
  <w:style w:type="paragraph" w:styleId="Index2">
    <w:name w:val="index 2"/>
    <w:basedOn w:val="Normal"/>
    <w:next w:val="Normal"/>
    <w:semiHidden/>
    <w:rsid w:val="00EC75AF"/>
    <w:pPr>
      <w:tabs>
        <w:tab w:val="right" w:pos="4176"/>
      </w:tabs>
      <w:ind w:left="568" w:hanging="284"/>
    </w:pPr>
    <w:rPr>
      <w:rFonts w:ascii="Garamond" w:hAnsi="Garamond"/>
    </w:rPr>
  </w:style>
  <w:style w:type="paragraph" w:customStyle="1" w:styleId="Byline">
    <w:name w:val="Byline"/>
    <w:rsid w:val="00EC7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5AF"/>
    <w:pPr>
      <w:tabs>
        <w:tab w:val="clear" w:pos="3600"/>
        <w:tab w:val="clear" w:pos="3958"/>
      </w:tabs>
      <w:jc w:val="right"/>
    </w:pPr>
  </w:style>
  <w:style w:type="character" w:styleId="Emphasis">
    <w:name w:val="Emphasis"/>
    <w:basedOn w:val="DefaultParagraphFont"/>
    <w:qFormat/>
    <w:rsid w:val="00EC75AF"/>
    <w:rPr>
      <w:i/>
    </w:rPr>
  </w:style>
  <w:style w:type="paragraph" w:styleId="Caption">
    <w:name w:val="caption"/>
    <w:basedOn w:val="BodyText"/>
    <w:next w:val="Normal"/>
    <w:qFormat/>
    <w:rsid w:val="00EC75AF"/>
    <w:pPr>
      <w:framePr w:w="2268" w:hSpace="181" w:vSpace="181" w:wrap="around" w:vAnchor="text" w:hAnchor="page" w:x="1135" w:y="285" w:anchorLock="1"/>
    </w:pPr>
    <w:rPr>
      <w:i/>
    </w:rPr>
  </w:style>
  <w:style w:type="paragraph" w:customStyle="1" w:styleId="MiniTOCTitle">
    <w:name w:val="MiniTOCTitle"/>
    <w:basedOn w:val="Heading4"/>
    <w:rsid w:val="00EC75AF"/>
    <w:pPr>
      <w:spacing w:before="240"/>
      <w:outlineLvl w:val="9"/>
    </w:pPr>
    <w:rPr>
      <w:noProof/>
      <w:sz w:val="24"/>
    </w:rPr>
  </w:style>
  <w:style w:type="paragraph" w:customStyle="1" w:styleId="MiniTOCItem">
    <w:name w:val="MiniTOCItem"/>
    <w:basedOn w:val="ListBullet"/>
    <w:rsid w:val="00EC75AF"/>
    <w:pPr>
      <w:numPr>
        <w:numId w:val="0"/>
      </w:numPr>
      <w:tabs>
        <w:tab w:val="right" w:leader="dot" w:pos="6521"/>
      </w:tabs>
      <w:spacing w:before="0" w:after="0"/>
    </w:pPr>
  </w:style>
  <w:style w:type="paragraph" w:customStyle="1" w:styleId="TOFTitle">
    <w:name w:val="TOFTitle"/>
    <w:basedOn w:val="TOCTitle"/>
    <w:rsid w:val="00EC75AF"/>
  </w:style>
  <w:style w:type="paragraph" w:styleId="TableofFigures">
    <w:name w:val="table of figures"/>
    <w:basedOn w:val="Normal"/>
    <w:next w:val="Normal"/>
    <w:semiHidden/>
    <w:rsid w:val="00EC75AF"/>
    <w:pPr>
      <w:tabs>
        <w:tab w:val="right" w:leader="dot" w:pos="9072"/>
      </w:tabs>
      <w:ind w:left="970" w:hanging="403"/>
    </w:pPr>
    <w:rPr>
      <w:rFonts w:ascii="Times New Roman" w:hAnsi="Times New Roman"/>
      <w:b/>
    </w:rPr>
  </w:style>
  <w:style w:type="paragraph" w:styleId="ListNumber">
    <w:name w:val="List Number"/>
    <w:basedOn w:val="List"/>
    <w:rsid w:val="00EC75AF"/>
    <w:pPr>
      <w:numPr>
        <w:numId w:val="16"/>
      </w:numPr>
      <w:tabs>
        <w:tab w:val="clear" w:pos="340"/>
      </w:tabs>
    </w:pPr>
  </w:style>
  <w:style w:type="character" w:customStyle="1" w:styleId="WingdingSymbols">
    <w:name w:val="Wingding Symbols"/>
    <w:rsid w:val="00EC75AF"/>
    <w:rPr>
      <w:rFonts w:ascii="Wingdings" w:hAnsi="Wingdings"/>
    </w:rPr>
  </w:style>
  <w:style w:type="paragraph" w:customStyle="1" w:styleId="TableHeading">
    <w:name w:val="Table Heading"/>
    <w:basedOn w:val="HeadingBase"/>
    <w:rsid w:val="00EC75AF"/>
    <w:pPr>
      <w:keepLines/>
      <w:pBdr>
        <w:bottom w:val="single" w:sz="6" w:space="1" w:color="918585"/>
      </w:pBdr>
      <w:spacing w:before="240"/>
    </w:pPr>
  </w:style>
  <w:style w:type="character" w:customStyle="1" w:styleId="HotSpot">
    <w:name w:val="HotSpot"/>
    <w:rsid w:val="00EC75AF"/>
    <w:rPr>
      <w:color w:val="0033CC"/>
      <w:u w:val="none"/>
    </w:rPr>
  </w:style>
  <w:style w:type="paragraph" w:customStyle="1" w:styleId="BodyTextRight">
    <w:name w:val="Body Text Right"/>
    <w:basedOn w:val="BodyText"/>
    <w:rsid w:val="00EC75AF"/>
    <w:pPr>
      <w:spacing w:before="0" w:after="0"/>
      <w:jc w:val="right"/>
    </w:pPr>
  </w:style>
  <w:style w:type="paragraph" w:styleId="Index3">
    <w:name w:val="index 3"/>
    <w:basedOn w:val="ListNumber2"/>
    <w:next w:val="Normal"/>
    <w:semiHidden/>
    <w:rsid w:val="00EC75AF"/>
    <w:pPr>
      <w:numPr>
        <w:numId w:val="0"/>
      </w:numPr>
      <w:tabs>
        <w:tab w:val="right" w:leader="dot" w:pos="4176"/>
      </w:tabs>
    </w:pPr>
  </w:style>
  <w:style w:type="paragraph" w:styleId="ListNumber2">
    <w:name w:val="List Number 2"/>
    <w:basedOn w:val="List2"/>
    <w:rsid w:val="00EC75AF"/>
    <w:pPr>
      <w:numPr>
        <w:numId w:val="11"/>
      </w:numPr>
      <w:tabs>
        <w:tab w:val="clear" w:pos="1060"/>
      </w:tabs>
    </w:pPr>
  </w:style>
  <w:style w:type="paragraph" w:customStyle="1" w:styleId="MarginNote">
    <w:name w:val="Margin Note"/>
    <w:basedOn w:val="BodyText"/>
    <w:rsid w:val="00EC7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5AF"/>
    <w:rPr>
      <w:sz w:val="32"/>
    </w:rPr>
  </w:style>
  <w:style w:type="paragraph" w:customStyle="1" w:styleId="HeadingProcedure">
    <w:name w:val="Heading Procedure"/>
    <w:basedOn w:val="HeadingBase"/>
    <w:next w:val="Normal"/>
    <w:rsid w:val="00EC75AF"/>
    <w:pPr>
      <w:tabs>
        <w:tab w:val="left" w:pos="0"/>
      </w:tabs>
      <w:spacing w:before="120" w:after="60"/>
    </w:pPr>
    <w:rPr>
      <w:i/>
      <w:color w:val="918585"/>
      <w:sz w:val="22"/>
    </w:rPr>
  </w:style>
  <w:style w:type="paragraph" w:customStyle="1" w:styleId="TableBodyText">
    <w:name w:val="Table Body Text"/>
    <w:basedOn w:val="BodyText"/>
    <w:rsid w:val="00EC75AF"/>
    <w:pPr>
      <w:spacing w:before="60" w:after="60"/>
    </w:pPr>
  </w:style>
  <w:style w:type="paragraph" w:styleId="ListContinue">
    <w:name w:val="List Continue"/>
    <w:basedOn w:val="List"/>
    <w:rsid w:val="00EC75AF"/>
    <w:pPr>
      <w:ind w:firstLine="0"/>
    </w:pPr>
  </w:style>
  <w:style w:type="paragraph" w:customStyle="1" w:styleId="ListNote">
    <w:name w:val="List Note"/>
    <w:basedOn w:val="List"/>
    <w:rsid w:val="00EC75AF"/>
    <w:pPr>
      <w:pBdr>
        <w:top w:val="single" w:sz="6" w:space="2" w:color="918585"/>
        <w:bottom w:val="single" w:sz="6" w:space="2" w:color="918585"/>
      </w:pBdr>
      <w:tabs>
        <w:tab w:val="left" w:pos="1021"/>
      </w:tabs>
      <w:ind w:firstLine="0"/>
    </w:pPr>
  </w:style>
  <w:style w:type="paragraph" w:customStyle="1" w:styleId="Warning">
    <w:name w:val="Warning"/>
    <w:basedOn w:val="BodyText"/>
    <w:rsid w:val="00EC75AF"/>
    <w:pPr>
      <w:shd w:val="clear" w:color="auto" w:fill="D9D9D9"/>
      <w:tabs>
        <w:tab w:val="left" w:pos="992"/>
      </w:tabs>
      <w:ind w:left="119" w:right="119"/>
    </w:pPr>
    <w:rPr>
      <w:sz w:val="20"/>
    </w:rPr>
  </w:style>
  <w:style w:type="paragraph" w:customStyle="1" w:styleId="MarginIcons">
    <w:name w:val="Margin Icons"/>
    <w:basedOn w:val="BodyText"/>
    <w:rsid w:val="00EC7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5AF"/>
    <w:rPr>
      <w:rFonts w:ascii="Courier New" w:hAnsi="Courier New"/>
    </w:rPr>
  </w:style>
  <w:style w:type="paragraph" w:customStyle="1" w:styleId="NoteBullet">
    <w:name w:val="Note Bullet"/>
    <w:basedOn w:val="Note"/>
    <w:rsid w:val="00EC75AF"/>
    <w:pPr>
      <w:tabs>
        <w:tab w:val="clear" w:pos="680"/>
      </w:tabs>
      <w:spacing w:before="60" w:after="60"/>
    </w:pPr>
  </w:style>
  <w:style w:type="paragraph" w:customStyle="1" w:styleId="SubHeading2">
    <w:name w:val="SubHeading2"/>
    <w:basedOn w:val="HeadingBase"/>
    <w:rsid w:val="00EC75AF"/>
    <w:pPr>
      <w:spacing w:before="240" w:after="60"/>
    </w:pPr>
    <w:rPr>
      <w:sz w:val="20"/>
    </w:rPr>
  </w:style>
  <w:style w:type="paragraph" w:customStyle="1" w:styleId="SubHeading1">
    <w:name w:val="SubHeading1"/>
    <w:basedOn w:val="HeadingBase"/>
    <w:rsid w:val="00EC75AF"/>
    <w:pPr>
      <w:spacing w:before="240" w:after="60"/>
    </w:pPr>
    <w:rPr>
      <w:color w:val="918585"/>
      <w:sz w:val="22"/>
    </w:rPr>
  </w:style>
  <w:style w:type="paragraph" w:customStyle="1" w:styleId="SideHeading">
    <w:name w:val="Side Heading"/>
    <w:basedOn w:val="HeadingBase"/>
    <w:rsid w:val="00EC7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5AF"/>
    <w:pPr>
      <w:numPr>
        <w:numId w:val="12"/>
      </w:numPr>
    </w:pPr>
  </w:style>
  <w:style w:type="paragraph" w:styleId="PlainText">
    <w:name w:val="Plain Text"/>
    <w:basedOn w:val="Normal"/>
    <w:link w:val="PlainTextChar"/>
    <w:rsid w:val="00EC75AF"/>
    <w:rPr>
      <w:sz w:val="20"/>
    </w:rPr>
  </w:style>
  <w:style w:type="character" w:customStyle="1" w:styleId="PlainTextChar">
    <w:name w:val="Plain Text Char"/>
    <w:basedOn w:val="DefaultParagraphFont"/>
    <w:link w:val="PlainText"/>
    <w:rsid w:val="00EC75AF"/>
    <w:rPr>
      <w:rFonts w:ascii="Courier New" w:eastAsia="Times New Roman" w:hAnsi="Courier New" w:cs="Times New Roman"/>
      <w:sz w:val="20"/>
      <w:szCs w:val="20"/>
      <w:lang w:eastAsia="en-US"/>
    </w:rPr>
  </w:style>
  <w:style w:type="character" w:customStyle="1" w:styleId="MenuOption">
    <w:name w:val="Menu Option"/>
    <w:basedOn w:val="DefaultParagraphFont"/>
    <w:rsid w:val="00EC75AF"/>
    <w:rPr>
      <w:b/>
      <w:smallCaps/>
    </w:rPr>
  </w:style>
  <w:style w:type="paragraph" w:customStyle="1" w:styleId="TableListNumber">
    <w:name w:val="Table List Number"/>
    <w:basedOn w:val="ListNumber"/>
    <w:rsid w:val="00EC75AF"/>
    <w:pPr>
      <w:numPr>
        <w:numId w:val="0"/>
      </w:numPr>
    </w:pPr>
  </w:style>
  <w:style w:type="paragraph" w:styleId="TOC4">
    <w:name w:val="toc 4"/>
    <w:basedOn w:val="TOCBase"/>
    <w:next w:val="Normal"/>
    <w:semiHidden/>
    <w:rsid w:val="00EC75AF"/>
    <w:pPr>
      <w:tabs>
        <w:tab w:val="right" w:leader="dot" w:pos="9071"/>
      </w:tabs>
      <w:ind w:left="1701"/>
    </w:pPr>
  </w:style>
  <w:style w:type="paragraph" w:customStyle="1" w:styleId="ListAlpha">
    <w:name w:val="List Alpha"/>
    <w:basedOn w:val="List"/>
    <w:rsid w:val="00EC75AF"/>
    <w:pPr>
      <w:numPr>
        <w:numId w:val="10"/>
      </w:numPr>
    </w:pPr>
  </w:style>
  <w:style w:type="paragraph" w:customStyle="1" w:styleId="ListAlpha2">
    <w:name w:val="List Alpha 2"/>
    <w:basedOn w:val="List2"/>
    <w:rsid w:val="00EC75AF"/>
    <w:pPr>
      <w:numPr>
        <w:numId w:val="9"/>
      </w:numPr>
    </w:pPr>
  </w:style>
  <w:style w:type="paragraph" w:styleId="List2">
    <w:name w:val="List 2"/>
    <w:basedOn w:val="BodyText"/>
    <w:rsid w:val="00EC75AF"/>
    <w:pPr>
      <w:tabs>
        <w:tab w:val="left" w:pos="680"/>
      </w:tabs>
      <w:spacing w:before="60" w:after="60"/>
      <w:ind w:left="680" w:hanging="340"/>
    </w:pPr>
  </w:style>
  <w:style w:type="paragraph" w:styleId="List3">
    <w:name w:val="List 3"/>
    <w:basedOn w:val="BodyText"/>
    <w:rsid w:val="00EC75AF"/>
    <w:pPr>
      <w:tabs>
        <w:tab w:val="left" w:pos="1021"/>
      </w:tabs>
      <w:spacing w:before="60" w:after="60"/>
      <w:ind w:left="1020" w:hanging="340"/>
    </w:pPr>
  </w:style>
  <w:style w:type="paragraph" w:styleId="List4">
    <w:name w:val="List 4"/>
    <w:basedOn w:val="BodyText"/>
    <w:rsid w:val="00EC75AF"/>
    <w:pPr>
      <w:tabs>
        <w:tab w:val="left" w:pos="1361"/>
      </w:tabs>
      <w:spacing w:before="60" w:after="60"/>
      <w:ind w:left="1361" w:hanging="340"/>
    </w:pPr>
  </w:style>
  <w:style w:type="paragraph" w:styleId="List5">
    <w:name w:val="List 5"/>
    <w:basedOn w:val="BodyText"/>
    <w:rsid w:val="00EC75AF"/>
    <w:pPr>
      <w:tabs>
        <w:tab w:val="left" w:pos="1701"/>
      </w:tabs>
      <w:spacing w:before="60" w:after="60"/>
      <w:ind w:left="1701" w:hanging="340"/>
    </w:pPr>
  </w:style>
  <w:style w:type="paragraph" w:styleId="ListBullet4">
    <w:name w:val="List Bullet 4"/>
    <w:basedOn w:val="List4"/>
    <w:rsid w:val="00EC75AF"/>
    <w:pPr>
      <w:numPr>
        <w:numId w:val="4"/>
      </w:numPr>
      <w:tabs>
        <w:tab w:val="clear" w:pos="1361"/>
      </w:tabs>
    </w:pPr>
  </w:style>
  <w:style w:type="paragraph" w:styleId="ListBullet5">
    <w:name w:val="List Bullet 5"/>
    <w:basedOn w:val="List5"/>
    <w:rsid w:val="00EC75AF"/>
    <w:pPr>
      <w:numPr>
        <w:numId w:val="5"/>
      </w:numPr>
    </w:pPr>
  </w:style>
  <w:style w:type="paragraph" w:styleId="ListContinue2">
    <w:name w:val="List Continue 2"/>
    <w:basedOn w:val="List2"/>
    <w:rsid w:val="00EC75AF"/>
    <w:pPr>
      <w:ind w:firstLine="0"/>
    </w:pPr>
  </w:style>
  <w:style w:type="paragraph" w:styleId="ListContinue3">
    <w:name w:val="List Continue 3"/>
    <w:basedOn w:val="List3"/>
    <w:rsid w:val="00EC75AF"/>
    <w:pPr>
      <w:ind w:left="1021" w:firstLine="0"/>
    </w:pPr>
  </w:style>
  <w:style w:type="paragraph" w:styleId="ListContinue4">
    <w:name w:val="List Continue 4"/>
    <w:basedOn w:val="List4"/>
    <w:rsid w:val="00EC75AF"/>
    <w:pPr>
      <w:ind w:firstLine="0"/>
    </w:pPr>
  </w:style>
  <w:style w:type="paragraph" w:styleId="ListContinue5">
    <w:name w:val="List Continue 5"/>
    <w:basedOn w:val="List5"/>
    <w:rsid w:val="00EC75AF"/>
    <w:pPr>
      <w:ind w:firstLine="0"/>
    </w:pPr>
  </w:style>
  <w:style w:type="paragraph" w:styleId="ListNumber3">
    <w:name w:val="List Number 3"/>
    <w:basedOn w:val="List3"/>
    <w:rsid w:val="00EC75AF"/>
    <w:pPr>
      <w:numPr>
        <w:numId w:val="6"/>
      </w:numPr>
    </w:pPr>
  </w:style>
  <w:style w:type="paragraph" w:styleId="ListNumber4">
    <w:name w:val="List Number 4"/>
    <w:basedOn w:val="List4"/>
    <w:rsid w:val="00EC75AF"/>
    <w:pPr>
      <w:numPr>
        <w:numId w:val="7"/>
      </w:numPr>
    </w:pPr>
  </w:style>
  <w:style w:type="paragraph" w:styleId="ListNumber5">
    <w:name w:val="List Number 5"/>
    <w:basedOn w:val="List5"/>
    <w:rsid w:val="00EC75AF"/>
    <w:pPr>
      <w:numPr>
        <w:numId w:val="8"/>
      </w:numPr>
    </w:pPr>
  </w:style>
  <w:style w:type="paragraph" w:styleId="BlockText">
    <w:name w:val="Block Text"/>
    <w:basedOn w:val="Normal"/>
    <w:rsid w:val="00EC75AF"/>
    <w:pPr>
      <w:spacing w:after="120"/>
      <w:ind w:left="1440" w:right="1440"/>
    </w:pPr>
  </w:style>
  <w:style w:type="character" w:customStyle="1" w:styleId="Subscript">
    <w:name w:val="Subscript"/>
    <w:basedOn w:val="DefaultParagraphFont"/>
    <w:rsid w:val="00EC75AF"/>
    <w:rPr>
      <w:sz w:val="16"/>
      <w:vertAlign w:val="subscript"/>
    </w:rPr>
  </w:style>
  <w:style w:type="character" w:customStyle="1" w:styleId="Superscript">
    <w:name w:val="Superscript"/>
    <w:basedOn w:val="DefaultParagraphFont"/>
    <w:rsid w:val="00EC75AF"/>
    <w:rPr>
      <w:sz w:val="16"/>
      <w:vertAlign w:val="superscript"/>
    </w:rPr>
  </w:style>
  <w:style w:type="character" w:customStyle="1" w:styleId="Symbols">
    <w:name w:val="Symbols"/>
    <w:basedOn w:val="DefaultParagraphFont"/>
    <w:rsid w:val="00EC75AF"/>
    <w:rPr>
      <w:rFonts w:ascii="Symbol" w:hAnsi="Symbol"/>
    </w:rPr>
  </w:style>
  <w:style w:type="character" w:customStyle="1" w:styleId="MenuOptions">
    <w:name w:val="Menu Options"/>
    <w:basedOn w:val="DefaultParagraphFont"/>
    <w:rsid w:val="00EC75AF"/>
    <w:rPr>
      <w:rFonts w:ascii="Arial Narrow" w:hAnsi="Arial Narrow"/>
      <w:smallCaps/>
    </w:rPr>
  </w:style>
  <w:style w:type="character" w:customStyle="1" w:styleId="Buttons">
    <w:name w:val="Buttons"/>
    <w:basedOn w:val="DefaultParagraphFont"/>
    <w:rsid w:val="00EC75AF"/>
    <w:rPr>
      <w:b/>
    </w:rPr>
  </w:style>
  <w:style w:type="character" w:customStyle="1" w:styleId="Underlined">
    <w:name w:val="Underlined"/>
    <w:basedOn w:val="DefaultParagraphFont"/>
    <w:rsid w:val="00EC75AF"/>
    <w:rPr>
      <w:u w:val="single"/>
    </w:rPr>
  </w:style>
  <w:style w:type="paragraph" w:customStyle="1" w:styleId="TableBodyTextRight">
    <w:name w:val="Table Body Text Right"/>
    <w:basedOn w:val="TableBodyText"/>
    <w:rsid w:val="00EC75AF"/>
    <w:pPr>
      <w:widowControl w:val="0"/>
      <w:autoSpaceDE w:val="0"/>
      <w:autoSpaceDN w:val="0"/>
      <w:adjustRightInd w:val="0"/>
      <w:jc w:val="right"/>
    </w:pPr>
    <w:rPr>
      <w:rFonts w:cs="Arial"/>
      <w:szCs w:val="18"/>
    </w:rPr>
  </w:style>
  <w:style w:type="paragraph" w:customStyle="1" w:styleId="CopyrightText">
    <w:name w:val="Copyright Text"/>
    <w:basedOn w:val="BodyText"/>
    <w:rsid w:val="00EC75AF"/>
    <w:rPr>
      <w:sz w:val="18"/>
    </w:rPr>
  </w:style>
  <w:style w:type="paragraph" w:customStyle="1" w:styleId="BodySmallRight">
    <w:name w:val="Body Small Right"/>
    <w:basedOn w:val="BodyTextRight"/>
    <w:rsid w:val="00EC75AF"/>
    <w:rPr>
      <w:sz w:val="18"/>
      <w:szCs w:val="18"/>
    </w:rPr>
  </w:style>
  <w:style w:type="paragraph" w:customStyle="1" w:styleId="MarginEdition">
    <w:name w:val="Margin Edition"/>
    <w:basedOn w:val="MarginNote"/>
    <w:rsid w:val="00EC75AF"/>
    <w:pPr>
      <w:spacing w:before="0" w:after="0"/>
    </w:pPr>
    <w:rPr>
      <w:rFonts w:ascii="Times New Roman" w:hAnsi="Times New Roman"/>
      <w:color w:val="999999"/>
    </w:rPr>
  </w:style>
  <w:style w:type="paragraph" w:customStyle="1" w:styleId="Spacer">
    <w:name w:val="Spacer"/>
    <w:basedOn w:val="Normal"/>
    <w:rsid w:val="00EC75AF"/>
    <w:rPr>
      <w:sz w:val="2"/>
      <w:szCs w:val="2"/>
    </w:rPr>
  </w:style>
  <w:style w:type="character" w:customStyle="1" w:styleId="Small">
    <w:name w:val="Small"/>
    <w:basedOn w:val="DefaultParagraphFont"/>
    <w:rsid w:val="00EC75AF"/>
    <w:rPr>
      <w:sz w:val="16"/>
    </w:rPr>
  </w:style>
  <w:style w:type="paragraph" w:customStyle="1" w:styleId="WideTable">
    <w:name w:val="Wide Table"/>
    <w:basedOn w:val="Normal"/>
    <w:rsid w:val="00EC75AF"/>
    <w:pPr>
      <w:ind w:left="-1418"/>
    </w:pPr>
    <w:rPr>
      <w:sz w:val="2"/>
      <w:szCs w:val="2"/>
    </w:rPr>
  </w:style>
  <w:style w:type="character" w:styleId="PageNumber">
    <w:name w:val="page number"/>
    <w:basedOn w:val="DefaultParagraphFont"/>
    <w:rsid w:val="00EC75AF"/>
  </w:style>
  <w:style w:type="paragraph" w:styleId="Quote">
    <w:name w:val="Quote"/>
    <w:basedOn w:val="Heading1"/>
    <w:link w:val="QuoteChar"/>
    <w:qFormat/>
    <w:rsid w:val="00EC75AF"/>
    <w:rPr>
      <w:b w:val="0"/>
      <w:sz w:val="72"/>
      <w:szCs w:val="72"/>
      <w:lang w:val="en-NZ"/>
    </w:rPr>
  </w:style>
  <w:style w:type="character" w:customStyle="1" w:styleId="QuoteChar">
    <w:name w:val="Quote Char"/>
    <w:basedOn w:val="DefaultParagraphFont"/>
    <w:link w:val="Quote"/>
    <w:rsid w:val="00EC7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5AF"/>
    <w:pPr>
      <w:pageBreakBefore/>
    </w:pPr>
  </w:style>
  <w:style w:type="paragraph" w:customStyle="1" w:styleId="Border">
    <w:name w:val="Border"/>
    <w:basedOn w:val="Normal"/>
    <w:qFormat/>
    <w:rsid w:val="00EC7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5AF"/>
    <w:rPr>
      <w:b/>
      <w:bCs/>
      <w:i/>
      <w:iCs/>
      <w:color w:val="auto"/>
    </w:rPr>
  </w:style>
  <w:style w:type="paragraph" w:styleId="IntenseQuote">
    <w:name w:val="Intense Quote"/>
    <w:basedOn w:val="Normal"/>
    <w:next w:val="Normal"/>
    <w:link w:val="IntenseQuoteChar"/>
    <w:uiPriority w:val="30"/>
    <w:qFormat/>
    <w:rsid w:val="00EC7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5AF"/>
    <w:rPr>
      <w:smallCaps/>
      <w:color w:val="auto"/>
      <w:u w:val="single"/>
    </w:rPr>
  </w:style>
  <w:style w:type="character" w:styleId="IntenseReference">
    <w:name w:val="Intense Reference"/>
    <w:basedOn w:val="DefaultParagraphFont"/>
    <w:uiPriority w:val="32"/>
    <w:qFormat/>
    <w:rsid w:val="00EC75AF"/>
    <w:rPr>
      <w:b/>
      <w:bCs/>
      <w:smallCaps/>
      <w:color w:val="auto"/>
      <w:spacing w:val="5"/>
      <w:u w:val="single"/>
    </w:rPr>
  </w:style>
  <w:style w:type="paragraph" w:customStyle="1" w:styleId="2ColumnHeading">
    <w:name w:val="2Column Heading"/>
    <w:basedOn w:val="BodyText"/>
    <w:qFormat/>
    <w:rsid w:val="00EC75AF"/>
    <w:pPr>
      <w:spacing w:after="60"/>
      <w:ind w:left="-2268"/>
    </w:pPr>
    <w:rPr>
      <w:b/>
    </w:rPr>
  </w:style>
  <w:style w:type="paragraph" w:customStyle="1" w:styleId="Heading1TOC">
    <w:name w:val="Heading1 TOC"/>
    <w:basedOn w:val="Normal"/>
    <w:qFormat/>
    <w:rsid w:val="00EC75AF"/>
    <w:pPr>
      <w:spacing w:before="240" w:after="120"/>
    </w:pPr>
    <w:rPr>
      <w:rFonts w:ascii="Times New Roman" w:hAnsi="Times New Roman"/>
      <w:b/>
      <w:sz w:val="32"/>
    </w:rPr>
  </w:style>
  <w:style w:type="paragraph" w:customStyle="1" w:styleId="Heading2TOC">
    <w:name w:val="Heading2 TOC"/>
    <w:basedOn w:val="Normal"/>
    <w:qFormat/>
    <w:rsid w:val="00EC75AF"/>
    <w:pPr>
      <w:spacing w:before="240" w:after="60"/>
    </w:pPr>
    <w:rPr>
      <w:rFonts w:ascii="Times New Roman" w:hAnsi="Times New Roman"/>
      <w:b/>
      <w:sz w:val="28"/>
    </w:rPr>
  </w:style>
  <w:style w:type="character" w:customStyle="1" w:styleId="Underline">
    <w:name w:val="Underline"/>
    <w:basedOn w:val="DefaultParagraphFont"/>
    <w:qFormat/>
    <w:rsid w:val="00EC75AF"/>
    <w:rPr>
      <w:u w:val="single"/>
    </w:rPr>
  </w:style>
  <w:style w:type="character" w:customStyle="1" w:styleId="BoldandItalics">
    <w:name w:val="Bold and Italics"/>
    <w:qFormat/>
    <w:rsid w:val="00EC75AF"/>
    <w:rPr>
      <w:b/>
      <w:i/>
      <w:u w:val="none"/>
    </w:rPr>
  </w:style>
  <w:style w:type="paragraph" w:styleId="BalloonText">
    <w:name w:val="Balloon Text"/>
    <w:basedOn w:val="Normal"/>
    <w:link w:val="BalloonTextChar"/>
    <w:rsid w:val="00EC75AF"/>
    <w:rPr>
      <w:rFonts w:ascii="Tahoma" w:hAnsi="Tahoma" w:cs="Tahoma"/>
      <w:sz w:val="16"/>
      <w:szCs w:val="16"/>
    </w:rPr>
  </w:style>
  <w:style w:type="character" w:customStyle="1" w:styleId="BalloonTextChar">
    <w:name w:val="Balloon Text Char"/>
    <w:basedOn w:val="DefaultParagraphFont"/>
    <w:link w:val="BalloonText"/>
    <w:rsid w:val="00EC7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5AF"/>
    <w:rPr>
      <w:b/>
      <w:color w:val="660033"/>
      <w:spacing w:val="0"/>
    </w:rPr>
  </w:style>
  <w:style w:type="paragraph" w:customStyle="1" w:styleId="Nameditemlist">
    <w:name w:val="Named item list"/>
    <w:basedOn w:val="BodyText"/>
    <w:qFormat/>
    <w:rsid w:val="00EC75AF"/>
    <w:pPr>
      <w:tabs>
        <w:tab w:val="left" w:pos="2835"/>
      </w:tabs>
      <w:ind w:left="2835" w:hanging="2835"/>
    </w:pPr>
  </w:style>
  <w:style w:type="paragraph" w:customStyle="1" w:styleId="BodyTextnopadding">
    <w:name w:val="Body Text no padding"/>
    <w:basedOn w:val="BodyText"/>
    <w:qFormat/>
    <w:rsid w:val="00EC75AF"/>
    <w:pPr>
      <w:spacing w:before="0" w:after="0"/>
    </w:pPr>
  </w:style>
  <w:style w:type="paragraph" w:customStyle="1" w:styleId="BodyTextBold">
    <w:name w:val="Body Text Bold"/>
    <w:basedOn w:val="BodyText"/>
    <w:qFormat/>
    <w:rsid w:val="00EC75AF"/>
    <w:rPr>
      <w:b/>
    </w:rPr>
  </w:style>
  <w:style w:type="character" w:styleId="Hyperlink">
    <w:name w:val="Hyperlink"/>
    <w:basedOn w:val="DefaultParagraphFont"/>
    <w:uiPriority w:val="99"/>
    <w:unhideWhenUsed/>
    <w:rsid w:val="00927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1203</Words>
  <Characters>7741</Characters>
  <Application>Microsoft Office Word</Application>
  <DocSecurity>0</DocSecurity>
  <Lines>161</Lines>
  <Paragraphs>103</Paragraphs>
  <ScaleCrop>false</ScaleCrop>
  <Company>Author-it Software Corporation Ltd.</Company>
  <LinksUpToDate>false</LinksUpToDate>
  <CharactersWithSpaces>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UEERE0046 Solve problems in stand-alone renewable energy (RE)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2022-10-24T03:45:00Z</dcterms:created>
  <dcterms:modified xsi:type="dcterms:W3CDTF">2022-10-24T03:45:00Z</dcterms:modified>
</cp:coreProperties>
</file>