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81F" w:rsidP="00A148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UEERE0038 Install, configure and commission LV wind energy conversion systems rated up to 10 kW</w:t>
      </w:r>
      <w:r>
        <w:fldChar w:fldCharType="end"/>
      </w:r>
    </w:p>
    <w:p w:rsidR="00A1481F" w:rsidP="00A1481F">
      <w:pPr>
        <w:pStyle w:val="Version"/>
        <w:sectPr w:rsidSect="00364C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4C66" w:rsidP="00364C66">
      <w:pPr>
        <w:pStyle w:val="SuperHeading"/>
      </w:pPr>
      <w:r w:rsidRPr="00364C66">
        <w:t>UEERE0038 Install, configure and commission LV wind energy conversion systems rated up to 10 kW</w:t>
      </w:r>
    </w:p>
    <w:p w:rsidR="00000000" w:rsidRPr="00364C66" w:rsidP="00364C66">
      <w:pPr>
        <w:pStyle w:val="Heading1"/>
      </w:pPr>
      <w:bookmarkStart w:id="1" w:name="O_1103052"/>
      <w:bookmarkEnd w:id="1"/>
      <w:r w:rsidRPr="00364C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 w:rsidP="00364C66">
            <w:pPr>
              <w:pStyle w:val="BodyText"/>
            </w:pPr>
            <w:r w:rsidRPr="00364C66">
              <w:t>Release 1. This is the first release of this unit of competency in the UEE Electrotechnology Training Package.</w:t>
            </w:r>
          </w:p>
        </w:tc>
      </w:tr>
    </w:tbl>
    <w:p w:rsidR="00000000" w:rsidRPr="00364C66" w:rsidP="00364C66">
      <w:pPr>
        <w:pStyle w:val="NoPaddingFontSize1"/>
      </w:pPr>
    </w:p>
    <w:p w:rsidR="00000000" w:rsidRPr="00364C66" w:rsidP="00364C66">
      <w:pPr>
        <w:pStyle w:val="AllowPageBreak"/>
      </w:pPr>
    </w:p>
    <w:p w:rsidR="00000000" w:rsidRPr="00364C66" w:rsidP="00364C66">
      <w:pPr>
        <w:pStyle w:val="Heading1"/>
      </w:pPr>
      <w:bookmarkStart w:id="2" w:name="O_1103053"/>
      <w:bookmarkEnd w:id="2"/>
      <w:r w:rsidRPr="00364C6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 w:rsidP="00364C66">
            <w:pPr>
              <w:pStyle w:val="BodyText"/>
            </w:pPr>
            <w:r w:rsidRPr="00364C66">
              <w:t>This unit involves the skills and knowledge required to install, configure and commission low voltage (LV) wind energy conversion system (WECS) rated up to 10 kilowatt (kW).</w:t>
            </w:r>
          </w:p>
          <w:p w:rsidR="00000000" w:rsidRPr="00364C66" w:rsidP="00364C66">
            <w:pPr>
              <w:pStyle w:val="BodyText"/>
            </w:pPr>
            <w:r w:rsidRPr="00364C66">
              <w:t>It includes preparing to install LV WECS, installing</w:t>
            </w:r>
            <w:r w:rsidRPr="00364C66">
              <w:t xml:space="preserve"> LV WECS, completing installation and reporting installation activities.</w:t>
            </w:r>
          </w:p>
          <w:p w:rsidR="00000000" w:rsidRPr="00364C66" w:rsidP="00364C66">
            <w:pPr>
              <w:pStyle w:val="BodyText"/>
            </w:pPr>
            <w:r w:rsidRPr="00364C66">
              <w:t>The skills and knowledge described in this unit require a licence or permit to practice in the workplace where work is carried out on electrical installations which are designed to op</w:t>
            </w:r>
            <w:r w:rsidRPr="00364C66">
              <w:t>erate at voltages greater than 50 volt (V) alternating current (a.c.) or 120 V direct current (d.c).</w:t>
            </w:r>
          </w:p>
          <w:p w:rsidR="00000000" w:rsidRPr="00364C66" w:rsidP="00364C66">
            <w:pPr>
              <w:pStyle w:val="BodyText"/>
            </w:pPr>
            <w:r w:rsidRPr="00364C66">
              <w:t>Competency development activities in this unit are subject to regulations directly related to licensing. Where a licence or permit to practice is not held,</w:t>
            </w:r>
            <w:r w:rsidRPr="00364C66">
              <w:t xml:space="preserve"> a relevant contract of training, such as an Australian Apprenticeship, is required.</w:t>
            </w:r>
          </w:p>
          <w:p w:rsidR="00000000" w:rsidRPr="00364C66" w:rsidP="00364C66">
            <w:pPr>
              <w:pStyle w:val="BodyText"/>
            </w:pPr>
            <w:r w:rsidRPr="00364C66">
              <w:t>Additional and/or other conditions may apply in some jurisdictions subject to regulations related to electrical work. Practice in the workplace and during training is also</w:t>
            </w:r>
            <w:r w:rsidRPr="00364C66">
              <w:t xml:space="preserve"> subject to work health and safety (WHS)/occupational health and safety (OHS) regulations.</w:t>
            </w:r>
          </w:p>
        </w:tc>
      </w:tr>
    </w:tbl>
    <w:p w:rsidR="00000000" w:rsidRPr="00364C66" w:rsidP="00364C66">
      <w:pPr>
        <w:pStyle w:val="NoPaddingFontSize1"/>
      </w:pPr>
    </w:p>
    <w:p w:rsidR="00000000" w:rsidRPr="00364C66" w:rsidP="00364C66">
      <w:pPr>
        <w:pStyle w:val="AllowPageBreak"/>
      </w:pPr>
    </w:p>
    <w:p w:rsidR="00000000" w:rsidRPr="00364C66" w:rsidP="00364C66">
      <w:pPr>
        <w:pStyle w:val="Heading1"/>
      </w:pPr>
      <w:bookmarkStart w:id="3" w:name="O_1103054"/>
      <w:bookmarkEnd w:id="3"/>
      <w:r w:rsidRPr="00364C6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 w:rsidP="00364C66">
            <w:pPr>
              <w:pStyle w:val="BodyText"/>
            </w:pPr>
            <w:r w:rsidRPr="00364C66">
              <w:t>UEEEL0012 Install low voltage wiring, appliances, switchgear and associated accessories</w:t>
            </w:r>
          </w:p>
          <w:p w:rsidR="00000000" w:rsidRPr="00364C66" w:rsidP="00364C66">
            <w:pPr>
              <w:pStyle w:val="BodyText"/>
            </w:pPr>
            <w:r w:rsidRPr="00364C66">
              <w:t>UEERE0047 Solve problems in wind ener</w:t>
            </w:r>
            <w:r w:rsidRPr="00364C66">
              <w:t>gy conversion systems rated up to 10 kW</w:t>
            </w:r>
          </w:p>
        </w:tc>
      </w:tr>
    </w:tbl>
    <w:p w:rsidR="00000000" w:rsidRPr="00364C66" w:rsidP="00364C66">
      <w:pPr>
        <w:pStyle w:val="NoPaddingFontSize1"/>
      </w:pPr>
    </w:p>
    <w:p w:rsidR="00000000" w:rsidRPr="00364C66" w:rsidP="00364C66">
      <w:pPr>
        <w:pStyle w:val="AllowPageBreak"/>
      </w:pPr>
    </w:p>
    <w:p w:rsidR="00000000" w:rsidRPr="00364C66" w:rsidP="00364C66">
      <w:pPr>
        <w:pStyle w:val="Heading1"/>
      </w:pPr>
      <w:bookmarkStart w:id="4" w:name="O_1103055"/>
      <w:bookmarkEnd w:id="4"/>
      <w:r w:rsidRPr="00364C6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 w:rsidP="00364C66">
            <w:pPr>
              <w:pStyle w:val="BodyText"/>
            </w:pPr>
            <w:r w:rsidRPr="00364C66">
              <w:t>Renewable Energy</w:t>
            </w:r>
          </w:p>
        </w:tc>
      </w:tr>
    </w:tbl>
    <w:p w:rsidR="00000000" w:rsidRPr="00364C66" w:rsidP="00364C66">
      <w:pPr>
        <w:pStyle w:val="NoPaddingFontSize1"/>
      </w:pPr>
    </w:p>
    <w:p w:rsidR="00000000" w:rsidRPr="00364C66" w:rsidP="00364C66">
      <w:pPr>
        <w:pStyle w:val="AllowPageBreak"/>
      </w:pPr>
    </w:p>
    <w:p w:rsidR="00000000" w:rsidRPr="00364C66" w:rsidP="00364C66">
      <w:pPr>
        <w:pStyle w:val="Heading1"/>
      </w:pPr>
      <w:bookmarkStart w:id="5" w:name="O_1103056"/>
      <w:bookmarkEnd w:id="5"/>
      <w:r w:rsidRPr="00364C6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 w:rsidP="00364C66">
            <w:pPr>
              <w:pStyle w:val="BodyText"/>
            </w:pPr>
            <w:r w:rsidRPr="00364C66">
              <w:t>Electrotechnology</w:t>
            </w:r>
          </w:p>
        </w:tc>
      </w:tr>
    </w:tbl>
    <w:p w:rsidR="00000000" w:rsidRPr="00364C66" w:rsidP="00364C66">
      <w:pPr>
        <w:pStyle w:val="NoPaddingFontSize1"/>
      </w:pPr>
    </w:p>
    <w:p w:rsidR="00000000" w:rsidRPr="00364C66" w:rsidP="00364C66">
      <w:pPr>
        <w:pStyle w:val="AllowPageBreak"/>
      </w:pPr>
    </w:p>
    <w:p w:rsidR="00000000" w:rsidRPr="00364C66" w:rsidP="00364C66">
      <w:pPr>
        <w:pStyle w:val="Heading1"/>
      </w:pPr>
      <w:bookmarkStart w:id="6" w:name="O_1103057"/>
      <w:bookmarkEnd w:id="6"/>
      <w:r w:rsidRPr="00364C6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 w:rsidP="00364C66">
            <w:pPr>
              <w:pStyle w:val="BodyText"/>
            </w:pPr>
            <w:r w:rsidRPr="00364C6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PERFORMANCE CRITERIA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Performance criteria describe the performance needed to demonstrate achievement of the element.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 w:rsidP="00364C66">
            <w:pPr>
              <w:pStyle w:val="BodyText"/>
            </w:pPr>
            <w:r w:rsidRPr="00364C6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 w:rsidP="00364C66">
            <w:pPr>
              <w:pStyle w:val="BodyText"/>
            </w:pPr>
            <w:r w:rsidRPr="00364C66">
              <w:rPr>
                <w:rStyle w:val="SpecialBold"/>
              </w:rPr>
              <w:t>Prepare to install LV WECS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WHS/OHS processes and procedures for relevant work area are identified and applied in accordance with workplace procedures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WHS/OHS risks are identified and workplace procedures for risk control are applied in preparation for work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Risks/hazards are identified, assessed, reported to relevant person/s and control measures implemented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System installation is planned in consultation with others impacted by the work and sequenced appropriately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Nature and location of the work</w:t>
            </w:r>
            <w:r w:rsidRPr="00364C66">
              <w:t xml:space="preserve"> are determined from documentation or relevant person/s to determine the scope of work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Sitting limitations and customer system requirements are identified by consultation with the customer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Suitable system components are specified and selected in accordance with workplace procedures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Location of system components is planned within the constraints of the building structure and regulations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Instructions for coordinating work with ot</w:t>
            </w:r>
            <w:r w:rsidRPr="00364C66">
              <w:t>hers are obtained from relevant person/s and applied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Materials and components required are obtained in accordance with workplace procedures, pre-assembled, as required, and checked against job requirements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Materials and components are prepa</w:t>
            </w:r>
            <w:r w:rsidRPr="00364C66">
              <w:t>red for transport to the site and transport is arranged in accordance with workplace procedures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Tools, equipment and testing devices required are obtained in accordance with workplace procedures and checked for correct operation and safety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1.13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Preparatory work is checked to ensure no unnecessary damage has occurred previously and complies with requirements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 w:rsidP="00364C66">
            <w:pPr>
              <w:pStyle w:val="BodyText"/>
            </w:pPr>
            <w:r w:rsidRPr="00364C6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 w:rsidP="00364C66">
            <w:pPr>
              <w:pStyle w:val="BodyText"/>
            </w:pPr>
            <w:r w:rsidRPr="00364C66">
              <w:rPr>
                <w:rStyle w:val="SpecialBold"/>
              </w:rPr>
              <w:t>Install LV WECS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Workplace risk control measures and procedures are applied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Equipment is transported safely to the site in accordance with workplace procedures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Need to test or measure live electrical work is determined in accordance with WHS/OHS requirements and conducted in accordance with workplace procedures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Circuits/machines/plant are isolated in accordance with WHS/OHS requirements and workplace procedures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System components are installed in compliance with technical industry standards, job specifications and requirements, and with sufficient access to</w:t>
            </w:r>
            <w:r w:rsidRPr="00364C66">
              <w:t xml:space="preserve"> enable terminations, adjustment and maintenance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Wiring is terminated at components and associated equipment in accordance with manufacturer specifications and functional and regulatory requirements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Unexpected events are discussed with releva</w:t>
            </w:r>
            <w:r w:rsidRPr="00364C66">
              <w:t>nt person/s, dealt with and documented in accordance with workplace procedures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Unexpected situations are dealt with safely and with the approval of authorised person/s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Quality checks of installed apparatus are conducted in accordance with workplace procedures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System installation is completed minimising waste of materials, damage to apparatus, circuits, the surrounding environment and services using sustainable en</w:t>
            </w:r>
            <w:r w:rsidRPr="00364C66">
              <w:t>ergy principles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 w:rsidP="00364C66">
            <w:pPr>
              <w:pStyle w:val="BodyText"/>
            </w:pPr>
            <w:r w:rsidRPr="00364C6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 w:rsidP="00364C66">
            <w:pPr>
              <w:pStyle w:val="BodyText"/>
            </w:pPr>
            <w:r w:rsidRPr="00364C66">
              <w:rPr>
                <w:rStyle w:val="SpecialBold"/>
              </w:rPr>
              <w:t>Complete installation and report installation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Workplace risk control measures and procedures are applied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Worksite is cleaned and made safe in accordance with workplace procedures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 xml:space="preserve">Final </w:t>
            </w:r>
            <w:r w:rsidRPr="00364C66">
              <w:t>checks are conducted to confirm installed apparatus conforms to requirements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System operation is tested and installation verified as compliant with industry standards and work specifications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>
              <w:t>‘</w:t>
            </w:r>
            <w:r w:rsidRPr="00364C66">
              <w:t>As-installed</w:t>
            </w:r>
            <w:r>
              <w:t>’</w:t>
            </w:r>
            <w:r w:rsidRPr="00364C66">
              <w:t xml:space="preserve"> apparatus and associated equipment a</w:t>
            </w:r>
            <w:r w:rsidRPr="00364C66">
              <w:t>re documented and relevant person/s notified in accordance with workplace procedures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t>Customer is informed of system operation, routine maintenance and limitations</w:t>
            </w:r>
          </w:p>
        </w:tc>
      </w:tr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66">
            <w:pPr>
              <w:pStyle w:val="BodyText"/>
              <w:rPr>
                <w:lang w:val="en-NZ"/>
              </w:rPr>
            </w:pPr>
            <w:r w:rsidRPr="00364C66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 w:rsidP="00364C66">
            <w:pPr>
              <w:pStyle w:val="BodyText"/>
            </w:pPr>
            <w:r w:rsidRPr="00364C66">
              <w:t>Documentation required by industry standards or job specifications is provided to the customer</w:t>
            </w:r>
          </w:p>
        </w:tc>
      </w:tr>
    </w:tbl>
    <w:p w:rsidR="00000000" w:rsidRPr="00364C66" w:rsidP="00364C66">
      <w:pPr>
        <w:pStyle w:val="NoPaddingFontSize1"/>
      </w:pPr>
    </w:p>
    <w:p w:rsidR="00000000" w:rsidRPr="00364C66" w:rsidP="00364C66">
      <w:pPr>
        <w:pStyle w:val="AllowPageBreak"/>
      </w:pPr>
    </w:p>
    <w:p w:rsidR="00000000" w:rsidRPr="00364C66" w:rsidP="00364C66">
      <w:pPr>
        <w:pStyle w:val="Heading1"/>
      </w:pPr>
      <w:bookmarkStart w:id="7" w:name="O_1103058"/>
      <w:bookmarkEnd w:id="7"/>
      <w:r w:rsidRPr="00364C6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 w:rsidP="00364C66">
            <w:pPr>
              <w:pStyle w:val="BodyText"/>
            </w:pPr>
            <w:r w:rsidRPr="00364C66">
              <w:t>Foundation skills essential to performance are explicit in the performance criteria of this unit of competency.</w:t>
            </w:r>
          </w:p>
        </w:tc>
      </w:tr>
    </w:tbl>
    <w:p w:rsidR="00000000" w:rsidRPr="00364C66" w:rsidP="00364C66">
      <w:pPr>
        <w:pStyle w:val="NoPaddingFontSize1"/>
      </w:pPr>
    </w:p>
    <w:p w:rsidR="00000000" w:rsidRPr="00364C66" w:rsidP="00364C66">
      <w:pPr>
        <w:pStyle w:val="AllowPageBreak"/>
      </w:pPr>
    </w:p>
    <w:p w:rsidR="00000000" w:rsidRPr="00364C66" w:rsidP="00364C66">
      <w:pPr>
        <w:pStyle w:val="Heading1"/>
      </w:pPr>
      <w:bookmarkStart w:id="8" w:name="O_1103059"/>
      <w:bookmarkEnd w:id="8"/>
      <w:r w:rsidRPr="00364C6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 w:rsidP="00364C66">
            <w:pPr>
              <w:pStyle w:val="BodyText"/>
            </w:pPr>
            <w:r w:rsidRPr="00364C66">
              <w:t>Range is restricted to essential operating conditions and any other variables essential to the work environment.</w:t>
            </w:r>
          </w:p>
          <w:p w:rsidR="00000000" w:rsidRPr="00364C66" w:rsidP="00364C66">
            <w:pPr>
              <w:pStyle w:val="BodyText"/>
            </w:pPr>
            <w:r w:rsidRPr="00364C66">
              <w:t>Non-essential conditions may be found in the UEE Electrotechnology Training Package Companion Volume Implementat</w:t>
            </w:r>
            <w:r w:rsidRPr="00364C66">
              <w:t>ion Guide.</w:t>
            </w:r>
          </w:p>
        </w:tc>
      </w:tr>
    </w:tbl>
    <w:p w:rsidR="00000000" w:rsidRPr="00364C66" w:rsidP="00364C66">
      <w:pPr>
        <w:pStyle w:val="NoPaddingFontSize1"/>
      </w:pPr>
    </w:p>
    <w:p w:rsidR="00000000" w:rsidRPr="00364C66" w:rsidP="00364C66">
      <w:pPr>
        <w:pStyle w:val="AllowPageBreak"/>
      </w:pPr>
    </w:p>
    <w:p w:rsidR="00000000" w:rsidRPr="00364C66" w:rsidP="00364C66">
      <w:pPr>
        <w:pStyle w:val="Heading1"/>
      </w:pPr>
      <w:bookmarkStart w:id="9" w:name="O_1103060"/>
      <w:bookmarkEnd w:id="9"/>
      <w:r w:rsidRPr="00364C6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C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66" w:rsidP="00364C66">
            <w:pPr>
              <w:pStyle w:val="BodyText"/>
            </w:pPr>
            <w:r w:rsidRPr="00364C66">
              <w:t>This unit replaces and is equivalent to UEENEEK144A Install, configure and commission LV wind energy conversion systems rated up to 10 kW.</w:t>
            </w:r>
          </w:p>
        </w:tc>
      </w:tr>
    </w:tbl>
    <w:p w:rsidR="00000000" w:rsidRPr="00364C66" w:rsidP="00364C66">
      <w:pPr>
        <w:pStyle w:val="NoPaddingFontSize1"/>
      </w:pPr>
    </w:p>
    <w:p w:rsidR="00000000" w:rsidRPr="00364C66" w:rsidP="00364C66">
      <w:pPr>
        <w:pStyle w:val="AllowPageBreak"/>
      </w:pPr>
    </w:p>
    <w:p w:rsidR="00000000" w:rsidRPr="00364C66" w:rsidP="00364C66">
      <w:pPr>
        <w:pStyle w:val="Heading1"/>
      </w:pPr>
      <w:bookmarkStart w:id="10" w:name="O_1103067"/>
      <w:bookmarkEnd w:id="10"/>
      <w:r w:rsidRPr="00364C66">
        <w:t>Links</w:t>
      </w:r>
    </w:p>
    <w:p w:rsidR="00000000" w:rsidRPr="00364C66" w:rsidP="00A1481F">
      <w:pPr>
        <w:pStyle w:val="BodyText"/>
      </w:pPr>
      <w:r w:rsidRPr="00364C6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21CF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64C66" w:rsidP="00364C66"/>
    <w:sectPr w:rsidSect="00364C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C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C66" w:rsidRPr="00A1481F" w:rsidP="00A148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C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81F" w:rsidP="00364C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481F" w:rsidP="00364C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1481F" w:rsidP="00364C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C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8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4C66" w:rsidRPr="00A1481F" w:rsidP="00A148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C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81F" w:rsidRPr="002D2AF8" w:rsidP="00364C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UEERE0038 Install, configure and commission LV wind energy conversion systems rated up to 10 kW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A1481F" w:rsidP="00364C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C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C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C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C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C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C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C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C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C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C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C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C66"/>
  </w:style>
  <w:style w:type="character" w:customStyle="1" w:styleId="Heading1Char">
    <w:name w:val="Heading 1 Char"/>
    <w:basedOn w:val="DefaultParagraphFont"/>
    <w:link w:val="Heading1"/>
    <w:rsid w:val="00364C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C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C6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64C66"/>
    <w:rPr>
      <w:b/>
      <w:spacing w:val="0"/>
    </w:rPr>
  </w:style>
  <w:style w:type="paragraph" w:customStyle="1" w:styleId="SuperHeading">
    <w:name w:val="SuperHeading"/>
    <w:basedOn w:val="Normal"/>
    <w:rsid w:val="00364C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4C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4C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C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C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C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C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C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C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C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C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C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C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C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C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C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4C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4C6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4C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4C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C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C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4C6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4C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C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C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C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C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C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C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C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C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4C66"/>
    <w:rPr>
      <w:i/>
    </w:rPr>
  </w:style>
  <w:style w:type="paragraph" w:styleId="Caption">
    <w:name w:val="caption"/>
    <w:basedOn w:val="BodyText"/>
    <w:next w:val="Normal"/>
    <w:qFormat/>
    <w:rsid w:val="00364C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C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C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C66"/>
  </w:style>
  <w:style w:type="paragraph" w:styleId="TableofFigures">
    <w:name w:val="table of figures"/>
    <w:basedOn w:val="Normal"/>
    <w:next w:val="Normal"/>
    <w:semiHidden/>
    <w:rsid w:val="00364C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C6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64C66"/>
    <w:rPr>
      <w:rFonts w:ascii="Wingdings" w:hAnsi="Wingdings"/>
    </w:rPr>
  </w:style>
  <w:style w:type="paragraph" w:customStyle="1" w:styleId="TableHeading">
    <w:name w:val="Table Heading"/>
    <w:basedOn w:val="HeadingBase"/>
    <w:rsid w:val="00364C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4C66"/>
    <w:rPr>
      <w:color w:val="0033CC"/>
      <w:u w:val="none"/>
    </w:rPr>
  </w:style>
  <w:style w:type="paragraph" w:customStyle="1" w:styleId="BodyTextRight">
    <w:name w:val="Body Text Right"/>
    <w:basedOn w:val="BodyText"/>
    <w:rsid w:val="00364C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C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C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C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C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C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C66"/>
    <w:rPr>
      <w:sz w:val="32"/>
    </w:rPr>
  </w:style>
  <w:style w:type="paragraph" w:customStyle="1" w:styleId="HeadingProcedure">
    <w:name w:val="Heading Procedure"/>
    <w:basedOn w:val="HeadingBase"/>
    <w:next w:val="Normal"/>
    <w:rsid w:val="00364C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C66"/>
    <w:pPr>
      <w:spacing w:before="60" w:after="60"/>
    </w:pPr>
  </w:style>
  <w:style w:type="paragraph" w:styleId="ListContinue">
    <w:name w:val="List Continue"/>
    <w:basedOn w:val="List"/>
    <w:rsid w:val="00364C66"/>
    <w:pPr>
      <w:ind w:firstLine="0"/>
    </w:pPr>
  </w:style>
  <w:style w:type="paragraph" w:customStyle="1" w:styleId="ListNote">
    <w:name w:val="List Note"/>
    <w:basedOn w:val="List"/>
    <w:rsid w:val="00364C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C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C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C66"/>
    <w:rPr>
      <w:rFonts w:ascii="Courier New" w:hAnsi="Courier New"/>
    </w:rPr>
  </w:style>
  <w:style w:type="paragraph" w:customStyle="1" w:styleId="NoteBullet">
    <w:name w:val="Note Bullet"/>
    <w:basedOn w:val="Note"/>
    <w:rsid w:val="00364C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C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C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C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C6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64C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C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C66"/>
    <w:rPr>
      <w:b/>
      <w:smallCaps/>
    </w:rPr>
  </w:style>
  <w:style w:type="paragraph" w:customStyle="1" w:styleId="TableListNumber">
    <w:name w:val="Table List Number"/>
    <w:basedOn w:val="ListNumber"/>
    <w:rsid w:val="00364C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C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C66"/>
    <w:pPr>
      <w:numPr>
        <w:numId w:val="7"/>
      </w:numPr>
    </w:pPr>
  </w:style>
  <w:style w:type="paragraph" w:customStyle="1" w:styleId="ListAlpha2">
    <w:name w:val="List Alpha 2"/>
    <w:basedOn w:val="List2"/>
    <w:rsid w:val="00364C66"/>
    <w:pPr>
      <w:numPr>
        <w:numId w:val="6"/>
      </w:numPr>
    </w:pPr>
  </w:style>
  <w:style w:type="paragraph" w:styleId="List2">
    <w:name w:val="List 2"/>
    <w:basedOn w:val="BodyText"/>
    <w:rsid w:val="00364C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C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C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C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4C6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4C6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64C66"/>
    <w:pPr>
      <w:numPr>
        <w:numId w:val="2"/>
      </w:numPr>
    </w:pPr>
  </w:style>
  <w:style w:type="paragraph" w:styleId="ListContinue2">
    <w:name w:val="List Continue 2"/>
    <w:basedOn w:val="List2"/>
    <w:rsid w:val="00364C66"/>
    <w:pPr>
      <w:ind w:firstLine="0"/>
    </w:pPr>
  </w:style>
  <w:style w:type="paragraph" w:styleId="ListContinue3">
    <w:name w:val="List Continue 3"/>
    <w:basedOn w:val="List3"/>
    <w:rsid w:val="00364C66"/>
    <w:pPr>
      <w:ind w:left="1021" w:firstLine="0"/>
    </w:pPr>
  </w:style>
  <w:style w:type="paragraph" w:styleId="ListContinue4">
    <w:name w:val="List Continue 4"/>
    <w:basedOn w:val="List4"/>
    <w:rsid w:val="00364C66"/>
    <w:pPr>
      <w:ind w:firstLine="0"/>
    </w:pPr>
  </w:style>
  <w:style w:type="paragraph" w:styleId="ListContinue5">
    <w:name w:val="List Continue 5"/>
    <w:basedOn w:val="List5"/>
    <w:rsid w:val="00364C66"/>
    <w:pPr>
      <w:ind w:firstLine="0"/>
    </w:pPr>
  </w:style>
  <w:style w:type="paragraph" w:styleId="ListNumber3">
    <w:name w:val="List Number 3"/>
    <w:basedOn w:val="List3"/>
    <w:rsid w:val="00364C66"/>
    <w:pPr>
      <w:numPr>
        <w:numId w:val="3"/>
      </w:numPr>
    </w:pPr>
  </w:style>
  <w:style w:type="paragraph" w:styleId="ListNumber4">
    <w:name w:val="List Number 4"/>
    <w:basedOn w:val="List4"/>
    <w:rsid w:val="00364C66"/>
    <w:pPr>
      <w:numPr>
        <w:numId w:val="4"/>
      </w:numPr>
    </w:pPr>
  </w:style>
  <w:style w:type="paragraph" w:styleId="ListNumber5">
    <w:name w:val="List Number 5"/>
    <w:basedOn w:val="List5"/>
    <w:rsid w:val="00364C66"/>
    <w:pPr>
      <w:numPr>
        <w:numId w:val="5"/>
      </w:numPr>
    </w:pPr>
  </w:style>
  <w:style w:type="paragraph" w:styleId="BlockText">
    <w:name w:val="Block Text"/>
    <w:basedOn w:val="Normal"/>
    <w:rsid w:val="00364C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C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C66"/>
    <w:rPr>
      <w:sz w:val="16"/>
      <w:vertAlign w:val="superscript"/>
    </w:rPr>
  </w:style>
  <w:style w:type="character" w:customStyle="1" w:styleId="Symbols">
    <w:name w:val="Symbols"/>
    <w:basedOn w:val="DefaultParagraphFont"/>
    <w:rsid w:val="00364C66"/>
    <w:rPr>
      <w:rFonts w:ascii="Symbol" w:hAnsi="Symbol"/>
    </w:rPr>
  </w:style>
  <w:style w:type="character" w:customStyle="1" w:styleId="MenuOptions">
    <w:name w:val="Menu Options"/>
    <w:basedOn w:val="DefaultParagraphFont"/>
    <w:rsid w:val="00364C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C66"/>
    <w:rPr>
      <w:b/>
    </w:rPr>
  </w:style>
  <w:style w:type="character" w:customStyle="1" w:styleId="Underlined">
    <w:name w:val="Underlined"/>
    <w:basedOn w:val="DefaultParagraphFont"/>
    <w:rsid w:val="00364C66"/>
    <w:rPr>
      <w:u w:val="single"/>
    </w:rPr>
  </w:style>
  <w:style w:type="paragraph" w:customStyle="1" w:styleId="TableBodyTextRight">
    <w:name w:val="Table Body Text Right"/>
    <w:basedOn w:val="TableBodyText"/>
    <w:rsid w:val="00364C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C66"/>
    <w:rPr>
      <w:sz w:val="18"/>
    </w:rPr>
  </w:style>
  <w:style w:type="paragraph" w:customStyle="1" w:styleId="BodySmallRight">
    <w:name w:val="Body Small Right"/>
    <w:basedOn w:val="BodyTextRight"/>
    <w:rsid w:val="00364C66"/>
    <w:rPr>
      <w:sz w:val="18"/>
      <w:szCs w:val="18"/>
    </w:rPr>
  </w:style>
  <w:style w:type="paragraph" w:customStyle="1" w:styleId="MarginEdition">
    <w:name w:val="Margin Edition"/>
    <w:basedOn w:val="MarginNote"/>
    <w:rsid w:val="00364C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C66"/>
    <w:rPr>
      <w:sz w:val="2"/>
      <w:szCs w:val="2"/>
    </w:rPr>
  </w:style>
  <w:style w:type="character" w:customStyle="1" w:styleId="Small">
    <w:name w:val="Small"/>
    <w:basedOn w:val="DefaultParagraphFont"/>
    <w:rsid w:val="00364C66"/>
    <w:rPr>
      <w:sz w:val="16"/>
    </w:rPr>
  </w:style>
  <w:style w:type="paragraph" w:customStyle="1" w:styleId="WideTable">
    <w:name w:val="Wide Table"/>
    <w:basedOn w:val="Normal"/>
    <w:rsid w:val="00364C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C66"/>
  </w:style>
  <w:style w:type="paragraph" w:styleId="Quote">
    <w:name w:val="Quote"/>
    <w:basedOn w:val="Heading1"/>
    <w:link w:val="QuoteChar"/>
    <w:qFormat/>
    <w:rsid w:val="00364C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C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C66"/>
    <w:pPr>
      <w:pageBreakBefore/>
    </w:pPr>
  </w:style>
  <w:style w:type="paragraph" w:customStyle="1" w:styleId="Border">
    <w:name w:val="Border"/>
    <w:basedOn w:val="Normal"/>
    <w:qFormat/>
    <w:rsid w:val="00364C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C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C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C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C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C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C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C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C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C66"/>
    <w:rPr>
      <w:u w:val="single"/>
    </w:rPr>
  </w:style>
  <w:style w:type="character" w:customStyle="1" w:styleId="BoldandItalics">
    <w:name w:val="Bold and Italics"/>
    <w:qFormat/>
    <w:rsid w:val="00364C66"/>
    <w:rPr>
      <w:b/>
      <w:i/>
      <w:u w:val="none"/>
    </w:rPr>
  </w:style>
  <w:style w:type="paragraph" w:styleId="BalloonText">
    <w:name w:val="Balloon Text"/>
    <w:basedOn w:val="Normal"/>
    <w:link w:val="BalloonTextChar"/>
    <w:rsid w:val="00364C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C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C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C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C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C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4C66"/>
    <w:pPr>
      <w:spacing w:before="0" w:after="0"/>
    </w:pPr>
  </w:style>
  <w:style w:type="paragraph" w:customStyle="1" w:styleId="BodyTextBold">
    <w:name w:val="Body Text Bold"/>
    <w:basedOn w:val="BodyText"/>
    <w:qFormat/>
    <w:rsid w:val="00364C66"/>
    <w:rPr>
      <w:b/>
    </w:rPr>
  </w:style>
  <w:style w:type="character" w:styleId="Hyperlink">
    <w:name w:val="Hyperlink"/>
    <w:basedOn w:val="DefaultParagraphFont"/>
    <w:uiPriority w:val="99"/>
    <w:unhideWhenUsed/>
    <w:rsid w:val="00A148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895</Words>
  <Characters>5562</Characters>
  <Application>Microsoft Office Word</Application>
  <DocSecurity>0</DocSecurity>
  <Lines>252</Lines>
  <Paragraphs>117</Paragraphs>
  <ScaleCrop>false</ScaleCrop>
  <Company>Author-it Software Corporation Ltd.</Company>
  <LinksUpToDate>false</LinksUpToDate>
  <CharactersWithSpaces>6340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UEERE0038 Install, configure and commission LV wind energy conversion systems rated up to 10 kW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2022-10-24T04:06:00Z</dcterms:created>
  <dcterms:modified xsi:type="dcterms:W3CDTF">2022-10-24T04:07:00Z</dcterms:modified>
</cp:coreProperties>
</file>