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A8" w:rsidP="00DC46A8">
      <w:pPr>
        <w:pStyle w:val="Title"/>
      </w:pPr>
      <w:r>
        <w:fldChar w:fldCharType="begin"/>
      </w:r>
      <w:r>
        <w:instrText xml:space="preserve"> TITLE   \* MERGEFORMAT </w:instrText>
      </w:r>
      <w:r>
        <w:fldChar w:fldCharType="separate"/>
      </w:r>
      <w:r>
        <w:t>UEERE0038 Install, configure and commission LV wind energy conversion systems rated up to 10 kW</w:t>
      </w:r>
      <w:r>
        <w:fldChar w:fldCharType="end"/>
      </w:r>
    </w:p>
    <w:p w:rsidR="00DC46A8" w:rsidP="00DC46A8">
      <w:pPr>
        <w:pStyle w:val="Version"/>
        <w:sectPr w:rsidSect="002A3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B45" w:rsidP="002A3B45">
      <w:pPr>
        <w:pStyle w:val="SuperHeading"/>
      </w:pPr>
      <w:r w:rsidRPr="002A3B45">
        <w:t>UEERE0038 Install, configure and commission LV wind energy conversion systems rated up to 10 kW</w:t>
      </w:r>
    </w:p>
    <w:p w:rsidR="00000000" w:rsidRPr="002A3B45" w:rsidP="002A3B45">
      <w:pPr>
        <w:pStyle w:val="Heading1"/>
      </w:pPr>
      <w:bookmarkStart w:id="1" w:name="O_1103052"/>
      <w:bookmarkEnd w:id="1"/>
      <w:r w:rsidRPr="002A3B45">
        <w:t>Modification History</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Release 1. This is the first release of this unit of competency in the UEE Electrotechnology Training Package.</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2" w:name="O_1103053"/>
      <w:bookmarkEnd w:id="2"/>
      <w:r w:rsidRPr="002A3B45">
        <w:t>Application</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This unit involves the skills and knowledge required to install, configure and commission low voltage (LV) wind energy conversion system (WECS) rated up to 10 kilowatt (kW).</w:t>
            </w:r>
          </w:p>
          <w:p w:rsidR="00000000" w:rsidRPr="002A3B45" w:rsidP="002A3B45">
            <w:pPr>
              <w:pStyle w:val="BodyText"/>
            </w:pPr>
            <w:r w:rsidRPr="002A3B45">
              <w:t>It includes preparing to install LV WECS, installing</w:t>
            </w:r>
            <w:r w:rsidRPr="002A3B45">
              <w:t xml:space="preserve"> LV WECS, completing installation and reporting installation activities.</w:t>
            </w:r>
          </w:p>
          <w:p w:rsidR="00000000" w:rsidRPr="002A3B45" w:rsidP="002A3B45">
            <w:pPr>
              <w:pStyle w:val="BodyText"/>
            </w:pPr>
            <w:r w:rsidRPr="002A3B45">
              <w:t>The skills and knowledge described in this unit require a licence or permit to practice in the workplace where work is carried out on electrical installations which are designed to op</w:t>
            </w:r>
            <w:r w:rsidRPr="002A3B45">
              <w:t>erate at voltages greater than 50 volt (V) alternating current (a.c.) or 120 V direct current (d.c).</w:t>
            </w:r>
          </w:p>
          <w:p w:rsidR="00000000" w:rsidRPr="002A3B45" w:rsidP="002A3B45">
            <w:pPr>
              <w:pStyle w:val="BodyText"/>
            </w:pPr>
            <w:r w:rsidRPr="002A3B45">
              <w:t>Competency development activities in this unit are subject to regulations directly related to licensing. Where a licence or permit to practice is not held,</w:t>
            </w:r>
            <w:r w:rsidRPr="002A3B45">
              <w:t xml:space="preserve"> a relevant contract of training, such as an Australian Apprenticeship, is required.</w:t>
            </w:r>
          </w:p>
          <w:p w:rsidR="00000000" w:rsidRPr="002A3B45" w:rsidP="002A3B45">
            <w:pPr>
              <w:pStyle w:val="BodyText"/>
            </w:pPr>
            <w:r w:rsidRPr="002A3B45">
              <w:t>Additional and/or other conditions may apply in some jurisdictions subject to regulations related to electrical work. Practice in the workplace and during training is also</w:t>
            </w:r>
            <w:r w:rsidRPr="002A3B45">
              <w:t xml:space="preserve"> subject to work health and safety (WHS)/occupational health and safety (OHS) regulations.</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3" w:name="O_1103054"/>
      <w:bookmarkEnd w:id="3"/>
      <w:r w:rsidRPr="002A3B45">
        <w:t>Pre-requisite Unit</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UEEEL0012 Install low voltage wiring, appliances, switchgear and associated accessories</w:t>
            </w:r>
          </w:p>
          <w:p w:rsidR="00000000" w:rsidRPr="002A3B45" w:rsidP="002A3B45">
            <w:pPr>
              <w:pStyle w:val="BodyText"/>
            </w:pPr>
            <w:r w:rsidRPr="002A3B45">
              <w:t>UEERE0047 Solve problems in wind ener</w:t>
            </w:r>
            <w:r w:rsidRPr="002A3B45">
              <w:t>gy conversion systems rated up to 10 kW</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4" w:name="O_1103055"/>
      <w:bookmarkEnd w:id="4"/>
      <w:r w:rsidRPr="002A3B45">
        <w:t>Competency Field</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Renewable Energy</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5" w:name="O_1103056"/>
      <w:bookmarkEnd w:id="5"/>
      <w:r w:rsidRPr="002A3B45">
        <w:t>Unit Sector</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Electrotechnology</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6" w:name="O_1103057"/>
      <w:bookmarkEnd w:id="6"/>
      <w:r w:rsidRPr="002A3B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A3B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PERFORMANCE CRITERIA</w:t>
            </w:r>
          </w:p>
        </w:tc>
      </w:tr>
      <w:tr w:rsidTr="002A3B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Performance criteria describe the performance needed to demonstrate achievement of the element.</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Prepare to install LV WECS</w:t>
            </w: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WHS/OHS processes and procedures for relevant work area are identified and applie</w:t>
            </w:r>
            <w:r w:rsidRPr="002A3B45">
              <w:t>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WHS/OHS risks are identified and workplace procedures for risk control are applied in preparation for work</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Risks/hazards are identified, assessed, reported to relevant person/s and control measures implemented</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System installation is planned in consultation with others impacted by the work and sequenced appropriately</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Nature and location of the work</w:t>
            </w:r>
            <w:r w:rsidRPr="002A3B45">
              <w:t xml:space="preserve"> are determined from documentation or relevant person/s to determine the scope of work</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Sitting limitations and customer system requirements are identified by consultation with the customer</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Suitable system components are specified and selected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Location of system components is planned within the constraints of the building structure and regulations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Instructions for coordinating work with ot</w:t>
            </w:r>
            <w:r w:rsidRPr="002A3B45">
              <w:t>hers are obtained from relevant person/s and applied</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Materials and components required are obtained in accordance with workplace procedures, pre-assembled, as required, and checked against job requirements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Materials and components are prepa</w:t>
            </w:r>
            <w:r w:rsidRPr="002A3B45">
              <w:t>red for transport to the site and transport is arranged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Tools, equipment and testing devices required are obtained in accordance with workplace procedures and checked for correct operation and safety</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Preparatory work is checked to ensure no unnecessary damage has occurred previously and complies with requirements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Install LV WECS</w:t>
            </w: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Workplace risk control measures and procedures are applied</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Equipment is transported safely to the site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Need to test or measure live electrical work is determined in accordance with WHS/OHS requirements and conducted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Circuits/machines/plant are isolated in accordance with WHS/OHS requirements and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System components are installed in compliance with technical industry standards, job specifications and requirements, and with sufficient access to</w:t>
            </w:r>
            <w:r w:rsidRPr="002A3B45">
              <w:t xml:space="preserve"> enable terminations, adjustment and maintenance</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Wiring is terminated at components and associated equipment in accordance with manufacturer specifications and functional and regulatory requirements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Unexpected events are discussed with relevant person/s, dealt with and documented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Unexpected situations are dealt with safely and with the approval of authorised person/s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Quality checks of installed app</w:t>
            </w:r>
            <w:r w:rsidRPr="002A3B45">
              <w:t>aratus are conducted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System installation is completed minimising waste of materials, damage to apparatus, circuits, the surrounding environment and services using sustainable energy principles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rPr>
                <w:rStyle w:val="SpecialBold"/>
              </w:rPr>
              <w:t>Complete ins</w:t>
            </w:r>
            <w:r w:rsidRPr="002A3B45">
              <w:rPr>
                <w:rStyle w:val="SpecialBold"/>
              </w:rPr>
              <w:t>tallation and report installation activities</w:t>
            </w: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Workplace risk control measures and procedures are applied</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Worksite is cleaned and made safe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Final checks are conducted to confirm installed apparatus conforms to requirements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System operation is tested and installation verified as compliant with industry standards and work specifications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t>‘</w:t>
            </w:r>
            <w:r w:rsidRPr="002A3B45">
              <w:t>As-installed</w:t>
            </w:r>
            <w:r>
              <w:t>’</w:t>
            </w:r>
            <w:r w:rsidRPr="002A3B45">
              <w:t xml:space="preserve"> apparatus and associated equip</w:t>
            </w:r>
            <w:r w:rsidRPr="002A3B45">
              <w:t>ment are documented and relevant person/s notified in accordance with workplace procedures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Customer is informed of system operation, routine maintenance and limitations</w:t>
            </w:r>
          </w:p>
        </w:tc>
      </w:tr>
      <w:tr w:rsidTr="002A3B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3B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Documentation required by industry standards or job specifications is provided to the customer</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7" w:name="O_1103058"/>
      <w:bookmarkEnd w:id="7"/>
      <w:r w:rsidRPr="002A3B45">
        <w:t>Foundation Skills</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Foundation skills essential to performance are explicit in the performance criteria of this unit of competency.</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8" w:name="O_1103059"/>
      <w:bookmarkEnd w:id="8"/>
      <w:r w:rsidRPr="002A3B45">
        <w:t>Range of Conditions</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Range is restricted to essential operating conditions and any other variables essential to the work environment.</w:t>
            </w:r>
          </w:p>
          <w:p w:rsidR="00000000" w:rsidRPr="002A3B45" w:rsidP="002A3B45">
            <w:pPr>
              <w:pStyle w:val="BodyText"/>
            </w:pPr>
            <w:r w:rsidRPr="002A3B45">
              <w:t>Non-essential conditions may be found in the UEE Electrotechnology Training Package Companion Volume Implementation Guide.</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9" w:name="O_1103060"/>
      <w:bookmarkEnd w:id="9"/>
      <w:r w:rsidRPr="002A3B45">
        <w:t>Unit Mapping Information</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This unit replaces and is equivalent to UEENEEK144A Install, configure and commission L</w:t>
            </w:r>
            <w:r w:rsidRPr="002A3B45">
              <w:t>V wind energy conversion systems rated up to 10 kW.</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10" w:name="O_1103067"/>
      <w:bookmarkEnd w:id="10"/>
      <w:r w:rsidRPr="002A3B45">
        <w:t>Links</w:t>
      </w:r>
    </w:p>
    <w:p w:rsidR="00000000" w:rsidRPr="002A3B45" w:rsidP="00DC46A8">
      <w:pPr>
        <w:pStyle w:val="BodyText"/>
      </w:pPr>
      <w:r w:rsidRPr="002A3B4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702C">
        <w:rPr>
          <w:rStyle w:val="Hyperlink"/>
        </w:rPr>
        <w:t>https://vetnet.gov.au/Pages/TrainingDocs.aspx?q=b8a8f136-5421-4ce1-92e0-2b50341431b6</w:t>
      </w:r>
      <w:r>
        <w:fldChar w:fldCharType="end"/>
      </w:r>
    </w:p>
    <w:p w:rsidR="00000000" w:rsidRPr="002A3B45" w:rsidP="00DC46A8">
      <w:pPr>
        <w:pStyle w:val="BodyText"/>
        <w:sectPr w:rsidSect="002A3B45">
          <w:headerReference w:type="default" r:id="rId10"/>
          <w:footerReference w:type="default" r:id="rId11"/>
          <w:pgSz w:w="11908" w:h="16833"/>
          <w:pgMar w:top="1702" w:right="1418" w:bottom="1702" w:left="1418" w:header="992" w:footer="992" w:gutter="0"/>
          <w:cols w:space="720"/>
          <w:noEndnote/>
          <w:docGrid w:linePitch="299"/>
        </w:sectPr>
      </w:pPr>
    </w:p>
    <w:p w:rsidR="00000000" w:rsidRPr="002A3B45" w:rsidP="002A3B45">
      <w:pPr>
        <w:pStyle w:val="SuperHeading"/>
      </w:pPr>
      <w:r w:rsidRPr="002A3B45">
        <w:t>Assessment Requirements for UEERE0038 Install, configure and commission LV wind energy conversion systems rated up to 10 kW</w:t>
      </w:r>
    </w:p>
    <w:p w:rsidR="00000000" w:rsidRPr="002A3B45" w:rsidP="002A3B45">
      <w:pPr>
        <w:pStyle w:val="Heading1"/>
      </w:pPr>
      <w:bookmarkStart w:id="11" w:name="O_1103062"/>
      <w:bookmarkEnd w:id="11"/>
      <w:r w:rsidRPr="002A3B45">
        <w:t>Modification History</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Release 1. This is the first release of this unit of competency in the UEE Electrotechnology Training Package.</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12" w:name="O_1103063"/>
      <w:bookmarkEnd w:id="12"/>
      <w:r w:rsidRPr="002A3B45">
        <w:t>Performance Evidence</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Evidence req</w:t>
            </w:r>
            <w:r w:rsidRPr="002A3B45">
              <w:t>uired to demonstrate competence in this unit must be relevant to and satisfy all of the requirements of the elements and performance criteria on at least one occasion and include:</w:t>
            </w:r>
          </w:p>
        </w:tc>
      </w:tr>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ListBullet"/>
            </w:pPr>
            <w:r w:rsidRPr="002A3B45">
              <w:t>assessing customer energy requirements, efficiency improvements and site l</w:t>
            </w:r>
            <w:r w:rsidRPr="002A3B45">
              <w:t>imitations</w:t>
            </w:r>
          </w:p>
          <w:p w:rsidR="00000000" w:rsidRPr="002A3B45" w:rsidP="002A3B45">
            <w:pPr>
              <w:pStyle w:val="ListBullet"/>
            </w:pPr>
            <w:r w:rsidRPr="002A3B45">
              <w:t>reading and interpreting drawings related to and apparatus locations and circuit connections</w:t>
            </w:r>
          </w:p>
          <w:p w:rsidR="00000000" w:rsidRPr="002A3B45" w:rsidP="002A3B45">
            <w:pPr>
              <w:pStyle w:val="ListBullet"/>
            </w:pPr>
            <w:r w:rsidRPr="002A3B45">
              <w:t>placing and securing system components accurately</w:t>
            </w:r>
          </w:p>
          <w:p w:rsidR="00000000" w:rsidRPr="002A3B45" w:rsidP="002A3B45">
            <w:pPr>
              <w:pStyle w:val="ListBullet"/>
            </w:pPr>
            <w:r w:rsidRPr="002A3B45">
              <w:t>maintaining fire integrity</w:t>
            </w:r>
          </w:p>
          <w:p w:rsidR="00000000" w:rsidRPr="002A3B45" w:rsidP="002A3B45">
            <w:pPr>
              <w:pStyle w:val="ListBullet"/>
            </w:pPr>
            <w:r w:rsidRPr="002A3B45">
              <w:t>connecting system low voltage (LV) components to comply with requirements</w:t>
            </w:r>
          </w:p>
          <w:p w:rsidR="00000000" w:rsidRPr="002A3B45" w:rsidP="002A3B45">
            <w:pPr>
              <w:pStyle w:val="ListBullet"/>
            </w:pPr>
            <w:r w:rsidRPr="002A3B45">
              <w:t>t</w:t>
            </w:r>
            <w:r w:rsidRPr="002A3B45">
              <w:t>esting and commissioning system operation and verifying compliance with standards and job specifications</w:t>
            </w:r>
          </w:p>
          <w:p w:rsidR="00000000" w:rsidRPr="002A3B45" w:rsidP="002A3B45">
            <w:pPr>
              <w:pStyle w:val="ListBullet"/>
            </w:pPr>
            <w:r w:rsidRPr="002A3B45">
              <w:t>completing necessary documentation, including handing over system operational documents to the customer</w:t>
            </w:r>
          </w:p>
          <w:p w:rsidR="00000000" w:rsidRPr="002A3B45" w:rsidP="002A3B45">
            <w:pPr>
              <w:pStyle w:val="ListBullet"/>
            </w:pPr>
            <w:r w:rsidRPr="002A3B45">
              <w:t>dealing with unplanned events</w:t>
            </w:r>
          </w:p>
          <w:p w:rsidR="00000000" w:rsidRPr="002A3B45" w:rsidP="002A3B45">
            <w:pPr>
              <w:pStyle w:val="ListBullet"/>
            </w:pPr>
            <w:r w:rsidRPr="002A3B45">
              <w:t>applying relevant</w:t>
            </w:r>
            <w:r w:rsidRPr="002A3B45">
              <w:t xml:space="preserve"> work health and safety (WHS)/occupational health and safety (OHS) requirements and workplace procedures and practices, including the use of risk control measures</w:t>
            </w:r>
          </w:p>
          <w:p w:rsidR="00000000" w:rsidRPr="002A3B45" w:rsidP="002A3B45">
            <w:pPr>
              <w:pStyle w:val="ListBullet"/>
            </w:pPr>
            <w:r w:rsidRPr="002A3B45">
              <w:t>applying sustainable energy principles and practices</w:t>
            </w:r>
          </w:p>
          <w:p w:rsidR="00000000" w:rsidRPr="002A3B45" w:rsidP="002A3B45">
            <w:pPr>
              <w:pStyle w:val="ListBullet"/>
            </w:pPr>
            <w:r w:rsidRPr="002A3B45">
              <w:t>checking isolation of circuits/machines/systems</w:t>
            </w:r>
          </w:p>
          <w:p w:rsidR="00000000" w:rsidRPr="002A3B45" w:rsidP="002A3B45">
            <w:pPr>
              <w:pStyle w:val="ListBullet"/>
            </w:pPr>
            <w:r w:rsidRPr="002A3B45">
              <w:t>coordinating work with relevant person/s</w:t>
            </w:r>
          </w:p>
          <w:p w:rsidR="00000000" w:rsidRPr="002A3B45" w:rsidP="002A3B45">
            <w:pPr>
              <w:pStyle w:val="ListBullet"/>
            </w:pPr>
            <w:r w:rsidRPr="002A3B45">
              <w:t>determining live electrical testing/measurement requirements</w:t>
            </w:r>
          </w:p>
          <w:p w:rsidR="00000000" w:rsidRPr="002A3B45" w:rsidP="002A3B45">
            <w:pPr>
              <w:pStyle w:val="ListBullet"/>
            </w:pPr>
            <w:r w:rsidRPr="002A3B45">
              <w:t>identifying and accessing materials, tools, equipment and testing devices</w:t>
            </w:r>
          </w:p>
          <w:p w:rsidR="00000000" w:rsidRPr="002A3B45" w:rsidP="002A3B45">
            <w:pPr>
              <w:pStyle w:val="ListBullet"/>
            </w:pPr>
            <w:r w:rsidRPr="002A3B45">
              <w:t>installing and setting up a main</w:t>
            </w:r>
            <w:r w:rsidRPr="002A3B45">
              <w:t>stream type, wind energy conversion system (WECS) for LV application</w:t>
            </w:r>
          </w:p>
          <w:p w:rsidR="00000000" w:rsidRPr="002A3B45" w:rsidP="002A3B45">
            <w:pPr>
              <w:pStyle w:val="ListBullet"/>
            </w:pPr>
            <w:r w:rsidRPr="002A3B45">
              <w:t>transporting equipment.</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13" w:name="O_1103064"/>
      <w:bookmarkEnd w:id="13"/>
      <w:r w:rsidRPr="002A3B45">
        <w:t>Knowledge Evidence</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3B45">
            <w:pPr>
              <w:pStyle w:val="BodyText"/>
              <w:rPr>
                <w:lang w:val="en-NZ"/>
              </w:rPr>
            </w:pPr>
            <w:r w:rsidRPr="002A3B45">
              <w:t>Evidence required to demonstrate competence in this unit must be relevant to and satisfy all of the requirements of the ele</w:t>
            </w:r>
            <w:r w:rsidRPr="002A3B45">
              <w:t>ments and performance criteria and include knowledge of:</w:t>
            </w:r>
          </w:p>
        </w:tc>
      </w:tr>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ListBullet"/>
            </w:pPr>
            <w:r w:rsidRPr="002A3B45">
              <w:t>installation and maintenance of LV WECS, including:</w:t>
            </w:r>
          </w:p>
          <w:p w:rsidR="00000000" w:rsidRPr="002A3B45" w:rsidP="002A3B45">
            <w:pPr>
              <w:pStyle w:val="ListBullet2"/>
            </w:pPr>
            <w:r w:rsidRPr="002A3B45">
              <w:t>installation of a LV WECS encompassing:</w:t>
            </w:r>
          </w:p>
          <w:p w:rsidR="00000000" w:rsidRPr="002A3B45" w:rsidP="002A3B45">
            <w:pPr>
              <w:pStyle w:val="ListBullet3"/>
            </w:pPr>
            <w:r w:rsidRPr="002A3B45">
              <w:t>selection of an appropriate tower for the installation of a WECS taking into consideration soi</w:t>
            </w:r>
            <w:r w:rsidRPr="002A3B45">
              <w:t>l type and footings, local council approvals, appropriate codes, AS/NZS 1170.2 Structural design actions - Wind actions, and transport of tower</w:t>
            </w:r>
          </w:p>
          <w:p w:rsidR="00000000" w:rsidRPr="002A3B45" w:rsidP="002A3B45">
            <w:pPr>
              <w:pStyle w:val="ListBullet3"/>
            </w:pPr>
            <w:r w:rsidRPr="002A3B45">
              <w:t>appropriate methods and safety procedures for raising tower and WECS, lightning protection, tower maintenance, safety in the erection and maintenance of the tower and WECS, and site management to minimise environmental impacts</w:t>
            </w:r>
          </w:p>
          <w:p w:rsidR="00000000" w:rsidRPr="002A3B45" w:rsidP="002A3B45">
            <w:pPr>
              <w:pStyle w:val="ListBullet3"/>
            </w:pPr>
            <w:r w:rsidRPr="002A3B45">
              <w:t>appropriate electrical transm</w:t>
            </w:r>
            <w:r w:rsidRPr="002A3B45">
              <w:t>ission voltage and cable size from the WECS to the load or energy storage</w:t>
            </w:r>
          </w:p>
          <w:p w:rsidR="00000000" w:rsidRPr="002A3B45" w:rsidP="002A3B45">
            <w:pPr>
              <w:pStyle w:val="ListBullet3"/>
            </w:pPr>
            <w:r w:rsidRPr="002A3B45">
              <w:t xml:space="preserve">appropriate installation, commissioning, fault diagnosis and rectification using appropriate </w:t>
            </w:r>
            <w:r w:rsidRPr="002A3B45">
              <w:t>safety procedures, including WECS power output, voltage regulation, and transmission cabl</w:t>
            </w:r>
            <w:r w:rsidRPr="002A3B45">
              <w:t>e voltage drop, manual and automatic furling, and shutdown</w:t>
            </w:r>
          </w:p>
          <w:p w:rsidR="00000000" w:rsidRPr="002A3B45" w:rsidP="002A3B45">
            <w:pPr>
              <w:pStyle w:val="ListBullet3"/>
            </w:pPr>
            <w:r w:rsidRPr="002A3B45">
              <w:t>schematic and wiring diagrams for the WECS showing the general circuit layout and protection between the WECS, energy storage, inverter and loads according to AS/NZS 3000 Electrical installation (k</w:t>
            </w:r>
            <w:r w:rsidRPr="002A3B45">
              <w:t>nown as the Australian/New Zealand Wiring Rules), AS/NZS 4509 Stand-alone power systems, and lightning protection requirements</w:t>
            </w:r>
          </w:p>
          <w:p w:rsidR="00000000" w:rsidRPr="002A3B45" w:rsidP="002A3B45">
            <w:pPr>
              <w:pStyle w:val="ListBullet3"/>
            </w:pPr>
            <w:r w:rsidRPr="002A3B45">
              <w:t>suitable layout for the location of energy storage to meet AS/NZS 3000 Electrical installation (known as the Australian/New Zeala</w:t>
            </w:r>
            <w:r w:rsidRPr="002A3B45">
              <w:t>nd Wiring Rules), AS 3011.1 Electrical installations - Secondary batteries installed in buildings - Vented cells and AS/NZS 4509 Stand-alone power systems</w:t>
            </w:r>
          </w:p>
          <w:p w:rsidR="00000000" w:rsidRPr="002A3B45" w:rsidP="002A3B45">
            <w:pPr>
              <w:pStyle w:val="ListBullet3"/>
            </w:pPr>
            <w:r w:rsidRPr="002A3B45">
              <w:t>safety procedures for the installation, commissioning, fault diagnosis of system components</w:t>
            </w:r>
          </w:p>
          <w:p w:rsidR="00000000" w:rsidRPr="002A3B45" w:rsidP="002A3B45">
            <w:pPr>
              <w:pStyle w:val="ListBullet2"/>
            </w:pPr>
            <w:r w:rsidRPr="002A3B45">
              <w:t>maintena</w:t>
            </w:r>
            <w:r w:rsidRPr="002A3B45">
              <w:t>nce of a LV WECS encompassing:</w:t>
            </w:r>
          </w:p>
          <w:p w:rsidR="00000000" w:rsidRPr="002A3B45" w:rsidP="002A3B45">
            <w:pPr>
              <w:pStyle w:val="ListBullet3"/>
            </w:pPr>
            <w:r w:rsidRPr="002A3B45">
              <w:t>appropriate methods and safety procedures for tower maintenance</w:t>
            </w:r>
          </w:p>
          <w:p w:rsidR="00000000" w:rsidRPr="002A3B45" w:rsidP="002A3B45">
            <w:pPr>
              <w:pStyle w:val="ListBullet3"/>
            </w:pPr>
            <w:r w:rsidRPr="002A3B45">
              <w:t>appropriate maintenance methods and safety procedures, including WECS power output, voltage regulation, and transmission cable voltage-drop, manual and automati</w:t>
            </w:r>
            <w:r w:rsidRPr="002A3B45">
              <w:t>c furling, and shutdown</w:t>
            </w:r>
          </w:p>
          <w:p w:rsidR="00000000" w:rsidRPr="002A3B45" w:rsidP="002A3B45">
            <w:pPr>
              <w:pStyle w:val="ListBullet3"/>
            </w:pPr>
            <w:r w:rsidRPr="002A3B45">
              <w:t>safety procedures for the maintenance of system components</w:t>
            </w:r>
          </w:p>
          <w:p w:rsidR="00000000" w:rsidRPr="002A3B45" w:rsidP="002A3B45">
            <w:pPr>
              <w:pStyle w:val="ListBullet3"/>
            </w:pPr>
            <w:r w:rsidRPr="002A3B45">
              <w:t>maintenance schedule for the system</w:t>
            </w:r>
          </w:p>
          <w:p w:rsidR="00000000" w:rsidRPr="002A3B45" w:rsidP="002A3B45">
            <w:pPr>
              <w:pStyle w:val="ListBullet"/>
            </w:pPr>
            <w:r w:rsidRPr="002A3B45">
              <w:t>tower maintenance</w:t>
            </w:r>
          </w:p>
          <w:p w:rsidR="00000000" w:rsidRPr="002A3B45" w:rsidP="002A3B45">
            <w:pPr>
              <w:pStyle w:val="ListBullet"/>
            </w:pPr>
            <w:r w:rsidRPr="002A3B45">
              <w:t>relevant industry standards</w:t>
            </w:r>
          </w:p>
          <w:p w:rsidR="00000000" w:rsidRPr="002A3B45" w:rsidP="002A3B45">
            <w:pPr>
              <w:pStyle w:val="ListBullet"/>
            </w:pPr>
            <w:r w:rsidRPr="002A3B45">
              <w:t>relevant manufacturer specifications</w:t>
            </w:r>
          </w:p>
          <w:p w:rsidR="00000000" w:rsidRPr="002A3B45" w:rsidP="002A3B45">
            <w:pPr>
              <w:pStyle w:val="ListBullet"/>
            </w:pPr>
            <w:r w:rsidRPr="002A3B45">
              <w:t>relevant safe work method statements (SWMS)/job safety assessments or risk mitigation processes</w:t>
            </w:r>
          </w:p>
          <w:p w:rsidR="00000000" w:rsidRPr="002A3B45" w:rsidP="002A3B45">
            <w:pPr>
              <w:pStyle w:val="ListBullet"/>
            </w:pPr>
            <w:r w:rsidRPr="002A3B45">
              <w:t>relevant WHS/OHS legislated requirements</w:t>
            </w:r>
          </w:p>
          <w:p w:rsidR="00000000" w:rsidRPr="002A3B45" w:rsidP="002A3B45">
            <w:pPr>
              <w:pStyle w:val="ListBullet"/>
            </w:pPr>
            <w:r w:rsidRPr="002A3B45">
              <w:t>relevant workplace documentation</w:t>
            </w:r>
          </w:p>
          <w:p w:rsidR="00000000" w:rsidRPr="002A3B45" w:rsidP="002A3B45">
            <w:pPr>
              <w:pStyle w:val="ListBullet"/>
            </w:pPr>
            <w:r w:rsidRPr="002A3B45">
              <w:t>relevant workplace policies and procedures.</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14" w:name="O_1103065"/>
      <w:bookmarkEnd w:id="14"/>
      <w:r w:rsidRPr="002A3B45">
        <w:t>Assessment Conditions</w:t>
      </w:r>
    </w:p>
    <w:tbl>
      <w:tblPr>
        <w:tblW w:w="9497" w:type="dxa"/>
        <w:tblLayout w:type="fixed"/>
        <w:tblCellMar>
          <w:left w:w="62" w:type="dxa"/>
          <w:right w:w="62" w:type="dxa"/>
        </w:tblCellMar>
        <w:tblLook w:val="0000"/>
      </w:tblPr>
      <w:tblGrid>
        <w:gridCol w:w="9497"/>
      </w:tblGrid>
      <w:tr w:rsidTr="002A3B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B45" w:rsidP="002A3B45">
            <w:pPr>
              <w:pStyle w:val="BodyText"/>
            </w:pPr>
            <w:r w:rsidRPr="002A3B45">
              <w:t>Assessors must hold credentials specified within the Standards for Registered Training Organisations current at the time of assessment.</w:t>
            </w:r>
          </w:p>
          <w:p w:rsidR="00000000" w:rsidRPr="002A3B45" w:rsidP="002A3B45">
            <w:pPr>
              <w:pStyle w:val="BodyText"/>
            </w:pPr>
            <w:r w:rsidRPr="002A3B45">
              <w:t>Assessment must satisfy the Principles of Assessment and Rules of Evidence and all regulatory requirements included wit</w:t>
            </w:r>
            <w:r w:rsidRPr="002A3B45">
              <w:t>hin the Standards for Registered Training Organisations current at the time of assessment.</w:t>
            </w:r>
          </w:p>
          <w:p w:rsidR="00000000" w:rsidRPr="002A3B45" w:rsidP="002A3B45">
            <w:pPr>
              <w:pStyle w:val="BodyText"/>
            </w:pPr>
            <w:r w:rsidRPr="002A3B45">
              <w:t>Assessment must occur in suitable workplace operational situations where it is appropriate to do so; where this is not appropriate, assessment must occur in suitable</w:t>
            </w:r>
            <w:r w:rsidRPr="002A3B45">
              <w:t xml:space="preserve"> simulated workplace operational situations that replicate workplace conditions.</w:t>
            </w:r>
          </w:p>
          <w:p w:rsidR="00000000" w:rsidRPr="002A3B45" w:rsidP="002A3B45">
            <w:pPr>
              <w:pStyle w:val="BodyText"/>
            </w:pPr>
            <w:r w:rsidRPr="002A3B45">
              <w:t>Assessment processes and techniques must be appropriate to the language, literacy and numeracy requirements of the work being performed and the needs of the candidate.</w:t>
            </w:r>
          </w:p>
          <w:p w:rsidR="00000000" w:rsidRPr="002A3B45" w:rsidP="002A3B45">
            <w:pPr>
              <w:pStyle w:val="BodyText"/>
            </w:pPr>
            <w:r w:rsidRPr="002A3B45">
              <w:t>Resources for assessment must include access to:</w:t>
            </w:r>
          </w:p>
          <w:p w:rsidR="00000000" w:rsidRPr="002A3B45" w:rsidP="002A3B45">
            <w:pPr>
              <w:pStyle w:val="ListBullet"/>
            </w:pPr>
            <w:r w:rsidRPr="002A3B45">
              <w:t>a range of relevant exercises, case studies and/or other simulations</w:t>
            </w:r>
          </w:p>
          <w:p w:rsidR="00000000" w:rsidRPr="002A3B45" w:rsidP="002A3B45">
            <w:pPr>
              <w:pStyle w:val="ListBullet"/>
            </w:pPr>
            <w:r w:rsidRPr="002A3B45">
              <w:t>relevant and appropriate materials, tools, equipment and personal protective equipment (PPE) currently used in industry</w:t>
            </w:r>
          </w:p>
          <w:p w:rsidR="00000000" w:rsidRPr="002A3B45" w:rsidP="002A3B45">
            <w:pPr>
              <w:pStyle w:val="ListBullet"/>
            </w:pPr>
            <w:r w:rsidRPr="002A3B45">
              <w:t>resources that re</w:t>
            </w:r>
            <w:r w:rsidRPr="002A3B45">
              <w:t>flect current industry practices in relation to installing WECS for LV applications</w:t>
            </w:r>
          </w:p>
          <w:p w:rsidR="00000000" w:rsidRPr="002A3B45" w:rsidP="002A3B45">
            <w:pPr>
              <w:pStyle w:val="ListBullet"/>
            </w:pPr>
            <w:r w:rsidRPr="002A3B45">
              <w:t>applicable documentation, including workplace procedures, equipment specifications, regulations, codes of practice and operation manuals.</w:t>
            </w:r>
          </w:p>
        </w:tc>
      </w:tr>
    </w:tbl>
    <w:p w:rsidR="00000000" w:rsidRPr="002A3B45" w:rsidP="002A3B45">
      <w:pPr>
        <w:pStyle w:val="NoPaddingFontSize1"/>
      </w:pPr>
    </w:p>
    <w:p w:rsidR="00000000" w:rsidRPr="002A3B45" w:rsidP="002A3B45">
      <w:pPr>
        <w:pStyle w:val="AllowPageBreak"/>
      </w:pPr>
    </w:p>
    <w:p w:rsidR="00000000" w:rsidRPr="002A3B45" w:rsidP="002A3B45">
      <w:pPr>
        <w:pStyle w:val="Heading1"/>
      </w:pPr>
      <w:bookmarkStart w:id="15" w:name="O_1103068"/>
      <w:bookmarkEnd w:id="15"/>
      <w:r w:rsidRPr="002A3B45">
        <w:t>Links</w:t>
      </w:r>
    </w:p>
    <w:p w:rsidR="00000000" w:rsidRPr="002A3B45" w:rsidP="00DC46A8">
      <w:pPr>
        <w:pStyle w:val="BodyText"/>
      </w:pPr>
      <w:r w:rsidRPr="002A3B45">
        <w:t>Compani</w:t>
      </w:r>
      <w:r w:rsidRPr="002A3B45">
        <w:t xml:space="preserve">on Volume implementation guides are found in VETNet - - </w:t>
      </w:r>
      <w:r>
        <w:fldChar w:fldCharType="begin"/>
      </w:r>
      <w:r>
        <w:instrText xml:space="preserve"> HYPERLINK "https://vetnet.gov.au/Pages/TrainingDocs.aspx?q=b8a8f136-5421-4ce1-92e0-2b50341431b6" </w:instrText>
      </w:r>
      <w:r>
        <w:fldChar w:fldCharType="separate"/>
      </w:r>
      <w:r w:rsidRPr="0015702C">
        <w:rPr>
          <w:rStyle w:val="Hyperlink"/>
        </w:rPr>
        <w:t>https://vetnet.gov.au/Pages/TrainingDocs.aspx?q=b8a8f136-5421-4ce1-92e0-2b50341431b6</w:t>
      </w:r>
      <w:r>
        <w:fldChar w:fldCharType="end"/>
      </w:r>
    </w:p>
    <w:p w:rsidR="00000000" w:rsidRPr="002A3B45" w:rsidP="002A3B45"/>
    <w:sectPr w:rsidSect="002A3B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rsidRPr="00DC46A8" w:rsidP="00DC4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A8" w:rsidP="002A3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46A8" w:rsidP="002A3B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46A8" w:rsidP="002A3B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rsidP="002A3B45">
    <w:pPr>
      <w:pStyle w:val="Footer"/>
      <w:framePr w:wrap="around"/>
    </w:pPr>
    <w:r>
      <w:fldChar w:fldCharType="begin"/>
    </w:r>
    <w:r>
      <w:instrText xml:space="preserve"> DOCPROPERTY  Subject  \* MERGEFORMAT </w:instrText>
    </w:r>
    <w:r>
      <w:fldChar w:fldCharType="separate"/>
    </w:r>
    <w:r w:rsidR="00DC46A8">
      <w:t>Approved</w:t>
    </w:r>
    <w:r w:rsidR="00DC46A8">
      <w:fldChar w:fldCharType="end"/>
    </w:r>
    <w:r>
      <w:tab/>
      <w:t xml:space="preserve">Page </w:t>
    </w:r>
    <w:r>
      <w:fldChar w:fldCharType="begin"/>
    </w:r>
    <w:r>
      <w:instrText xml:space="preserve"> PAGE  \* Arabic  \* MERGEFORMAT </w:instrText>
    </w:r>
    <w:r>
      <w:fldChar w:fldCharType="separate"/>
    </w:r>
    <w:r w:rsidR="00DC46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6A8">
      <w:rPr>
        <w:noProof/>
      </w:rPr>
      <w:t>5</w:t>
    </w:r>
    <w:r>
      <w:rPr>
        <w:noProof/>
      </w:rPr>
      <w:fldChar w:fldCharType="end"/>
    </w:r>
  </w:p>
  <w:p w:rsidR="002A3B45" w:rsidP="002A3B45">
    <w:pPr>
      <w:pStyle w:val="Footer"/>
      <w:framePr w:wrap="around"/>
    </w:pPr>
    <w:r>
      <w:t xml:space="preserve">© Commonwealth of Australia, </w:t>
    </w:r>
    <w:r>
      <w:fldChar w:fldCharType="begin"/>
    </w:r>
    <w:r>
      <w:instrText xml:space="preserve"> DATE  \@ "yyyy"  \* MERGEFORMAT </w:instrText>
    </w:r>
    <w:r>
      <w:fldChar w:fldCharType="separate"/>
    </w:r>
    <w:r w:rsidR="00DC46A8">
      <w:rPr>
        <w:noProof/>
      </w:rPr>
      <w:t>2025</w:t>
    </w:r>
    <w:r>
      <w:fldChar w:fldCharType="end"/>
    </w:r>
    <w:r>
      <w:tab/>
    </w:r>
    <w:r>
      <w:fldChar w:fldCharType="begin"/>
    </w:r>
    <w:r>
      <w:instrText xml:space="preserve"> DOCPROPERTY  Author  \* MERGEFORMAT </w:instrText>
    </w:r>
    <w:r>
      <w:fldChar w:fldCharType="separate"/>
    </w:r>
    <w:r w:rsidR="00DC46A8">
      <w:t>Powering Skills Organisation</w:t>
    </w:r>
    <w:r w:rsidR="00DC46A8">
      <w:fldChar w:fldCharType="end"/>
    </w:r>
  </w:p>
  <w:p w:rsidR="002A3B45" w:rsidP="002A3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B45" w:rsidRPr="00DC46A8" w:rsidP="00DC4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A8" w:rsidRPr="002D2AF8" w:rsidP="002A3B45">
    <w:pPr>
      <w:pStyle w:val="Header"/>
      <w:framePr w:wrap="around"/>
    </w:pPr>
    <w:r>
      <w:fldChar w:fldCharType="begin"/>
    </w:r>
    <w:r>
      <w:instrText xml:space="preserve"> TITLE   \* MERGEFORMAT </w:instrText>
    </w:r>
    <w:r>
      <w:fldChar w:fldCharType="separate"/>
    </w:r>
    <w:r>
      <w:t>UEERE0038 Install, configure and commission LV wind energy conversion systems rated up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46A8" w:rsidP="002A3B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45" w:rsidRPr="002D2AF8" w:rsidP="002A3B45">
    <w:pPr>
      <w:pStyle w:val="Header"/>
      <w:framePr w:wrap="around"/>
    </w:pPr>
    <w:r>
      <w:fldChar w:fldCharType="begin"/>
    </w:r>
    <w:r>
      <w:instrText xml:space="preserve"> TITLE   \* MERGEFORMAT </w:instrText>
    </w:r>
    <w:r>
      <w:fldChar w:fldCharType="separate"/>
    </w:r>
    <w:r w:rsidR="00DC46A8">
      <w:t>UEERE0038 Install, configure and commission LV wind energy conversion systems rated up to 10 kW</w:t>
    </w:r>
    <w:r w:rsidR="00DC46A8">
      <w:fldChar w:fldCharType="end"/>
    </w:r>
    <w:r>
      <w:tab/>
      <w:t xml:space="preserve">Date this document was generated: </w:t>
    </w:r>
    <w:r>
      <w:fldChar w:fldCharType="begin"/>
    </w:r>
    <w:r>
      <w:instrText xml:space="preserve"> CREATEDATE  \@ "d MMMM yyyy"  \* MERGEFORMAT </w:instrText>
    </w:r>
    <w:r>
      <w:fldChar w:fldCharType="separate"/>
    </w:r>
    <w:r w:rsidR="00DC46A8">
      <w:rPr>
        <w:noProof/>
      </w:rPr>
      <w:t>2 March 2025</w:t>
    </w:r>
    <w:r>
      <w:fldChar w:fldCharType="end"/>
    </w:r>
  </w:p>
  <w:p w:rsidR="002A3B45" w:rsidP="002A3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20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62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EE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B45"/>
    <w:pPr>
      <w:spacing w:before="360" w:after="60"/>
      <w:outlineLvl w:val="0"/>
    </w:pPr>
    <w:rPr>
      <w:sz w:val="32"/>
    </w:rPr>
  </w:style>
  <w:style w:type="paragraph" w:styleId="Heading2">
    <w:name w:val="heading 2"/>
    <w:basedOn w:val="HeadingBase"/>
    <w:next w:val="BodyText"/>
    <w:link w:val="Heading2Char"/>
    <w:qFormat/>
    <w:rsid w:val="002A3B45"/>
    <w:pPr>
      <w:keepLines/>
      <w:spacing w:before="240" w:after="120"/>
      <w:outlineLvl w:val="1"/>
    </w:pPr>
    <w:rPr>
      <w:sz w:val="28"/>
      <w:szCs w:val="40"/>
    </w:rPr>
  </w:style>
  <w:style w:type="paragraph" w:styleId="Heading3">
    <w:name w:val="heading 3"/>
    <w:basedOn w:val="HeadingBase"/>
    <w:next w:val="BodyText"/>
    <w:link w:val="Heading3Char"/>
    <w:qFormat/>
    <w:rsid w:val="002A3B45"/>
    <w:pPr>
      <w:spacing w:before="180" w:after="120"/>
      <w:outlineLvl w:val="2"/>
    </w:pPr>
    <w:rPr>
      <w:spacing w:val="-10"/>
      <w:kern w:val="32"/>
    </w:rPr>
  </w:style>
  <w:style w:type="paragraph" w:styleId="Heading4">
    <w:name w:val="heading 4"/>
    <w:basedOn w:val="HeadingBase"/>
    <w:next w:val="BodyText"/>
    <w:link w:val="Heading4Char"/>
    <w:qFormat/>
    <w:rsid w:val="002A3B45"/>
    <w:pPr>
      <w:spacing w:before="160" w:after="120"/>
      <w:outlineLvl w:val="3"/>
    </w:pPr>
    <w:rPr>
      <w:sz w:val="22"/>
    </w:rPr>
  </w:style>
  <w:style w:type="paragraph" w:styleId="Heading5">
    <w:name w:val="heading 5"/>
    <w:basedOn w:val="HeadingBase"/>
    <w:next w:val="Normal"/>
    <w:link w:val="Heading5Char"/>
    <w:qFormat/>
    <w:rsid w:val="002A3B45"/>
    <w:pPr>
      <w:spacing w:before="80"/>
      <w:outlineLvl w:val="4"/>
    </w:pPr>
    <w:rPr>
      <w:color w:val="918585"/>
      <w:sz w:val="20"/>
    </w:rPr>
  </w:style>
  <w:style w:type="paragraph" w:styleId="Heading6">
    <w:name w:val="heading 6"/>
    <w:basedOn w:val="HeadingBase"/>
    <w:next w:val="Normal"/>
    <w:link w:val="Heading6Char"/>
    <w:qFormat/>
    <w:rsid w:val="002A3B45"/>
    <w:pPr>
      <w:spacing w:before="60"/>
      <w:outlineLvl w:val="5"/>
    </w:pPr>
    <w:rPr>
      <w:color w:val="918585"/>
      <w:sz w:val="20"/>
    </w:rPr>
  </w:style>
  <w:style w:type="paragraph" w:styleId="Heading7">
    <w:name w:val="heading 7"/>
    <w:basedOn w:val="Normal"/>
    <w:next w:val="Normal"/>
    <w:link w:val="Heading7Char"/>
    <w:qFormat/>
    <w:rsid w:val="002A3B45"/>
    <w:pPr>
      <w:ind w:left="720"/>
      <w:outlineLvl w:val="6"/>
    </w:pPr>
    <w:rPr>
      <w:i/>
    </w:rPr>
  </w:style>
  <w:style w:type="paragraph" w:styleId="Heading8">
    <w:name w:val="heading 8"/>
    <w:basedOn w:val="Normal"/>
    <w:next w:val="Normal"/>
    <w:link w:val="Heading8Char"/>
    <w:qFormat/>
    <w:rsid w:val="002A3B45"/>
    <w:pPr>
      <w:ind w:left="720"/>
      <w:outlineLvl w:val="7"/>
    </w:pPr>
    <w:rPr>
      <w:i/>
    </w:rPr>
  </w:style>
  <w:style w:type="paragraph" w:styleId="Heading9">
    <w:name w:val="heading 9"/>
    <w:basedOn w:val="Normal"/>
    <w:next w:val="Normal"/>
    <w:link w:val="Heading9Char"/>
    <w:qFormat/>
    <w:rsid w:val="002A3B45"/>
    <w:pPr>
      <w:ind w:left="720"/>
      <w:outlineLvl w:val="8"/>
    </w:pPr>
    <w:rPr>
      <w:i/>
    </w:rPr>
  </w:style>
  <w:style w:type="character" w:default="1" w:styleId="DefaultParagraphFont">
    <w:name w:val="Default Paragraph Font"/>
    <w:uiPriority w:val="1"/>
    <w:unhideWhenUsed/>
    <w:rsid w:val="002A3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B45"/>
  </w:style>
  <w:style w:type="character" w:customStyle="1" w:styleId="Heading1Char">
    <w:name w:val="Heading 1 Char"/>
    <w:basedOn w:val="DefaultParagraphFont"/>
    <w:link w:val="Heading1"/>
    <w:rsid w:val="002A3B45"/>
    <w:rPr>
      <w:rFonts w:ascii="Times New Roman" w:eastAsia="Times New Roman" w:hAnsi="Times New Roman" w:cs="Times New Roman"/>
      <w:b/>
      <w:sz w:val="32"/>
      <w:szCs w:val="20"/>
      <w:lang w:eastAsia="en-US"/>
    </w:rPr>
  </w:style>
  <w:style w:type="paragraph" w:styleId="BodyText">
    <w:name w:val="Body Text"/>
    <w:basedOn w:val="Normal"/>
    <w:link w:val="BodyTextChar"/>
    <w:rsid w:val="002A3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B45"/>
    <w:rPr>
      <w:rFonts w:ascii="Times New Roman" w:eastAsia="Times New Roman" w:hAnsi="Times New Roman" w:cs="Times New Roman"/>
      <w:sz w:val="24"/>
      <w:lang w:eastAsia="en-US"/>
    </w:rPr>
  </w:style>
  <w:style w:type="paragraph" w:styleId="ListBullet">
    <w:name w:val="List Bullet"/>
    <w:basedOn w:val="List"/>
    <w:rsid w:val="002A3B45"/>
    <w:pPr>
      <w:numPr>
        <w:numId w:val="13"/>
      </w:numPr>
      <w:tabs>
        <w:tab w:val="clear" w:pos="340"/>
      </w:tabs>
      <w:spacing w:before="40" w:after="40"/>
    </w:pPr>
  </w:style>
  <w:style w:type="character" w:customStyle="1" w:styleId="SpecialBold">
    <w:name w:val="Special Bold"/>
    <w:basedOn w:val="DefaultParagraphFont"/>
    <w:rsid w:val="002A3B45"/>
    <w:rPr>
      <w:b/>
      <w:spacing w:val="0"/>
    </w:rPr>
  </w:style>
  <w:style w:type="paragraph" w:styleId="ListBullet2">
    <w:name w:val="List Bullet 2"/>
    <w:basedOn w:val="List2"/>
    <w:rsid w:val="002A3B45"/>
    <w:pPr>
      <w:numPr>
        <w:numId w:val="14"/>
      </w:numPr>
      <w:tabs>
        <w:tab w:val="clear" w:pos="680"/>
      </w:tabs>
    </w:pPr>
  </w:style>
  <w:style w:type="paragraph" w:customStyle="1" w:styleId="SuperHeading">
    <w:name w:val="SuperHeading"/>
    <w:basedOn w:val="Normal"/>
    <w:rsid w:val="002A3B45"/>
    <w:pPr>
      <w:spacing w:before="240" w:after="120"/>
      <w:outlineLvl w:val="0"/>
    </w:pPr>
    <w:rPr>
      <w:rFonts w:ascii="Times New Roman" w:hAnsi="Times New Roman"/>
      <w:b/>
      <w:sz w:val="32"/>
    </w:rPr>
  </w:style>
  <w:style w:type="paragraph" w:customStyle="1" w:styleId="AllowPageBreak">
    <w:name w:val="AllowPageBreak"/>
    <w:rsid w:val="002A3B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3B4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3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B45"/>
    <w:rPr>
      <w:rFonts w:ascii="Courier New" w:eastAsia="Times New Roman" w:hAnsi="Courier New" w:cs="Times New Roman"/>
      <w:i/>
      <w:szCs w:val="20"/>
      <w:lang w:eastAsia="en-US"/>
    </w:rPr>
  </w:style>
  <w:style w:type="paragraph" w:customStyle="1" w:styleId="HeadingBase">
    <w:name w:val="Heading Base"/>
    <w:rsid w:val="002A3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B45"/>
    <w:pPr>
      <w:tabs>
        <w:tab w:val="right" w:leader="dot" w:pos="9072"/>
      </w:tabs>
      <w:ind w:left="567"/>
    </w:pPr>
    <w:rPr>
      <w:szCs w:val="22"/>
    </w:rPr>
  </w:style>
  <w:style w:type="paragraph" w:customStyle="1" w:styleId="TOCBase">
    <w:name w:val="TOC Base"/>
    <w:rsid w:val="002A3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B45"/>
    <w:pPr>
      <w:tabs>
        <w:tab w:val="right" w:leader="dot" w:pos="9072"/>
      </w:tabs>
      <w:spacing w:before="40" w:after="40"/>
      <w:ind w:left="284"/>
    </w:pPr>
    <w:rPr>
      <w:rFonts w:ascii="Times New Roman" w:hAnsi="Times New Roman"/>
    </w:rPr>
  </w:style>
  <w:style w:type="paragraph" w:styleId="TOC1">
    <w:name w:val="toc 1"/>
    <w:basedOn w:val="TOCBase"/>
    <w:next w:val="Normal"/>
    <w:rsid w:val="002A3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B45"/>
    <w:rPr>
      <w:rFonts w:ascii="Times New Roman" w:eastAsia="Times New Roman" w:hAnsi="Times New Roman" w:cs="Times New Roman"/>
      <w:sz w:val="16"/>
      <w:lang w:eastAsia="en-US"/>
    </w:rPr>
  </w:style>
  <w:style w:type="paragraph" w:styleId="Title">
    <w:name w:val="Title"/>
    <w:basedOn w:val="HeadingBase"/>
    <w:link w:val="TitleChar"/>
    <w:qFormat/>
    <w:rsid w:val="002A3B45"/>
    <w:pPr>
      <w:spacing w:before="5040"/>
      <w:jc w:val="center"/>
    </w:pPr>
    <w:rPr>
      <w:sz w:val="48"/>
      <w:szCs w:val="72"/>
      <w:lang w:val="en-US"/>
    </w:rPr>
  </w:style>
  <w:style w:type="character" w:customStyle="1" w:styleId="TitleChar">
    <w:name w:val="Title Char"/>
    <w:basedOn w:val="DefaultParagraphFont"/>
    <w:link w:val="Title"/>
    <w:rsid w:val="002A3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B45"/>
    <w:pPr>
      <w:tabs>
        <w:tab w:val="left" w:pos="3600"/>
        <w:tab w:val="left" w:pos="3958"/>
      </w:tabs>
    </w:pPr>
  </w:style>
  <w:style w:type="paragraph" w:styleId="List">
    <w:name w:val="List"/>
    <w:basedOn w:val="BodyText"/>
    <w:next w:val="BodyText"/>
    <w:rsid w:val="002A3B45"/>
    <w:pPr>
      <w:tabs>
        <w:tab w:val="left" w:pos="340"/>
      </w:tabs>
      <w:spacing w:before="60" w:after="60"/>
      <w:ind w:left="340" w:hanging="340"/>
    </w:pPr>
  </w:style>
  <w:style w:type="paragraph" w:customStyle="1" w:styleId="Note">
    <w:name w:val="Note"/>
    <w:basedOn w:val="BodyText"/>
    <w:rsid w:val="002A3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B45"/>
    <w:pPr>
      <w:framePr w:wrap="auto" w:hAnchor="text" w:y="6049"/>
    </w:pPr>
    <w:rPr>
      <w:color w:val="000000"/>
      <w:sz w:val="40"/>
    </w:rPr>
  </w:style>
  <w:style w:type="paragraph" w:customStyle="1" w:styleId="TOCTitle">
    <w:name w:val="TOCTitle"/>
    <w:basedOn w:val="Heading1"/>
    <w:rsid w:val="002A3B45"/>
    <w:pPr>
      <w:spacing w:after="240"/>
      <w:jc w:val="center"/>
      <w:outlineLvl w:val="9"/>
    </w:pPr>
    <w:rPr>
      <w:caps/>
    </w:rPr>
  </w:style>
  <w:style w:type="paragraph" w:customStyle="1" w:styleId="Version">
    <w:name w:val="Version"/>
    <w:rsid w:val="002A3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B45"/>
    <w:pPr>
      <w:keepNext w:val="0"/>
      <w:tabs>
        <w:tab w:val="right" w:pos="4176"/>
      </w:tabs>
      <w:ind w:left="198" w:hanging="198"/>
    </w:pPr>
    <w:rPr>
      <w:rFonts w:ascii="Garamond" w:hAnsi="Garamond"/>
    </w:rPr>
  </w:style>
  <w:style w:type="paragraph" w:styleId="IndexHeading">
    <w:name w:val="index heading"/>
    <w:basedOn w:val="Normal"/>
    <w:next w:val="Index1"/>
    <w:semiHidden/>
    <w:rsid w:val="002A3B45"/>
    <w:pPr>
      <w:spacing w:before="120" w:after="120"/>
    </w:pPr>
    <w:rPr>
      <w:rFonts w:ascii="Arial" w:hAnsi="Arial"/>
      <w:b/>
      <w:color w:val="918585"/>
      <w:sz w:val="24"/>
    </w:rPr>
  </w:style>
  <w:style w:type="paragraph" w:styleId="Header">
    <w:name w:val="header"/>
    <w:basedOn w:val="Normal"/>
    <w:link w:val="HeaderChar"/>
    <w:rsid w:val="002A3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B45"/>
    <w:rPr>
      <w:rFonts w:ascii="Times New Roman" w:eastAsia="Times New Roman" w:hAnsi="Times New Roman" w:cs="Times New Roman"/>
      <w:sz w:val="16"/>
      <w:szCs w:val="20"/>
      <w:lang w:val="en-GB" w:eastAsia="en-US"/>
    </w:rPr>
  </w:style>
  <w:style w:type="paragraph" w:customStyle="1" w:styleId="Chapter">
    <w:name w:val="Chapter"/>
    <w:basedOn w:val="Normal"/>
    <w:rsid w:val="002A3B45"/>
    <w:pPr>
      <w:spacing w:before="240"/>
    </w:pPr>
    <w:rPr>
      <w:rFonts w:ascii="Times New Roman" w:hAnsi="Times New Roman"/>
      <w:smallCaps/>
      <w:spacing w:val="80"/>
      <w:sz w:val="28"/>
    </w:rPr>
  </w:style>
  <w:style w:type="paragraph" w:customStyle="1" w:styleId="InChapter">
    <w:name w:val="InChapter"/>
    <w:basedOn w:val="Heading3"/>
    <w:rsid w:val="002A3B45"/>
    <w:pPr>
      <w:spacing w:after="240"/>
      <w:outlineLvl w:val="9"/>
    </w:pPr>
    <w:rPr>
      <w:noProof/>
    </w:rPr>
  </w:style>
  <w:style w:type="paragraph" w:styleId="Index2">
    <w:name w:val="index 2"/>
    <w:basedOn w:val="Normal"/>
    <w:next w:val="Normal"/>
    <w:semiHidden/>
    <w:rsid w:val="002A3B45"/>
    <w:pPr>
      <w:tabs>
        <w:tab w:val="right" w:pos="4176"/>
      </w:tabs>
      <w:ind w:left="568" w:hanging="284"/>
    </w:pPr>
    <w:rPr>
      <w:rFonts w:ascii="Garamond" w:hAnsi="Garamond"/>
    </w:rPr>
  </w:style>
  <w:style w:type="paragraph" w:customStyle="1" w:styleId="Byline">
    <w:name w:val="Byline"/>
    <w:rsid w:val="002A3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B45"/>
    <w:pPr>
      <w:tabs>
        <w:tab w:val="clear" w:pos="3600"/>
        <w:tab w:val="clear" w:pos="3958"/>
      </w:tabs>
      <w:jc w:val="right"/>
    </w:pPr>
  </w:style>
  <w:style w:type="character" w:styleId="Emphasis">
    <w:name w:val="Emphasis"/>
    <w:basedOn w:val="DefaultParagraphFont"/>
    <w:qFormat/>
    <w:rsid w:val="002A3B45"/>
    <w:rPr>
      <w:i/>
    </w:rPr>
  </w:style>
  <w:style w:type="paragraph" w:styleId="Caption">
    <w:name w:val="caption"/>
    <w:basedOn w:val="BodyText"/>
    <w:next w:val="Normal"/>
    <w:qFormat/>
    <w:rsid w:val="002A3B45"/>
    <w:pPr>
      <w:framePr w:w="2268" w:hSpace="181" w:vSpace="181" w:wrap="around" w:vAnchor="text" w:hAnchor="page" w:x="1135" w:y="285" w:anchorLock="1"/>
    </w:pPr>
    <w:rPr>
      <w:i/>
    </w:rPr>
  </w:style>
  <w:style w:type="paragraph" w:customStyle="1" w:styleId="MiniTOCTitle">
    <w:name w:val="MiniTOCTitle"/>
    <w:basedOn w:val="Heading4"/>
    <w:rsid w:val="002A3B45"/>
    <w:pPr>
      <w:spacing w:before="240"/>
      <w:outlineLvl w:val="9"/>
    </w:pPr>
    <w:rPr>
      <w:noProof/>
      <w:sz w:val="24"/>
    </w:rPr>
  </w:style>
  <w:style w:type="paragraph" w:customStyle="1" w:styleId="MiniTOCItem">
    <w:name w:val="MiniTOCItem"/>
    <w:basedOn w:val="ListBullet"/>
    <w:rsid w:val="002A3B45"/>
    <w:pPr>
      <w:numPr>
        <w:numId w:val="0"/>
      </w:numPr>
      <w:tabs>
        <w:tab w:val="right" w:leader="dot" w:pos="6521"/>
      </w:tabs>
      <w:spacing w:before="0" w:after="0"/>
    </w:pPr>
  </w:style>
  <w:style w:type="paragraph" w:customStyle="1" w:styleId="TOFTitle">
    <w:name w:val="TOFTitle"/>
    <w:basedOn w:val="TOCTitle"/>
    <w:rsid w:val="002A3B45"/>
  </w:style>
  <w:style w:type="paragraph" w:styleId="TableofFigures">
    <w:name w:val="table of figures"/>
    <w:basedOn w:val="Normal"/>
    <w:next w:val="Normal"/>
    <w:semiHidden/>
    <w:rsid w:val="002A3B45"/>
    <w:pPr>
      <w:tabs>
        <w:tab w:val="right" w:leader="dot" w:pos="9072"/>
      </w:tabs>
      <w:ind w:left="970" w:hanging="403"/>
    </w:pPr>
    <w:rPr>
      <w:rFonts w:ascii="Times New Roman" w:hAnsi="Times New Roman"/>
      <w:b/>
    </w:rPr>
  </w:style>
  <w:style w:type="paragraph" w:styleId="ListNumber">
    <w:name w:val="List Number"/>
    <w:basedOn w:val="List"/>
    <w:rsid w:val="002A3B45"/>
    <w:pPr>
      <w:numPr>
        <w:numId w:val="16"/>
      </w:numPr>
      <w:tabs>
        <w:tab w:val="clear" w:pos="340"/>
      </w:tabs>
    </w:pPr>
  </w:style>
  <w:style w:type="character" w:customStyle="1" w:styleId="WingdingSymbols">
    <w:name w:val="Wingding Symbols"/>
    <w:rsid w:val="002A3B45"/>
    <w:rPr>
      <w:rFonts w:ascii="Wingdings" w:hAnsi="Wingdings"/>
    </w:rPr>
  </w:style>
  <w:style w:type="paragraph" w:customStyle="1" w:styleId="TableHeading">
    <w:name w:val="Table Heading"/>
    <w:basedOn w:val="HeadingBase"/>
    <w:rsid w:val="002A3B45"/>
    <w:pPr>
      <w:keepLines/>
      <w:pBdr>
        <w:bottom w:val="single" w:sz="6" w:space="1" w:color="918585"/>
      </w:pBdr>
      <w:spacing w:before="240"/>
    </w:pPr>
  </w:style>
  <w:style w:type="character" w:customStyle="1" w:styleId="HotSpot">
    <w:name w:val="HotSpot"/>
    <w:rsid w:val="002A3B45"/>
    <w:rPr>
      <w:color w:val="0033CC"/>
      <w:u w:val="none"/>
    </w:rPr>
  </w:style>
  <w:style w:type="paragraph" w:customStyle="1" w:styleId="BodyTextRight">
    <w:name w:val="Body Text Right"/>
    <w:basedOn w:val="BodyText"/>
    <w:rsid w:val="002A3B45"/>
    <w:pPr>
      <w:spacing w:before="0" w:after="0"/>
      <w:jc w:val="right"/>
    </w:pPr>
  </w:style>
  <w:style w:type="paragraph" w:styleId="Index3">
    <w:name w:val="index 3"/>
    <w:basedOn w:val="ListNumber2"/>
    <w:next w:val="Normal"/>
    <w:semiHidden/>
    <w:rsid w:val="002A3B45"/>
    <w:pPr>
      <w:numPr>
        <w:numId w:val="0"/>
      </w:numPr>
      <w:tabs>
        <w:tab w:val="right" w:leader="dot" w:pos="4176"/>
      </w:tabs>
    </w:pPr>
  </w:style>
  <w:style w:type="paragraph" w:styleId="ListNumber2">
    <w:name w:val="List Number 2"/>
    <w:basedOn w:val="List2"/>
    <w:rsid w:val="002A3B45"/>
    <w:pPr>
      <w:numPr>
        <w:numId w:val="11"/>
      </w:numPr>
      <w:tabs>
        <w:tab w:val="clear" w:pos="1060"/>
      </w:tabs>
    </w:pPr>
  </w:style>
  <w:style w:type="paragraph" w:customStyle="1" w:styleId="MarginNote">
    <w:name w:val="Margin Note"/>
    <w:basedOn w:val="BodyText"/>
    <w:rsid w:val="002A3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B45"/>
    <w:rPr>
      <w:sz w:val="32"/>
    </w:rPr>
  </w:style>
  <w:style w:type="paragraph" w:customStyle="1" w:styleId="HeadingProcedure">
    <w:name w:val="Heading Procedure"/>
    <w:basedOn w:val="HeadingBase"/>
    <w:next w:val="Normal"/>
    <w:rsid w:val="002A3B45"/>
    <w:pPr>
      <w:tabs>
        <w:tab w:val="left" w:pos="0"/>
      </w:tabs>
      <w:spacing w:before="120" w:after="60"/>
    </w:pPr>
    <w:rPr>
      <w:i/>
      <w:color w:val="918585"/>
      <w:sz w:val="22"/>
    </w:rPr>
  </w:style>
  <w:style w:type="paragraph" w:customStyle="1" w:styleId="TableBodyText">
    <w:name w:val="Table Body Text"/>
    <w:basedOn w:val="BodyText"/>
    <w:rsid w:val="002A3B45"/>
    <w:pPr>
      <w:spacing w:before="60" w:after="60"/>
    </w:pPr>
  </w:style>
  <w:style w:type="paragraph" w:styleId="ListContinue">
    <w:name w:val="List Continue"/>
    <w:basedOn w:val="List"/>
    <w:rsid w:val="002A3B45"/>
    <w:pPr>
      <w:ind w:firstLine="0"/>
    </w:pPr>
  </w:style>
  <w:style w:type="paragraph" w:customStyle="1" w:styleId="ListNote">
    <w:name w:val="List Note"/>
    <w:basedOn w:val="List"/>
    <w:rsid w:val="002A3B45"/>
    <w:pPr>
      <w:pBdr>
        <w:top w:val="single" w:sz="6" w:space="2" w:color="918585"/>
        <w:bottom w:val="single" w:sz="6" w:space="2" w:color="918585"/>
      </w:pBdr>
      <w:tabs>
        <w:tab w:val="left" w:pos="1021"/>
      </w:tabs>
      <w:ind w:firstLine="0"/>
    </w:pPr>
  </w:style>
  <w:style w:type="paragraph" w:customStyle="1" w:styleId="Warning">
    <w:name w:val="Warning"/>
    <w:basedOn w:val="BodyText"/>
    <w:rsid w:val="002A3B45"/>
    <w:pPr>
      <w:shd w:val="clear" w:color="auto" w:fill="D9D9D9"/>
      <w:tabs>
        <w:tab w:val="left" w:pos="992"/>
      </w:tabs>
      <w:ind w:left="119" w:right="119"/>
    </w:pPr>
    <w:rPr>
      <w:sz w:val="20"/>
    </w:rPr>
  </w:style>
  <w:style w:type="paragraph" w:customStyle="1" w:styleId="MarginIcons">
    <w:name w:val="Margin Icons"/>
    <w:basedOn w:val="BodyText"/>
    <w:rsid w:val="002A3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B45"/>
    <w:rPr>
      <w:rFonts w:ascii="Courier New" w:hAnsi="Courier New"/>
    </w:rPr>
  </w:style>
  <w:style w:type="paragraph" w:customStyle="1" w:styleId="NoteBullet">
    <w:name w:val="Note Bullet"/>
    <w:basedOn w:val="Note"/>
    <w:rsid w:val="002A3B45"/>
    <w:pPr>
      <w:tabs>
        <w:tab w:val="clear" w:pos="680"/>
      </w:tabs>
      <w:spacing w:before="60" w:after="60"/>
    </w:pPr>
  </w:style>
  <w:style w:type="paragraph" w:customStyle="1" w:styleId="SubHeading2">
    <w:name w:val="SubHeading2"/>
    <w:basedOn w:val="HeadingBase"/>
    <w:rsid w:val="002A3B45"/>
    <w:pPr>
      <w:spacing w:before="240" w:after="60"/>
    </w:pPr>
    <w:rPr>
      <w:sz w:val="20"/>
    </w:rPr>
  </w:style>
  <w:style w:type="paragraph" w:customStyle="1" w:styleId="SubHeading1">
    <w:name w:val="SubHeading1"/>
    <w:basedOn w:val="HeadingBase"/>
    <w:rsid w:val="002A3B45"/>
    <w:pPr>
      <w:spacing w:before="240" w:after="60"/>
    </w:pPr>
    <w:rPr>
      <w:color w:val="918585"/>
      <w:sz w:val="22"/>
    </w:rPr>
  </w:style>
  <w:style w:type="paragraph" w:customStyle="1" w:styleId="SideHeading">
    <w:name w:val="Side Heading"/>
    <w:basedOn w:val="HeadingBase"/>
    <w:rsid w:val="002A3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B45"/>
    <w:pPr>
      <w:numPr>
        <w:numId w:val="12"/>
      </w:numPr>
    </w:pPr>
  </w:style>
  <w:style w:type="paragraph" w:styleId="PlainText">
    <w:name w:val="Plain Text"/>
    <w:basedOn w:val="Normal"/>
    <w:link w:val="PlainTextChar"/>
    <w:rsid w:val="002A3B45"/>
    <w:rPr>
      <w:sz w:val="20"/>
    </w:rPr>
  </w:style>
  <w:style w:type="character" w:customStyle="1" w:styleId="PlainTextChar">
    <w:name w:val="Plain Text Char"/>
    <w:basedOn w:val="DefaultParagraphFont"/>
    <w:link w:val="PlainText"/>
    <w:rsid w:val="002A3B45"/>
    <w:rPr>
      <w:rFonts w:ascii="Courier New" w:eastAsia="Times New Roman" w:hAnsi="Courier New" w:cs="Times New Roman"/>
      <w:sz w:val="20"/>
      <w:szCs w:val="20"/>
      <w:lang w:eastAsia="en-US"/>
    </w:rPr>
  </w:style>
  <w:style w:type="character" w:customStyle="1" w:styleId="MenuOption">
    <w:name w:val="Menu Option"/>
    <w:basedOn w:val="DefaultParagraphFont"/>
    <w:rsid w:val="002A3B45"/>
    <w:rPr>
      <w:b/>
      <w:smallCaps/>
    </w:rPr>
  </w:style>
  <w:style w:type="paragraph" w:customStyle="1" w:styleId="TableListNumber">
    <w:name w:val="Table List Number"/>
    <w:basedOn w:val="ListNumber"/>
    <w:rsid w:val="002A3B45"/>
    <w:pPr>
      <w:numPr>
        <w:numId w:val="0"/>
      </w:numPr>
    </w:pPr>
  </w:style>
  <w:style w:type="paragraph" w:styleId="TOC4">
    <w:name w:val="toc 4"/>
    <w:basedOn w:val="TOCBase"/>
    <w:next w:val="Normal"/>
    <w:semiHidden/>
    <w:rsid w:val="002A3B45"/>
    <w:pPr>
      <w:tabs>
        <w:tab w:val="right" w:leader="dot" w:pos="9071"/>
      </w:tabs>
      <w:ind w:left="1701"/>
    </w:pPr>
  </w:style>
  <w:style w:type="paragraph" w:customStyle="1" w:styleId="ListAlpha">
    <w:name w:val="List Alpha"/>
    <w:basedOn w:val="List"/>
    <w:rsid w:val="002A3B45"/>
    <w:pPr>
      <w:numPr>
        <w:numId w:val="10"/>
      </w:numPr>
    </w:pPr>
  </w:style>
  <w:style w:type="paragraph" w:customStyle="1" w:styleId="ListAlpha2">
    <w:name w:val="List Alpha 2"/>
    <w:basedOn w:val="List2"/>
    <w:rsid w:val="002A3B45"/>
    <w:pPr>
      <w:numPr>
        <w:numId w:val="9"/>
      </w:numPr>
    </w:pPr>
  </w:style>
  <w:style w:type="paragraph" w:styleId="List2">
    <w:name w:val="List 2"/>
    <w:basedOn w:val="BodyText"/>
    <w:rsid w:val="002A3B45"/>
    <w:pPr>
      <w:tabs>
        <w:tab w:val="left" w:pos="680"/>
      </w:tabs>
      <w:spacing w:before="60" w:after="60"/>
      <w:ind w:left="680" w:hanging="340"/>
    </w:pPr>
  </w:style>
  <w:style w:type="paragraph" w:styleId="List3">
    <w:name w:val="List 3"/>
    <w:basedOn w:val="BodyText"/>
    <w:rsid w:val="002A3B45"/>
    <w:pPr>
      <w:tabs>
        <w:tab w:val="left" w:pos="1021"/>
      </w:tabs>
      <w:spacing w:before="60" w:after="60"/>
      <w:ind w:left="1020" w:hanging="340"/>
    </w:pPr>
  </w:style>
  <w:style w:type="paragraph" w:styleId="List4">
    <w:name w:val="List 4"/>
    <w:basedOn w:val="BodyText"/>
    <w:rsid w:val="002A3B45"/>
    <w:pPr>
      <w:tabs>
        <w:tab w:val="left" w:pos="1361"/>
      </w:tabs>
      <w:spacing w:before="60" w:after="60"/>
      <w:ind w:left="1361" w:hanging="340"/>
    </w:pPr>
  </w:style>
  <w:style w:type="paragraph" w:styleId="List5">
    <w:name w:val="List 5"/>
    <w:basedOn w:val="BodyText"/>
    <w:rsid w:val="002A3B45"/>
    <w:pPr>
      <w:tabs>
        <w:tab w:val="left" w:pos="1701"/>
      </w:tabs>
      <w:spacing w:before="60" w:after="60"/>
      <w:ind w:left="1701" w:hanging="340"/>
    </w:pPr>
  </w:style>
  <w:style w:type="paragraph" w:styleId="ListBullet4">
    <w:name w:val="List Bullet 4"/>
    <w:basedOn w:val="List4"/>
    <w:rsid w:val="002A3B45"/>
    <w:pPr>
      <w:numPr>
        <w:numId w:val="4"/>
      </w:numPr>
      <w:tabs>
        <w:tab w:val="clear" w:pos="1361"/>
      </w:tabs>
    </w:pPr>
  </w:style>
  <w:style w:type="paragraph" w:styleId="ListBullet5">
    <w:name w:val="List Bullet 5"/>
    <w:basedOn w:val="List5"/>
    <w:rsid w:val="002A3B45"/>
    <w:pPr>
      <w:numPr>
        <w:numId w:val="5"/>
      </w:numPr>
    </w:pPr>
  </w:style>
  <w:style w:type="paragraph" w:styleId="ListContinue2">
    <w:name w:val="List Continue 2"/>
    <w:basedOn w:val="List2"/>
    <w:rsid w:val="002A3B45"/>
    <w:pPr>
      <w:ind w:firstLine="0"/>
    </w:pPr>
  </w:style>
  <w:style w:type="paragraph" w:styleId="ListContinue3">
    <w:name w:val="List Continue 3"/>
    <w:basedOn w:val="List3"/>
    <w:rsid w:val="002A3B45"/>
    <w:pPr>
      <w:ind w:left="1021" w:firstLine="0"/>
    </w:pPr>
  </w:style>
  <w:style w:type="paragraph" w:styleId="ListContinue4">
    <w:name w:val="List Continue 4"/>
    <w:basedOn w:val="List4"/>
    <w:rsid w:val="002A3B45"/>
    <w:pPr>
      <w:ind w:firstLine="0"/>
    </w:pPr>
  </w:style>
  <w:style w:type="paragraph" w:styleId="ListContinue5">
    <w:name w:val="List Continue 5"/>
    <w:basedOn w:val="List5"/>
    <w:rsid w:val="002A3B45"/>
    <w:pPr>
      <w:ind w:firstLine="0"/>
    </w:pPr>
  </w:style>
  <w:style w:type="paragraph" w:styleId="ListNumber3">
    <w:name w:val="List Number 3"/>
    <w:basedOn w:val="List3"/>
    <w:rsid w:val="002A3B45"/>
    <w:pPr>
      <w:numPr>
        <w:numId w:val="6"/>
      </w:numPr>
    </w:pPr>
  </w:style>
  <w:style w:type="paragraph" w:styleId="ListNumber4">
    <w:name w:val="List Number 4"/>
    <w:basedOn w:val="List4"/>
    <w:rsid w:val="002A3B45"/>
    <w:pPr>
      <w:numPr>
        <w:numId w:val="7"/>
      </w:numPr>
    </w:pPr>
  </w:style>
  <w:style w:type="paragraph" w:styleId="ListNumber5">
    <w:name w:val="List Number 5"/>
    <w:basedOn w:val="List5"/>
    <w:rsid w:val="002A3B45"/>
    <w:pPr>
      <w:numPr>
        <w:numId w:val="8"/>
      </w:numPr>
    </w:pPr>
  </w:style>
  <w:style w:type="paragraph" w:styleId="BlockText">
    <w:name w:val="Block Text"/>
    <w:basedOn w:val="Normal"/>
    <w:rsid w:val="002A3B45"/>
    <w:pPr>
      <w:spacing w:after="120"/>
      <w:ind w:left="1440" w:right="1440"/>
    </w:pPr>
  </w:style>
  <w:style w:type="character" w:customStyle="1" w:styleId="Subscript">
    <w:name w:val="Subscript"/>
    <w:basedOn w:val="DefaultParagraphFont"/>
    <w:rsid w:val="002A3B45"/>
    <w:rPr>
      <w:sz w:val="16"/>
      <w:vertAlign w:val="subscript"/>
    </w:rPr>
  </w:style>
  <w:style w:type="character" w:customStyle="1" w:styleId="Superscript">
    <w:name w:val="Superscript"/>
    <w:basedOn w:val="DefaultParagraphFont"/>
    <w:rsid w:val="002A3B45"/>
    <w:rPr>
      <w:sz w:val="16"/>
      <w:vertAlign w:val="superscript"/>
    </w:rPr>
  </w:style>
  <w:style w:type="character" w:customStyle="1" w:styleId="Symbols">
    <w:name w:val="Symbols"/>
    <w:basedOn w:val="DefaultParagraphFont"/>
    <w:rsid w:val="002A3B45"/>
    <w:rPr>
      <w:rFonts w:ascii="Symbol" w:hAnsi="Symbol"/>
    </w:rPr>
  </w:style>
  <w:style w:type="character" w:customStyle="1" w:styleId="MenuOptions">
    <w:name w:val="Menu Options"/>
    <w:basedOn w:val="DefaultParagraphFont"/>
    <w:rsid w:val="002A3B45"/>
    <w:rPr>
      <w:rFonts w:ascii="Arial Narrow" w:hAnsi="Arial Narrow"/>
      <w:smallCaps/>
    </w:rPr>
  </w:style>
  <w:style w:type="character" w:customStyle="1" w:styleId="Buttons">
    <w:name w:val="Buttons"/>
    <w:basedOn w:val="DefaultParagraphFont"/>
    <w:rsid w:val="002A3B45"/>
    <w:rPr>
      <w:b/>
    </w:rPr>
  </w:style>
  <w:style w:type="character" w:customStyle="1" w:styleId="Underlined">
    <w:name w:val="Underlined"/>
    <w:basedOn w:val="DefaultParagraphFont"/>
    <w:rsid w:val="002A3B45"/>
    <w:rPr>
      <w:u w:val="single"/>
    </w:rPr>
  </w:style>
  <w:style w:type="paragraph" w:customStyle="1" w:styleId="TableBodyTextRight">
    <w:name w:val="Table Body Text Right"/>
    <w:basedOn w:val="TableBodyText"/>
    <w:rsid w:val="002A3B45"/>
    <w:pPr>
      <w:widowControl w:val="0"/>
      <w:autoSpaceDE w:val="0"/>
      <w:autoSpaceDN w:val="0"/>
      <w:adjustRightInd w:val="0"/>
      <w:jc w:val="right"/>
    </w:pPr>
    <w:rPr>
      <w:rFonts w:cs="Arial"/>
      <w:szCs w:val="18"/>
    </w:rPr>
  </w:style>
  <w:style w:type="paragraph" w:customStyle="1" w:styleId="CopyrightText">
    <w:name w:val="Copyright Text"/>
    <w:basedOn w:val="BodyText"/>
    <w:rsid w:val="002A3B45"/>
    <w:rPr>
      <w:sz w:val="18"/>
    </w:rPr>
  </w:style>
  <w:style w:type="paragraph" w:customStyle="1" w:styleId="BodySmallRight">
    <w:name w:val="Body Small Right"/>
    <w:basedOn w:val="BodyTextRight"/>
    <w:rsid w:val="002A3B45"/>
    <w:rPr>
      <w:sz w:val="18"/>
      <w:szCs w:val="18"/>
    </w:rPr>
  </w:style>
  <w:style w:type="paragraph" w:customStyle="1" w:styleId="MarginEdition">
    <w:name w:val="Margin Edition"/>
    <w:basedOn w:val="MarginNote"/>
    <w:rsid w:val="002A3B45"/>
    <w:pPr>
      <w:spacing w:before="0" w:after="0"/>
    </w:pPr>
    <w:rPr>
      <w:rFonts w:ascii="Times New Roman" w:hAnsi="Times New Roman"/>
      <w:color w:val="999999"/>
    </w:rPr>
  </w:style>
  <w:style w:type="paragraph" w:customStyle="1" w:styleId="Spacer">
    <w:name w:val="Spacer"/>
    <w:basedOn w:val="Normal"/>
    <w:rsid w:val="002A3B45"/>
    <w:rPr>
      <w:sz w:val="2"/>
      <w:szCs w:val="2"/>
    </w:rPr>
  </w:style>
  <w:style w:type="character" w:customStyle="1" w:styleId="Small">
    <w:name w:val="Small"/>
    <w:basedOn w:val="DefaultParagraphFont"/>
    <w:rsid w:val="002A3B45"/>
    <w:rPr>
      <w:sz w:val="16"/>
    </w:rPr>
  </w:style>
  <w:style w:type="paragraph" w:customStyle="1" w:styleId="WideTable">
    <w:name w:val="Wide Table"/>
    <w:basedOn w:val="Normal"/>
    <w:rsid w:val="002A3B45"/>
    <w:pPr>
      <w:ind w:left="-1418"/>
    </w:pPr>
    <w:rPr>
      <w:sz w:val="2"/>
      <w:szCs w:val="2"/>
    </w:rPr>
  </w:style>
  <w:style w:type="character" w:styleId="PageNumber">
    <w:name w:val="page number"/>
    <w:basedOn w:val="DefaultParagraphFont"/>
    <w:rsid w:val="002A3B45"/>
  </w:style>
  <w:style w:type="paragraph" w:styleId="Quote">
    <w:name w:val="Quote"/>
    <w:basedOn w:val="Heading1"/>
    <w:link w:val="QuoteChar"/>
    <w:qFormat/>
    <w:rsid w:val="002A3B45"/>
    <w:rPr>
      <w:b w:val="0"/>
      <w:sz w:val="72"/>
      <w:szCs w:val="72"/>
      <w:lang w:val="en-NZ"/>
    </w:rPr>
  </w:style>
  <w:style w:type="character" w:customStyle="1" w:styleId="QuoteChar">
    <w:name w:val="Quote Char"/>
    <w:basedOn w:val="DefaultParagraphFont"/>
    <w:link w:val="Quote"/>
    <w:rsid w:val="002A3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B45"/>
    <w:pPr>
      <w:pageBreakBefore/>
    </w:pPr>
  </w:style>
  <w:style w:type="paragraph" w:customStyle="1" w:styleId="Border">
    <w:name w:val="Border"/>
    <w:basedOn w:val="Normal"/>
    <w:qFormat/>
    <w:rsid w:val="002A3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B45"/>
    <w:rPr>
      <w:b/>
      <w:bCs/>
      <w:i/>
      <w:iCs/>
      <w:color w:val="auto"/>
    </w:rPr>
  </w:style>
  <w:style w:type="paragraph" w:styleId="IntenseQuote">
    <w:name w:val="Intense Quote"/>
    <w:basedOn w:val="Normal"/>
    <w:next w:val="Normal"/>
    <w:link w:val="IntenseQuoteChar"/>
    <w:uiPriority w:val="30"/>
    <w:qFormat/>
    <w:rsid w:val="002A3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B45"/>
    <w:rPr>
      <w:smallCaps/>
      <w:color w:val="auto"/>
      <w:u w:val="single"/>
    </w:rPr>
  </w:style>
  <w:style w:type="character" w:styleId="IntenseReference">
    <w:name w:val="Intense Reference"/>
    <w:basedOn w:val="DefaultParagraphFont"/>
    <w:uiPriority w:val="32"/>
    <w:qFormat/>
    <w:rsid w:val="002A3B45"/>
    <w:rPr>
      <w:b/>
      <w:bCs/>
      <w:smallCaps/>
      <w:color w:val="auto"/>
      <w:spacing w:val="5"/>
      <w:u w:val="single"/>
    </w:rPr>
  </w:style>
  <w:style w:type="paragraph" w:customStyle="1" w:styleId="2ColumnHeading">
    <w:name w:val="2Column Heading"/>
    <w:basedOn w:val="BodyText"/>
    <w:qFormat/>
    <w:rsid w:val="002A3B45"/>
    <w:pPr>
      <w:spacing w:after="60"/>
      <w:ind w:left="-2268"/>
    </w:pPr>
    <w:rPr>
      <w:b/>
    </w:rPr>
  </w:style>
  <w:style w:type="paragraph" w:customStyle="1" w:styleId="Heading1TOC">
    <w:name w:val="Heading1 TOC"/>
    <w:basedOn w:val="Normal"/>
    <w:qFormat/>
    <w:rsid w:val="002A3B45"/>
    <w:pPr>
      <w:spacing w:before="240" w:after="120"/>
    </w:pPr>
    <w:rPr>
      <w:rFonts w:ascii="Times New Roman" w:hAnsi="Times New Roman"/>
      <w:b/>
      <w:sz w:val="32"/>
    </w:rPr>
  </w:style>
  <w:style w:type="paragraph" w:customStyle="1" w:styleId="Heading2TOC">
    <w:name w:val="Heading2 TOC"/>
    <w:basedOn w:val="Normal"/>
    <w:qFormat/>
    <w:rsid w:val="002A3B45"/>
    <w:pPr>
      <w:spacing w:before="240" w:after="60"/>
    </w:pPr>
    <w:rPr>
      <w:rFonts w:ascii="Times New Roman" w:hAnsi="Times New Roman"/>
      <w:b/>
      <w:sz w:val="28"/>
    </w:rPr>
  </w:style>
  <w:style w:type="character" w:customStyle="1" w:styleId="Underline">
    <w:name w:val="Underline"/>
    <w:basedOn w:val="DefaultParagraphFont"/>
    <w:qFormat/>
    <w:rsid w:val="002A3B45"/>
    <w:rPr>
      <w:u w:val="single"/>
    </w:rPr>
  </w:style>
  <w:style w:type="character" w:customStyle="1" w:styleId="BoldandItalics">
    <w:name w:val="Bold and Italics"/>
    <w:qFormat/>
    <w:rsid w:val="002A3B45"/>
    <w:rPr>
      <w:b/>
      <w:i/>
      <w:u w:val="none"/>
    </w:rPr>
  </w:style>
  <w:style w:type="paragraph" w:styleId="BalloonText">
    <w:name w:val="Balloon Text"/>
    <w:basedOn w:val="Normal"/>
    <w:link w:val="BalloonTextChar"/>
    <w:rsid w:val="002A3B45"/>
    <w:rPr>
      <w:rFonts w:ascii="Tahoma" w:hAnsi="Tahoma" w:cs="Tahoma"/>
      <w:sz w:val="16"/>
      <w:szCs w:val="16"/>
    </w:rPr>
  </w:style>
  <w:style w:type="character" w:customStyle="1" w:styleId="BalloonTextChar">
    <w:name w:val="Balloon Text Char"/>
    <w:basedOn w:val="DefaultParagraphFont"/>
    <w:link w:val="BalloonText"/>
    <w:rsid w:val="002A3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B45"/>
    <w:rPr>
      <w:b/>
      <w:color w:val="660033"/>
      <w:spacing w:val="0"/>
    </w:rPr>
  </w:style>
  <w:style w:type="paragraph" w:customStyle="1" w:styleId="Nameditemlist">
    <w:name w:val="Named item list"/>
    <w:basedOn w:val="BodyText"/>
    <w:qFormat/>
    <w:rsid w:val="002A3B45"/>
    <w:pPr>
      <w:tabs>
        <w:tab w:val="left" w:pos="2835"/>
      </w:tabs>
      <w:ind w:left="2835" w:hanging="2835"/>
    </w:pPr>
  </w:style>
  <w:style w:type="paragraph" w:customStyle="1" w:styleId="BodyTextnopadding">
    <w:name w:val="Body Text no padding"/>
    <w:basedOn w:val="BodyText"/>
    <w:qFormat/>
    <w:rsid w:val="002A3B45"/>
    <w:pPr>
      <w:spacing w:before="0" w:after="0"/>
    </w:pPr>
  </w:style>
  <w:style w:type="paragraph" w:customStyle="1" w:styleId="BodyTextBold">
    <w:name w:val="Body Text Bold"/>
    <w:basedOn w:val="BodyText"/>
    <w:qFormat/>
    <w:rsid w:val="002A3B45"/>
    <w:rPr>
      <w:b/>
    </w:rPr>
  </w:style>
  <w:style w:type="character" w:styleId="Hyperlink">
    <w:name w:val="Hyperlink"/>
    <w:basedOn w:val="DefaultParagraphFont"/>
    <w:uiPriority w:val="99"/>
    <w:unhideWhenUsed/>
    <w:rsid w:val="00DC4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1624</Words>
  <Characters>10461</Characters>
  <Application>Microsoft Office Word</Application>
  <DocSecurity>0</DocSecurity>
  <Lines>360</Lines>
  <Paragraphs>183</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UEERE0038 Install, configure and commission LV wind energy conversion systems rated up to 10 kW</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