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734" w:rsidP="00FE57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UEERE0038 Install, configure and commission LV wind energy conversion systems rated up to 10 kW</w:t>
      </w:r>
      <w:r>
        <w:fldChar w:fldCharType="end"/>
      </w:r>
    </w:p>
    <w:p w:rsidR="00FE5734" w:rsidP="00FE5734">
      <w:pPr>
        <w:pStyle w:val="Version"/>
        <w:sectPr w:rsidSect="000A42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2C4" w:rsidP="000A42C4">
      <w:pPr>
        <w:pStyle w:val="SuperHeading"/>
      </w:pPr>
      <w:r w:rsidRPr="000A42C4">
        <w:t>Assessment Requirements for UEERE0038 Install, configure and commission LV wind energy conversion systems rated up to 10 kW</w:t>
      </w:r>
    </w:p>
    <w:p w:rsidR="00000000" w:rsidRPr="000A42C4" w:rsidP="000A42C4">
      <w:pPr>
        <w:pStyle w:val="Heading1"/>
      </w:pPr>
      <w:bookmarkStart w:id="1" w:name="O_1103062"/>
      <w:bookmarkEnd w:id="1"/>
      <w:r w:rsidRPr="000A42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C4" w:rsidP="000A42C4">
            <w:pPr>
              <w:pStyle w:val="BodyText"/>
            </w:pPr>
            <w:r w:rsidRPr="000A42C4">
              <w:t>Release 1. This is the first release of this unit of competency in the UEE Electrotechnology Training Package.</w:t>
            </w:r>
          </w:p>
        </w:tc>
      </w:tr>
    </w:tbl>
    <w:p w:rsidR="00000000" w:rsidRPr="000A42C4" w:rsidP="000A42C4">
      <w:pPr>
        <w:pStyle w:val="NoPaddingFontSize1"/>
      </w:pPr>
    </w:p>
    <w:p w:rsidR="00000000" w:rsidRPr="000A42C4" w:rsidP="000A42C4">
      <w:pPr>
        <w:pStyle w:val="AllowPageBreak"/>
      </w:pPr>
    </w:p>
    <w:p w:rsidR="00000000" w:rsidRPr="000A42C4" w:rsidP="000A42C4">
      <w:pPr>
        <w:pStyle w:val="Heading1"/>
      </w:pPr>
      <w:bookmarkStart w:id="2" w:name="O_1103063"/>
      <w:bookmarkEnd w:id="2"/>
      <w:r w:rsidRPr="000A42C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C4">
            <w:pPr>
              <w:pStyle w:val="BodyText"/>
              <w:rPr>
                <w:lang w:val="en-NZ"/>
              </w:rPr>
            </w:pPr>
            <w:r w:rsidRPr="000A42C4">
              <w:t>Evidence required to demonstrate competence in this unit must be relevant to and satisfy all of the req</w:t>
            </w:r>
            <w:r w:rsidRPr="000A42C4">
              <w:t>uirements of the elements and performance criteria on at least one occasion and include:</w:t>
            </w:r>
          </w:p>
        </w:tc>
      </w:tr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C4" w:rsidP="000A42C4">
            <w:pPr>
              <w:pStyle w:val="ListBullet"/>
            </w:pPr>
            <w:r w:rsidRPr="000A42C4">
              <w:t>assessing customer energy requirements, efficiency improvements and site limitations</w:t>
            </w:r>
          </w:p>
          <w:p w:rsidR="00000000" w:rsidRPr="000A42C4" w:rsidP="000A42C4">
            <w:pPr>
              <w:pStyle w:val="ListBullet"/>
            </w:pPr>
            <w:r w:rsidRPr="000A42C4">
              <w:t>reading and interpreting drawings related to and apparatus locations and circuit</w:t>
            </w:r>
            <w:r w:rsidRPr="000A42C4">
              <w:t xml:space="preserve"> connections</w:t>
            </w:r>
          </w:p>
          <w:p w:rsidR="00000000" w:rsidRPr="000A42C4" w:rsidP="000A42C4">
            <w:pPr>
              <w:pStyle w:val="ListBullet"/>
            </w:pPr>
            <w:r w:rsidRPr="000A42C4">
              <w:t>placing and securing system components accurately</w:t>
            </w:r>
          </w:p>
          <w:p w:rsidR="00000000" w:rsidRPr="000A42C4" w:rsidP="000A42C4">
            <w:pPr>
              <w:pStyle w:val="ListBullet"/>
            </w:pPr>
            <w:r w:rsidRPr="000A42C4">
              <w:t>maintaining fire integrity</w:t>
            </w:r>
          </w:p>
          <w:p w:rsidR="00000000" w:rsidRPr="000A42C4" w:rsidP="000A42C4">
            <w:pPr>
              <w:pStyle w:val="ListBullet"/>
            </w:pPr>
            <w:r w:rsidRPr="000A42C4">
              <w:t>connecting system low voltage (LV) components to comply with requirements</w:t>
            </w:r>
          </w:p>
          <w:p w:rsidR="00000000" w:rsidRPr="000A42C4" w:rsidP="000A42C4">
            <w:pPr>
              <w:pStyle w:val="ListBullet"/>
            </w:pPr>
            <w:r w:rsidRPr="000A42C4">
              <w:t>testing and commissioning system operation and verifying compliance with standards and job s</w:t>
            </w:r>
            <w:r w:rsidRPr="000A42C4">
              <w:t>pecifications</w:t>
            </w:r>
          </w:p>
          <w:p w:rsidR="00000000" w:rsidRPr="000A42C4" w:rsidP="000A42C4">
            <w:pPr>
              <w:pStyle w:val="ListBullet"/>
            </w:pPr>
            <w:r w:rsidRPr="000A42C4">
              <w:t>completing necessary documentation, including handing over system operational documents to the customer</w:t>
            </w:r>
          </w:p>
          <w:p w:rsidR="00000000" w:rsidRPr="000A42C4" w:rsidP="000A42C4">
            <w:pPr>
              <w:pStyle w:val="ListBullet"/>
            </w:pPr>
            <w:r w:rsidRPr="000A42C4">
              <w:t>dealing with unplanned events</w:t>
            </w:r>
          </w:p>
          <w:p w:rsidR="00000000" w:rsidRPr="000A42C4" w:rsidP="000A42C4">
            <w:pPr>
              <w:pStyle w:val="ListBullet"/>
            </w:pPr>
            <w:r w:rsidRPr="000A42C4">
              <w:t>applying relevant work health and safety (WHS)/occupational health and safety (OHS) requirements and workplace procedures and practices, including the use of risk control measures</w:t>
            </w:r>
          </w:p>
          <w:p w:rsidR="00000000" w:rsidRPr="000A42C4" w:rsidP="000A42C4">
            <w:pPr>
              <w:pStyle w:val="ListBullet"/>
            </w:pPr>
            <w:r w:rsidRPr="000A42C4">
              <w:t>applying sustainable energy principles and practices</w:t>
            </w:r>
          </w:p>
          <w:p w:rsidR="00000000" w:rsidRPr="000A42C4" w:rsidP="000A42C4">
            <w:pPr>
              <w:pStyle w:val="ListBullet"/>
            </w:pPr>
            <w:r w:rsidRPr="000A42C4">
              <w:t>checking isolation of c</w:t>
            </w:r>
            <w:r w:rsidRPr="000A42C4">
              <w:t>ircuits/machines/systems</w:t>
            </w:r>
          </w:p>
          <w:p w:rsidR="00000000" w:rsidRPr="000A42C4" w:rsidP="000A42C4">
            <w:pPr>
              <w:pStyle w:val="ListBullet"/>
            </w:pPr>
            <w:r w:rsidRPr="000A42C4">
              <w:t>coordinating work with relevant person/s</w:t>
            </w:r>
          </w:p>
          <w:p w:rsidR="00000000" w:rsidRPr="000A42C4" w:rsidP="000A42C4">
            <w:pPr>
              <w:pStyle w:val="ListBullet"/>
            </w:pPr>
            <w:r w:rsidRPr="000A42C4">
              <w:t>determining live electrical testing/measurement requirements</w:t>
            </w:r>
          </w:p>
          <w:p w:rsidR="00000000" w:rsidRPr="000A42C4" w:rsidP="000A42C4">
            <w:pPr>
              <w:pStyle w:val="ListBullet"/>
            </w:pPr>
            <w:r w:rsidRPr="000A42C4">
              <w:t>identifying and accessing materials, tools, equipment and testing devices</w:t>
            </w:r>
          </w:p>
          <w:p w:rsidR="00000000" w:rsidRPr="000A42C4" w:rsidP="000A42C4">
            <w:pPr>
              <w:pStyle w:val="ListBullet"/>
            </w:pPr>
            <w:r w:rsidRPr="000A42C4">
              <w:t>installing and setting up a mainstream type, wind energ</w:t>
            </w:r>
            <w:r w:rsidRPr="000A42C4">
              <w:t>y conversion system (WECS) for LV application</w:t>
            </w:r>
          </w:p>
          <w:p w:rsidR="00000000" w:rsidRPr="000A42C4" w:rsidP="000A42C4">
            <w:pPr>
              <w:pStyle w:val="ListBullet"/>
            </w:pPr>
            <w:r w:rsidRPr="000A42C4">
              <w:t>transporting equipment.</w:t>
            </w:r>
          </w:p>
        </w:tc>
      </w:tr>
    </w:tbl>
    <w:p w:rsidR="00000000" w:rsidRPr="000A42C4" w:rsidP="000A42C4">
      <w:pPr>
        <w:pStyle w:val="NoPaddingFontSize1"/>
      </w:pPr>
    </w:p>
    <w:p w:rsidR="00000000" w:rsidRPr="000A42C4" w:rsidP="000A42C4">
      <w:pPr>
        <w:pStyle w:val="AllowPageBreak"/>
      </w:pPr>
    </w:p>
    <w:p w:rsidR="00000000" w:rsidRPr="000A42C4" w:rsidP="000A42C4">
      <w:pPr>
        <w:pStyle w:val="Heading1"/>
      </w:pPr>
      <w:bookmarkStart w:id="3" w:name="O_1103064"/>
      <w:bookmarkEnd w:id="3"/>
      <w:r w:rsidRPr="000A42C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2C4">
            <w:pPr>
              <w:pStyle w:val="BodyText"/>
              <w:rPr>
                <w:lang w:val="en-NZ"/>
              </w:rPr>
            </w:pPr>
            <w:r w:rsidRPr="000A42C4">
              <w:t>Evidence required to demonstrate competence in this unit must be relevant to and satisfy all of the requirements of the elements and performance c</w:t>
            </w:r>
            <w:r w:rsidRPr="000A42C4">
              <w:t>riteria and include knowledge of:</w:t>
            </w:r>
          </w:p>
        </w:tc>
      </w:tr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C4" w:rsidP="000A42C4">
            <w:pPr>
              <w:pStyle w:val="ListBullet"/>
            </w:pPr>
            <w:r w:rsidRPr="000A42C4">
              <w:t>installation and maintenance of LV WECS, including:</w:t>
            </w:r>
          </w:p>
          <w:p w:rsidR="00000000" w:rsidRPr="000A42C4" w:rsidP="000A42C4">
            <w:pPr>
              <w:pStyle w:val="ListBullet2"/>
            </w:pPr>
            <w:r w:rsidRPr="000A42C4">
              <w:t>installation of a LV WECS encompassing:</w:t>
            </w:r>
          </w:p>
          <w:p w:rsidR="00000000" w:rsidRPr="000A42C4" w:rsidP="000A42C4">
            <w:pPr>
              <w:pStyle w:val="ListBullet3"/>
            </w:pPr>
            <w:r w:rsidRPr="000A42C4">
              <w:t xml:space="preserve">selection of an appropriate tower for the installation of a WECS taking into consideration </w:t>
            </w:r>
            <w:r w:rsidRPr="000A42C4">
              <w:t>soil type and footings, local council approvals, appropriate codes, AS/NZS 1170.2 Structural design actions - Wind actions, and transport of tower</w:t>
            </w:r>
          </w:p>
          <w:p w:rsidR="00000000" w:rsidRPr="000A42C4" w:rsidP="000A42C4">
            <w:pPr>
              <w:pStyle w:val="ListBullet3"/>
            </w:pPr>
            <w:r w:rsidRPr="000A42C4">
              <w:t>appropriate methods and safety procedures for raising tower and WECS, lightning protecti</w:t>
            </w:r>
            <w:r w:rsidRPr="000A42C4">
              <w:t>on, tower maintenance, safety in the erection and maintenance of the tower and WECS, and site management to minimise environmental impacts</w:t>
            </w:r>
          </w:p>
          <w:p w:rsidR="00000000" w:rsidRPr="000A42C4" w:rsidP="000A42C4">
            <w:pPr>
              <w:pStyle w:val="ListBullet3"/>
            </w:pPr>
            <w:r w:rsidRPr="000A42C4">
              <w:t>appropriate electrical transmission voltage and cable size from the WECS to the load or energy storage</w:t>
            </w:r>
          </w:p>
          <w:p w:rsidR="00000000" w:rsidRPr="000A42C4" w:rsidP="000A42C4">
            <w:pPr>
              <w:pStyle w:val="ListBullet3"/>
            </w:pPr>
            <w:r w:rsidRPr="000A42C4">
              <w:t>appropriate in</w:t>
            </w:r>
            <w:r w:rsidRPr="000A42C4">
              <w:t>stallation, commissioning, fault diagnosis and rectification using appropriate safety procedures, including WECS power output, voltage regulation, and transmission cable voltage drop, manual and automatic furling, and shutdown</w:t>
            </w:r>
          </w:p>
          <w:p w:rsidR="00000000" w:rsidRPr="000A42C4" w:rsidP="000A42C4">
            <w:pPr>
              <w:pStyle w:val="ListBullet3"/>
            </w:pPr>
            <w:r w:rsidRPr="000A42C4">
              <w:t>schematic and wiring diagrams</w:t>
            </w:r>
            <w:r w:rsidRPr="000A42C4">
              <w:t xml:space="preserve"> for the WECS showing the general circuit layout and protection between the WECS, energy storage, inverter and loads according to AS/NZS 3000 Electrical installation (known as the Australian/New Zealand Wiring Rules), AS/NZS 4509 Stand-alone power systems,</w:t>
            </w:r>
            <w:r w:rsidRPr="000A42C4">
              <w:t xml:space="preserve"> and lightning protection requirements</w:t>
            </w:r>
          </w:p>
          <w:p w:rsidR="00000000" w:rsidRPr="000A42C4" w:rsidP="000A42C4">
            <w:pPr>
              <w:pStyle w:val="ListBullet3"/>
            </w:pPr>
            <w:r w:rsidRPr="000A42C4">
              <w:t xml:space="preserve">suitable layout for the location of energy storage to meet AS/NZS 3000 Electrical installation (known as the Australian/New Zealand Wiring Rules), AS 3011.1 Electrical installations - Secondary batteries installed in </w:t>
            </w:r>
            <w:r w:rsidRPr="000A42C4">
              <w:t>buildings - Vented cells and AS/NZS 4509 Stand-alone power systems</w:t>
            </w:r>
          </w:p>
          <w:p w:rsidR="00000000" w:rsidRPr="000A42C4" w:rsidP="000A42C4">
            <w:pPr>
              <w:pStyle w:val="ListBullet3"/>
            </w:pPr>
            <w:r w:rsidRPr="000A42C4">
              <w:t>safety procedures for the installation, commissioning, fault diagnosis of system components</w:t>
            </w:r>
          </w:p>
          <w:p w:rsidR="00000000" w:rsidRPr="000A42C4" w:rsidP="000A42C4">
            <w:pPr>
              <w:pStyle w:val="ListBullet2"/>
            </w:pPr>
            <w:r w:rsidRPr="000A42C4">
              <w:t>maintenance of a LV WECS encompassing:</w:t>
            </w:r>
          </w:p>
          <w:p w:rsidR="00000000" w:rsidRPr="000A42C4" w:rsidP="000A42C4">
            <w:pPr>
              <w:pStyle w:val="ListBullet3"/>
            </w:pPr>
            <w:r w:rsidRPr="000A42C4">
              <w:t>appropriate methods and safety procedures for tower main</w:t>
            </w:r>
            <w:r w:rsidRPr="000A42C4">
              <w:t>tenance</w:t>
            </w:r>
          </w:p>
          <w:p w:rsidR="00000000" w:rsidRPr="000A42C4" w:rsidP="000A42C4">
            <w:pPr>
              <w:pStyle w:val="ListBullet3"/>
            </w:pPr>
            <w:r w:rsidRPr="000A42C4">
              <w:t>appropriate maintenance methods and safety procedures, including WECS power output, voltage regulation, and transmission cable voltage-drop, manual and automatic furling, and shutdown</w:t>
            </w:r>
          </w:p>
          <w:p w:rsidR="00000000" w:rsidRPr="000A42C4" w:rsidP="000A42C4">
            <w:pPr>
              <w:pStyle w:val="ListBullet3"/>
            </w:pPr>
            <w:r w:rsidRPr="000A42C4">
              <w:t>safety procedures for the maintenance of system components</w:t>
            </w:r>
          </w:p>
          <w:p w:rsidR="00000000" w:rsidRPr="000A42C4" w:rsidP="000A42C4">
            <w:pPr>
              <w:pStyle w:val="ListBullet3"/>
            </w:pPr>
            <w:r w:rsidRPr="000A42C4">
              <w:t>maint</w:t>
            </w:r>
            <w:r w:rsidRPr="000A42C4">
              <w:t>enance schedule for the system</w:t>
            </w:r>
          </w:p>
          <w:p w:rsidR="00000000" w:rsidRPr="000A42C4" w:rsidP="000A42C4">
            <w:pPr>
              <w:pStyle w:val="ListBullet"/>
            </w:pPr>
            <w:r w:rsidRPr="000A42C4">
              <w:t>tower maintenance</w:t>
            </w:r>
          </w:p>
          <w:p w:rsidR="00000000" w:rsidRPr="000A42C4" w:rsidP="000A42C4">
            <w:pPr>
              <w:pStyle w:val="ListBullet"/>
            </w:pPr>
            <w:r w:rsidRPr="000A42C4">
              <w:t>relevant industry standards</w:t>
            </w:r>
          </w:p>
          <w:p w:rsidR="00000000" w:rsidRPr="000A42C4" w:rsidP="000A42C4">
            <w:pPr>
              <w:pStyle w:val="ListBullet"/>
            </w:pPr>
            <w:r w:rsidRPr="000A42C4">
              <w:t>relevant manufacturer specifications</w:t>
            </w:r>
          </w:p>
          <w:p w:rsidR="00000000" w:rsidRPr="000A42C4" w:rsidP="000A42C4">
            <w:pPr>
              <w:pStyle w:val="ListBullet"/>
            </w:pPr>
            <w:r w:rsidRPr="000A42C4">
              <w:t>relevant safe work method statements (SWMS)/job safety assessments or risk mitigation processes</w:t>
            </w:r>
          </w:p>
          <w:p w:rsidR="00000000" w:rsidRPr="000A42C4" w:rsidP="000A42C4">
            <w:pPr>
              <w:pStyle w:val="ListBullet"/>
            </w:pPr>
            <w:r w:rsidRPr="000A42C4">
              <w:t>relevant WHS/OHS legislated requirements</w:t>
            </w:r>
          </w:p>
          <w:p w:rsidR="00000000" w:rsidRPr="000A42C4" w:rsidP="000A42C4">
            <w:pPr>
              <w:pStyle w:val="ListBullet"/>
            </w:pPr>
            <w:r w:rsidRPr="000A42C4">
              <w:t>relevant workplace documentation</w:t>
            </w:r>
          </w:p>
          <w:p w:rsidR="00000000" w:rsidRPr="000A42C4" w:rsidP="000A42C4">
            <w:pPr>
              <w:pStyle w:val="ListBullet"/>
            </w:pPr>
            <w:r w:rsidRPr="000A42C4">
              <w:t>relevant workplace policies and procedures.</w:t>
            </w:r>
          </w:p>
        </w:tc>
      </w:tr>
    </w:tbl>
    <w:p w:rsidR="00000000" w:rsidRPr="000A42C4" w:rsidP="000A42C4">
      <w:pPr>
        <w:pStyle w:val="NoPaddingFontSize1"/>
      </w:pPr>
    </w:p>
    <w:p w:rsidR="00000000" w:rsidRPr="000A42C4" w:rsidP="000A42C4">
      <w:pPr>
        <w:pStyle w:val="AllowPageBreak"/>
      </w:pPr>
    </w:p>
    <w:p w:rsidR="00000000" w:rsidRPr="000A42C4" w:rsidP="000A42C4">
      <w:pPr>
        <w:pStyle w:val="Heading1"/>
      </w:pPr>
      <w:bookmarkStart w:id="4" w:name="O_1103065"/>
      <w:bookmarkEnd w:id="4"/>
      <w:r w:rsidRPr="000A42C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2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2C4" w:rsidP="000A42C4">
            <w:pPr>
              <w:pStyle w:val="BodyText"/>
            </w:pPr>
            <w:r w:rsidRPr="000A42C4">
              <w:t>Assessors must hold credentials specified within the Standards for Registered Training Organisations current at the time of assessment.</w:t>
            </w:r>
          </w:p>
          <w:p w:rsidR="00000000" w:rsidRPr="000A42C4" w:rsidP="000A42C4">
            <w:pPr>
              <w:pStyle w:val="BodyText"/>
            </w:pPr>
            <w:r w:rsidRPr="000A42C4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0A42C4">
              <w:t>time of assessment.</w:t>
            </w:r>
          </w:p>
          <w:p w:rsidR="00000000" w:rsidRPr="000A42C4" w:rsidP="000A42C4">
            <w:pPr>
              <w:pStyle w:val="BodyText"/>
            </w:pPr>
            <w:r w:rsidRPr="000A42C4">
              <w:t>Assessment must occur in suitable workplace op</w:t>
            </w:r>
            <w:r w:rsidRPr="000A42C4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0A42C4" w:rsidP="000A42C4">
            <w:pPr>
              <w:pStyle w:val="BodyText"/>
            </w:pPr>
            <w:r w:rsidRPr="000A42C4">
              <w:t xml:space="preserve">Assessment processes and techniques must be appropriate </w:t>
            </w:r>
            <w:r w:rsidRPr="000A42C4">
              <w:t>to the language, literacy and numeracy requirements of the work being performed and the needs of the candidate.</w:t>
            </w:r>
          </w:p>
          <w:p w:rsidR="00000000" w:rsidRPr="000A42C4" w:rsidP="000A42C4">
            <w:pPr>
              <w:pStyle w:val="BodyText"/>
            </w:pPr>
            <w:r w:rsidRPr="000A42C4">
              <w:t>Resources for assessment must include access to:</w:t>
            </w:r>
          </w:p>
          <w:p w:rsidR="00000000" w:rsidRPr="000A42C4" w:rsidP="000A42C4">
            <w:pPr>
              <w:pStyle w:val="ListBullet"/>
            </w:pPr>
            <w:r w:rsidRPr="000A42C4">
              <w:t>a range of relevant exercises, case studies and/or other simulations</w:t>
            </w:r>
          </w:p>
          <w:p w:rsidR="00000000" w:rsidRPr="000A42C4" w:rsidP="000A42C4">
            <w:pPr>
              <w:pStyle w:val="ListBullet"/>
            </w:pPr>
            <w:r w:rsidRPr="000A42C4">
              <w:t>relevant and appropriate materials, tools, equipment and personal protective equipment (PPE) currently used in industry</w:t>
            </w:r>
          </w:p>
          <w:p w:rsidR="00000000" w:rsidRPr="000A42C4" w:rsidP="000A42C4">
            <w:pPr>
              <w:pStyle w:val="ListBullet"/>
            </w:pPr>
            <w:r w:rsidRPr="000A42C4">
              <w:t>resources that reflect current industry practices in relation to installing WECS for LV applications</w:t>
            </w:r>
          </w:p>
          <w:p w:rsidR="00000000" w:rsidRPr="000A42C4" w:rsidP="000A42C4">
            <w:pPr>
              <w:pStyle w:val="ListBullet"/>
            </w:pPr>
            <w:r w:rsidRPr="000A42C4">
              <w:t>applicable documentation, including</w:t>
            </w:r>
            <w:r w:rsidRPr="000A42C4">
              <w:t xml:space="preserve"> workplace procedures, equipment specifications, regulations, codes of practice and operation manuals.</w:t>
            </w:r>
          </w:p>
        </w:tc>
      </w:tr>
    </w:tbl>
    <w:p w:rsidR="00000000" w:rsidRPr="000A42C4" w:rsidP="000A42C4">
      <w:pPr>
        <w:pStyle w:val="NoPaddingFontSize1"/>
      </w:pPr>
    </w:p>
    <w:p w:rsidR="00000000" w:rsidRPr="000A42C4" w:rsidP="000A42C4">
      <w:pPr>
        <w:pStyle w:val="AllowPageBreak"/>
      </w:pPr>
    </w:p>
    <w:p w:rsidR="00000000" w:rsidRPr="000A42C4" w:rsidP="000A42C4">
      <w:pPr>
        <w:pStyle w:val="Heading1"/>
      </w:pPr>
      <w:bookmarkStart w:id="5" w:name="O_1103068"/>
      <w:bookmarkEnd w:id="5"/>
      <w:r w:rsidRPr="000A42C4">
        <w:t>Links</w:t>
      </w:r>
    </w:p>
    <w:p w:rsidR="00000000" w:rsidRPr="000A42C4" w:rsidP="00FE5734">
      <w:pPr>
        <w:pStyle w:val="BodyText"/>
      </w:pPr>
      <w:r w:rsidRPr="000A42C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F34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A42C4" w:rsidP="000A42C4"/>
    <w:sectPr w:rsidSect="000A42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C4" w:rsidRPr="00FE5734" w:rsidP="00FE57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34" w:rsidP="000A42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734" w:rsidP="000A42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E5734" w:rsidP="000A42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2C4" w:rsidRPr="00FE5734" w:rsidP="00FE57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2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734" w:rsidRPr="002D2AF8" w:rsidP="000A42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UEERE0038 Install, configure and commission LV wind energy conversion systems rated up to 10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FE5734" w:rsidP="000A42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42A3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9E4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94AC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2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2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2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2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2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2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2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2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2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2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2C4"/>
  </w:style>
  <w:style w:type="character" w:customStyle="1" w:styleId="Heading1Char">
    <w:name w:val="Heading 1 Char"/>
    <w:basedOn w:val="DefaultParagraphFont"/>
    <w:link w:val="Heading1"/>
    <w:rsid w:val="000A42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2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2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2C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42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42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2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42C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2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2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2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2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2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2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2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2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2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2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2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2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2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2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2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2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2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2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2C4"/>
    <w:rPr>
      <w:b/>
      <w:spacing w:val="0"/>
    </w:rPr>
  </w:style>
  <w:style w:type="paragraph" w:customStyle="1" w:styleId="SuperTitle">
    <w:name w:val="SuperTitle"/>
    <w:basedOn w:val="Title"/>
    <w:rsid w:val="000A42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2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2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2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2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2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2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2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2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2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2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2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2C4"/>
    <w:rPr>
      <w:i/>
    </w:rPr>
  </w:style>
  <w:style w:type="paragraph" w:styleId="Caption">
    <w:name w:val="caption"/>
    <w:basedOn w:val="BodyText"/>
    <w:next w:val="Normal"/>
    <w:qFormat/>
    <w:rsid w:val="000A42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2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2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2C4"/>
  </w:style>
  <w:style w:type="paragraph" w:styleId="TableofFigures">
    <w:name w:val="table of figures"/>
    <w:basedOn w:val="Normal"/>
    <w:next w:val="Normal"/>
    <w:semiHidden/>
    <w:rsid w:val="000A42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2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42C4"/>
    <w:rPr>
      <w:rFonts w:ascii="Wingdings" w:hAnsi="Wingdings"/>
    </w:rPr>
  </w:style>
  <w:style w:type="paragraph" w:customStyle="1" w:styleId="TableHeading">
    <w:name w:val="Table Heading"/>
    <w:basedOn w:val="HeadingBase"/>
    <w:rsid w:val="000A42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2C4"/>
    <w:rPr>
      <w:color w:val="0033CC"/>
      <w:u w:val="none"/>
    </w:rPr>
  </w:style>
  <w:style w:type="paragraph" w:customStyle="1" w:styleId="BodyTextRight">
    <w:name w:val="Body Text Right"/>
    <w:basedOn w:val="BodyText"/>
    <w:rsid w:val="000A42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2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2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2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2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2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2C4"/>
    <w:rPr>
      <w:sz w:val="32"/>
    </w:rPr>
  </w:style>
  <w:style w:type="paragraph" w:customStyle="1" w:styleId="HeadingProcedure">
    <w:name w:val="Heading Procedure"/>
    <w:basedOn w:val="HeadingBase"/>
    <w:next w:val="Normal"/>
    <w:rsid w:val="000A42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2C4"/>
    <w:pPr>
      <w:spacing w:before="60" w:after="60"/>
    </w:pPr>
  </w:style>
  <w:style w:type="paragraph" w:styleId="ListContinue">
    <w:name w:val="List Continue"/>
    <w:basedOn w:val="List"/>
    <w:rsid w:val="000A42C4"/>
    <w:pPr>
      <w:ind w:firstLine="0"/>
    </w:pPr>
  </w:style>
  <w:style w:type="paragraph" w:customStyle="1" w:styleId="ListNote">
    <w:name w:val="List Note"/>
    <w:basedOn w:val="List"/>
    <w:rsid w:val="000A42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2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2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2C4"/>
    <w:rPr>
      <w:rFonts w:ascii="Courier New" w:hAnsi="Courier New"/>
    </w:rPr>
  </w:style>
  <w:style w:type="paragraph" w:customStyle="1" w:styleId="NoteBullet">
    <w:name w:val="Note Bullet"/>
    <w:basedOn w:val="Note"/>
    <w:rsid w:val="000A42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2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2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2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2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42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2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2C4"/>
    <w:rPr>
      <w:b/>
      <w:smallCaps/>
    </w:rPr>
  </w:style>
  <w:style w:type="paragraph" w:customStyle="1" w:styleId="TableListNumber">
    <w:name w:val="Table List Number"/>
    <w:basedOn w:val="ListNumber"/>
    <w:rsid w:val="000A42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2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2C4"/>
    <w:pPr>
      <w:numPr>
        <w:numId w:val="10"/>
      </w:numPr>
    </w:pPr>
  </w:style>
  <w:style w:type="paragraph" w:customStyle="1" w:styleId="ListAlpha2">
    <w:name w:val="List Alpha 2"/>
    <w:basedOn w:val="List2"/>
    <w:rsid w:val="000A42C4"/>
    <w:pPr>
      <w:numPr>
        <w:numId w:val="9"/>
      </w:numPr>
    </w:pPr>
  </w:style>
  <w:style w:type="paragraph" w:styleId="List2">
    <w:name w:val="List 2"/>
    <w:basedOn w:val="BodyText"/>
    <w:rsid w:val="000A42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2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2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2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42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42C4"/>
    <w:pPr>
      <w:numPr>
        <w:numId w:val="5"/>
      </w:numPr>
    </w:pPr>
  </w:style>
  <w:style w:type="paragraph" w:styleId="ListContinue2">
    <w:name w:val="List Continue 2"/>
    <w:basedOn w:val="List2"/>
    <w:rsid w:val="000A42C4"/>
    <w:pPr>
      <w:ind w:firstLine="0"/>
    </w:pPr>
  </w:style>
  <w:style w:type="paragraph" w:styleId="ListContinue3">
    <w:name w:val="List Continue 3"/>
    <w:basedOn w:val="List3"/>
    <w:rsid w:val="000A42C4"/>
    <w:pPr>
      <w:ind w:left="1021" w:firstLine="0"/>
    </w:pPr>
  </w:style>
  <w:style w:type="paragraph" w:styleId="ListContinue4">
    <w:name w:val="List Continue 4"/>
    <w:basedOn w:val="List4"/>
    <w:rsid w:val="000A42C4"/>
    <w:pPr>
      <w:ind w:firstLine="0"/>
    </w:pPr>
  </w:style>
  <w:style w:type="paragraph" w:styleId="ListContinue5">
    <w:name w:val="List Continue 5"/>
    <w:basedOn w:val="List5"/>
    <w:rsid w:val="000A42C4"/>
    <w:pPr>
      <w:ind w:firstLine="0"/>
    </w:pPr>
  </w:style>
  <w:style w:type="paragraph" w:styleId="ListNumber3">
    <w:name w:val="List Number 3"/>
    <w:basedOn w:val="List3"/>
    <w:rsid w:val="000A42C4"/>
    <w:pPr>
      <w:numPr>
        <w:numId w:val="6"/>
      </w:numPr>
    </w:pPr>
  </w:style>
  <w:style w:type="paragraph" w:styleId="ListNumber4">
    <w:name w:val="List Number 4"/>
    <w:basedOn w:val="List4"/>
    <w:rsid w:val="000A42C4"/>
    <w:pPr>
      <w:numPr>
        <w:numId w:val="7"/>
      </w:numPr>
    </w:pPr>
  </w:style>
  <w:style w:type="paragraph" w:styleId="ListNumber5">
    <w:name w:val="List Number 5"/>
    <w:basedOn w:val="List5"/>
    <w:rsid w:val="000A42C4"/>
    <w:pPr>
      <w:numPr>
        <w:numId w:val="8"/>
      </w:numPr>
    </w:pPr>
  </w:style>
  <w:style w:type="paragraph" w:styleId="BlockText">
    <w:name w:val="Block Text"/>
    <w:basedOn w:val="Normal"/>
    <w:rsid w:val="000A42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2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2C4"/>
    <w:rPr>
      <w:sz w:val="16"/>
      <w:vertAlign w:val="superscript"/>
    </w:rPr>
  </w:style>
  <w:style w:type="character" w:customStyle="1" w:styleId="Symbols">
    <w:name w:val="Symbols"/>
    <w:basedOn w:val="DefaultParagraphFont"/>
    <w:rsid w:val="000A42C4"/>
    <w:rPr>
      <w:rFonts w:ascii="Symbol" w:hAnsi="Symbol"/>
    </w:rPr>
  </w:style>
  <w:style w:type="character" w:customStyle="1" w:styleId="MenuOptions">
    <w:name w:val="Menu Options"/>
    <w:basedOn w:val="DefaultParagraphFont"/>
    <w:rsid w:val="000A42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2C4"/>
    <w:rPr>
      <w:b/>
    </w:rPr>
  </w:style>
  <w:style w:type="character" w:customStyle="1" w:styleId="Underlined">
    <w:name w:val="Underlined"/>
    <w:basedOn w:val="DefaultParagraphFont"/>
    <w:rsid w:val="000A42C4"/>
    <w:rPr>
      <w:u w:val="single"/>
    </w:rPr>
  </w:style>
  <w:style w:type="paragraph" w:customStyle="1" w:styleId="TableBodyTextRight">
    <w:name w:val="Table Body Text Right"/>
    <w:basedOn w:val="TableBodyText"/>
    <w:rsid w:val="000A42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2C4"/>
    <w:rPr>
      <w:sz w:val="18"/>
    </w:rPr>
  </w:style>
  <w:style w:type="paragraph" w:customStyle="1" w:styleId="BodySmallRight">
    <w:name w:val="Body Small Right"/>
    <w:basedOn w:val="BodyTextRight"/>
    <w:rsid w:val="000A42C4"/>
    <w:rPr>
      <w:sz w:val="18"/>
      <w:szCs w:val="18"/>
    </w:rPr>
  </w:style>
  <w:style w:type="paragraph" w:customStyle="1" w:styleId="MarginEdition">
    <w:name w:val="Margin Edition"/>
    <w:basedOn w:val="MarginNote"/>
    <w:rsid w:val="000A42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2C4"/>
    <w:rPr>
      <w:sz w:val="2"/>
      <w:szCs w:val="2"/>
    </w:rPr>
  </w:style>
  <w:style w:type="character" w:customStyle="1" w:styleId="Small">
    <w:name w:val="Small"/>
    <w:basedOn w:val="DefaultParagraphFont"/>
    <w:rsid w:val="000A42C4"/>
    <w:rPr>
      <w:sz w:val="16"/>
    </w:rPr>
  </w:style>
  <w:style w:type="paragraph" w:customStyle="1" w:styleId="WideTable">
    <w:name w:val="Wide Table"/>
    <w:basedOn w:val="Normal"/>
    <w:rsid w:val="000A42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2C4"/>
  </w:style>
  <w:style w:type="paragraph" w:styleId="Quote">
    <w:name w:val="Quote"/>
    <w:basedOn w:val="Heading1"/>
    <w:link w:val="QuoteChar"/>
    <w:qFormat/>
    <w:rsid w:val="000A42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2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2C4"/>
    <w:pPr>
      <w:pageBreakBefore/>
    </w:pPr>
  </w:style>
  <w:style w:type="paragraph" w:customStyle="1" w:styleId="Border">
    <w:name w:val="Border"/>
    <w:basedOn w:val="Normal"/>
    <w:qFormat/>
    <w:rsid w:val="000A42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2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2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2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2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2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2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2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2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2C4"/>
    <w:rPr>
      <w:u w:val="single"/>
    </w:rPr>
  </w:style>
  <w:style w:type="character" w:customStyle="1" w:styleId="BoldandItalics">
    <w:name w:val="Bold and Italics"/>
    <w:qFormat/>
    <w:rsid w:val="000A42C4"/>
    <w:rPr>
      <w:b/>
      <w:i/>
      <w:u w:val="none"/>
    </w:rPr>
  </w:style>
  <w:style w:type="paragraph" w:styleId="BalloonText">
    <w:name w:val="Balloon Text"/>
    <w:basedOn w:val="Normal"/>
    <w:link w:val="BalloonTextChar"/>
    <w:rsid w:val="000A42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2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2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2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2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2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2C4"/>
    <w:pPr>
      <w:spacing w:before="0" w:after="0"/>
    </w:pPr>
  </w:style>
  <w:style w:type="paragraph" w:customStyle="1" w:styleId="BodyTextBold">
    <w:name w:val="Body Text Bold"/>
    <w:basedOn w:val="BodyText"/>
    <w:qFormat/>
    <w:rsid w:val="000A42C4"/>
    <w:rPr>
      <w:b/>
    </w:rPr>
  </w:style>
  <w:style w:type="character" w:styleId="Hyperlink">
    <w:name w:val="Hyperlink"/>
    <w:basedOn w:val="DefaultParagraphFont"/>
    <w:uiPriority w:val="99"/>
    <w:unhideWhenUsed/>
    <w:rsid w:val="00FE57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5074</Characters>
  <Application>Microsoft Office Word</Application>
  <DocSecurity>0</DocSecurity>
  <Lines>112</Lines>
  <Paragraphs>67</Paragraphs>
  <ScaleCrop>false</ScaleCrop>
  <Company>Author-it Software Corporation Ltd.</Company>
  <LinksUpToDate>false</LinksUpToDate>
  <CharactersWithSpaces>5765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UEERE0038 Install, configure and commission LV wind energy conversion systems rated up to 10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2022-10-24T03:47:00Z</dcterms:created>
  <dcterms:modified xsi:type="dcterms:W3CDTF">2022-10-24T03:47:00Z</dcterms:modified>
</cp:coreProperties>
</file>