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4B7" w:rsidP="007B64B7">
      <w:pPr>
        <w:pStyle w:val="Title"/>
      </w:pPr>
      <w:r>
        <w:fldChar w:fldCharType="begin"/>
      </w:r>
      <w:r>
        <w:instrText xml:space="preserve"> TITLE   \* MERGEFORMAT </w:instrText>
      </w:r>
      <w:r>
        <w:fldChar w:fldCharType="separate"/>
      </w:r>
      <w:r>
        <w:t>Assessment Requirements for UEERE0033 Develop engineering solutions to renewable energy (RE) problems</w:t>
      </w:r>
      <w:r>
        <w:fldChar w:fldCharType="end"/>
      </w:r>
    </w:p>
    <w:p w:rsidR="007B64B7" w:rsidP="007B64B7">
      <w:pPr>
        <w:pStyle w:val="Version"/>
        <w:sectPr w:rsidSect="001F37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751" w:rsidP="001F3751">
      <w:pPr>
        <w:pStyle w:val="SuperHeading"/>
      </w:pPr>
      <w:r w:rsidRPr="001F3751">
        <w:t>Assessment Requirements for UEERE0033 Develop engineering solutions to renewable energy (RE) problems</w:t>
      </w:r>
    </w:p>
    <w:p w:rsidR="00000000" w:rsidRPr="001F3751" w:rsidP="001F3751">
      <w:pPr>
        <w:pStyle w:val="Heading1"/>
      </w:pPr>
      <w:bookmarkStart w:id="1" w:name="O_1102986"/>
      <w:bookmarkEnd w:id="1"/>
      <w:r w:rsidRPr="001F3751">
        <w:t>Modification History</w:t>
      </w:r>
    </w:p>
    <w:tbl>
      <w:tblPr>
        <w:tblW w:w="9497" w:type="dxa"/>
        <w:tblLayout w:type="fixed"/>
        <w:tblCellMar>
          <w:left w:w="62" w:type="dxa"/>
          <w:right w:w="62" w:type="dxa"/>
        </w:tblCellMar>
        <w:tblLook w:val="0000"/>
      </w:tblPr>
      <w:tblGrid>
        <w:gridCol w:w="9497"/>
      </w:tblGrid>
      <w:tr w:rsidTr="001F37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751" w:rsidP="001F3751">
            <w:pPr>
              <w:pStyle w:val="BodyText"/>
            </w:pPr>
            <w:r w:rsidRPr="001F3751">
              <w:t>Release 1. This is the first release of this unit of competency in the UEE Electrotechnology Training Package.</w:t>
            </w:r>
          </w:p>
        </w:tc>
      </w:tr>
    </w:tbl>
    <w:p w:rsidR="00000000" w:rsidRPr="001F3751" w:rsidP="001F3751">
      <w:pPr>
        <w:pStyle w:val="NoPaddingFontSize1"/>
      </w:pPr>
    </w:p>
    <w:p w:rsidR="00000000" w:rsidRPr="001F3751" w:rsidP="001F3751">
      <w:pPr>
        <w:pStyle w:val="AllowPageBreak"/>
      </w:pPr>
    </w:p>
    <w:p w:rsidR="00000000" w:rsidRPr="001F3751" w:rsidP="001F3751">
      <w:pPr>
        <w:pStyle w:val="Heading1"/>
      </w:pPr>
      <w:bookmarkStart w:id="2" w:name="O_1102987"/>
      <w:bookmarkEnd w:id="2"/>
      <w:r w:rsidRPr="001F3751">
        <w:t>Performance Evidence</w:t>
      </w:r>
    </w:p>
    <w:tbl>
      <w:tblPr>
        <w:tblW w:w="9497" w:type="dxa"/>
        <w:tblLayout w:type="fixed"/>
        <w:tblCellMar>
          <w:left w:w="62" w:type="dxa"/>
          <w:right w:w="62" w:type="dxa"/>
        </w:tblCellMar>
        <w:tblLook w:val="0000"/>
      </w:tblPr>
      <w:tblGrid>
        <w:gridCol w:w="9497"/>
      </w:tblGrid>
      <w:tr w:rsidTr="001F37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3751">
            <w:pPr>
              <w:pStyle w:val="BodyText"/>
              <w:rPr>
                <w:lang w:val="en-NZ"/>
              </w:rPr>
            </w:pPr>
            <w:r w:rsidRPr="001F3751">
              <w:t>Evidence required to demonstrate competence in this unit must be relevant to and satisfy all of the requirements of the elements, performance criteria and range of conditions on at least one occasion and include:</w:t>
            </w:r>
          </w:p>
        </w:tc>
      </w:tr>
      <w:tr w:rsidTr="001F37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751" w:rsidP="001F3751">
            <w:pPr>
              <w:pStyle w:val="ListBullet"/>
            </w:pPr>
            <w:r w:rsidRPr="001F3751">
              <w:t>un</w:t>
            </w:r>
            <w:r w:rsidRPr="001F3751">
              <w:t>derstanding the extent of the renewable energy (RE) problem</w:t>
            </w:r>
          </w:p>
          <w:p w:rsidR="00000000" w:rsidRPr="001F3751" w:rsidP="001F3751">
            <w:pPr>
              <w:pStyle w:val="ListBullet"/>
            </w:pPr>
            <w:r w:rsidRPr="001F3751">
              <w:t>forming effective strategies for solution development and implementation</w:t>
            </w:r>
          </w:p>
          <w:p w:rsidR="00000000" w:rsidRPr="001F3751" w:rsidP="001F3751">
            <w:pPr>
              <w:pStyle w:val="ListBullet"/>
            </w:pPr>
            <w:r w:rsidRPr="001F3751">
              <w:t>obtaining RE system/component parameters, specifications and performance requirements appropriate to each problem</w:t>
            </w:r>
          </w:p>
          <w:p w:rsidR="00000000" w:rsidRPr="001F3751" w:rsidP="001F3751">
            <w:pPr>
              <w:pStyle w:val="ListBullet"/>
            </w:pPr>
            <w:r w:rsidRPr="001F3751">
              <w:t>testing a</w:t>
            </w:r>
            <w:r w:rsidRPr="001F3751">
              <w:t>nd solutions to RE problems</w:t>
            </w:r>
          </w:p>
          <w:p w:rsidR="00000000" w:rsidRPr="001F3751" w:rsidP="001F3751">
            <w:pPr>
              <w:pStyle w:val="ListBullet"/>
            </w:pPr>
            <w:r w:rsidRPr="001F3751">
              <w:t>documenting instruction for implementation of solutions that incorporate risk control measures to be followed</w:t>
            </w:r>
          </w:p>
          <w:p w:rsidR="00000000" w:rsidRPr="001F3751" w:rsidP="001F3751">
            <w:pPr>
              <w:pStyle w:val="ListBullet"/>
            </w:pPr>
            <w:r w:rsidRPr="001F3751">
              <w:t>documenting justification of solutions implemented in accordance with professional standards</w:t>
            </w:r>
          </w:p>
          <w:p w:rsidR="00000000" w:rsidRPr="001F3751" w:rsidP="001F3751">
            <w:pPr>
              <w:pStyle w:val="ListBullet"/>
            </w:pPr>
            <w:r w:rsidRPr="001F3751">
              <w:t>dealing with unplanned events</w:t>
            </w:r>
          </w:p>
          <w:p w:rsidR="00000000" w:rsidRPr="001F3751" w:rsidP="001F3751">
            <w:pPr>
              <w:pStyle w:val="ListBullet"/>
            </w:pPr>
            <w:r w:rsidRPr="001F3751">
              <w:t>applying problem-solving techniques</w:t>
            </w:r>
          </w:p>
          <w:p w:rsidR="00000000" w:rsidRPr="001F3751" w:rsidP="001F3751">
            <w:pPr>
              <w:pStyle w:val="ListBullet"/>
            </w:pPr>
            <w:r w:rsidRPr="001F3751">
              <w:t>applying relevant work health and safety (WHS)/occupational health and safety (OHS) requirements, including:</w:t>
            </w:r>
          </w:p>
          <w:p w:rsidR="00000000" w:rsidRPr="001F3751" w:rsidP="001F3751">
            <w:pPr>
              <w:pStyle w:val="ListBullet2"/>
            </w:pPr>
            <w:r w:rsidRPr="001F3751">
              <w:t>implementing workplace procedures and practices</w:t>
            </w:r>
          </w:p>
          <w:p w:rsidR="00000000" w:rsidRPr="001F3751" w:rsidP="001F3751">
            <w:pPr>
              <w:pStyle w:val="ListBullet"/>
            </w:pPr>
            <w:r w:rsidRPr="001F3751">
              <w:t>applying sustainable energy pri</w:t>
            </w:r>
            <w:r w:rsidRPr="001F3751">
              <w:t>nciples and practices</w:t>
            </w:r>
          </w:p>
          <w:p w:rsidR="00000000" w:rsidRPr="001F3751" w:rsidP="001F3751">
            <w:pPr>
              <w:pStyle w:val="ListBullet"/>
            </w:pPr>
            <w:r w:rsidRPr="001F3751">
              <w:t>preparing to develop engineering solution for RE problems.</w:t>
            </w:r>
          </w:p>
        </w:tc>
      </w:tr>
    </w:tbl>
    <w:p w:rsidR="00000000" w:rsidRPr="001F3751" w:rsidP="001F3751">
      <w:pPr>
        <w:pStyle w:val="NoPaddingFontSize1"/>
      </w:pPr>
    </w:p>
    <w:p w:rsidR="00000000" w:rsidRPr="001F3751" w:rsidP="001F3751">
      <w:pPr>
        <w:pStyle w:val="AllowPageBreak"/>
      </w:pPr>
    </w:p>
    <w:p w:rsidR="00000000" w:rsidRPr="001F3751" w:rsidP="001F3751">
      <w:pPr>
        <w:pStyle w:val="Heading1"/>
      </w:pPr>
      <w:bookmarkStart w:id="3" w:name="O_1102988"/>
      <w:bookmarkEnd w:id="3"/>
      <w:r w:rsidRPr="001F3751">
        <w:t>Knowledge Evidence</w:t>
      </w:r>
    </w:p>
    <w:tbl>
      <w:tblPr>
        <w:tblW w:w="9540" w:type="dxa"/>
        <w:tblLayout w:type="fixed"/>
        <w:tblCellMar>
          <w:left w:w="62" w:type="dxa"/>
          <w:right w:w="62" w:type="dxa"/>
        </w:tblCellMar>
        <w:tblLook w:val="0000"/>
      </w:tblPr>
      <w:tblGrid>
        <w:gridCol w:w="9540"/>
      </w:tblGrid>
      <w:tr w:rsidTr="007B64B7">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1F3751">
            <w:pPr>
              <w:pStyle w:val="BodyText"/>
              <w:rPr>
                <w:lang w:val="en-NZ"/>
              </w:rPr>
            </w:pPr>
            <w:r w:rsidRPr="001F3751">
              <w:t>Evidence required to demonstrate competence in this unit must be relevant to and satisfy all of the requirements of the elements, performance criteria and range of conditions and include knowledge of:</w:t>
            </w:r>
          </w:p>
        </w:tc>
      </w:tr>
      <w:tr w:rsidTr="007B64B7">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1F3751" w:rsidP="001F3751">
            <w:pPr>
              <w:pStyle w:val="BodyText"/>
            </w:pPr>
            <w:r w:rsidRPr="001F3751">
              <w:t>RE engineering, including:</w:t>
            </w:r>
          </w:p>
          <w:p w:rsidR="00000000" w:rsidRPr="001F3751" w:rsidP="001F3751">
            <w:pPr>
              <w:pStyle w:val="ListBullet2"/>
            </w:pPr>
            <w:r w:rsidRPr="001F3751">
              <w:t>energy and humanity encomp</w:t>
            </w:r>
            <w:r w:rsidRPr="001F3751">
              <w:t>assing:</w:t>
            </w:r>
          </w:p>
          <w:p w:rsidR="00000000" w:rsidRPr="001F3751" w:rsidP="001F3751">
            <w:pPr>
              <w:pStyle w:val="ListBullet3"/>
            </w:pPr>
            <w:r w:rsidRPr="001F3751">
              <w:t>need for energy and relationship between energy usage and standard of living</w:t>
            </w:r>
          </w:p>
          <w:p w:rsidR="00000000" w:rsidRPr="001F3751" w:rsidP="001F3751">
            <w:pPr>
              <w:pStyle w:val="ListBullet3"/>
            </w:pPr>
            <w:r w:rsidRPr="001F3751">
              <w:t>energy conversion - typical processes and efficiencies</w:t>
            </w:r>
          </w:p>
          <w:p w:rsidR="00000000" w:rsidRPr="001F3751" w:rsidP="001F3751">
            <w:pPr>
              <w:pStyle w:val="ListBullet3"/>
            </w:pPr>
            <w:r w:rsidRPr="001F3751">
              <w:t>sources of energy</w:t>
            </w:r>
          </w:p>
          <w:p w:rsidR="00000000" w:rsidRPr="001F3751" w:rsidP="001F3751">
            <w:pPr>
              <w:pStyle w:val="ListBullet3"/>
            </w:pPr>
            <w:r w:rsidRPr="001F3751">
              <w:t>solar energy - direct heating, photosynthesis, solar cells, power tower, hydrogen for solar energy, ocean thermal energy collector, solar ponds, wind and wave energy, and hydro-electric power</w:t>
            </w:r>
          </w:p>
          <w:p w:rsidR="00000000" w:rsidRPr="001F3751" w:rsidP="001F3751">
            <w:pPr>
              <w:pStyle w:val="ListBullet3"/>
            </w:pPr>
            <w:r w:rsidRPr="001F3751">
              <w:t>geothermal energy</w:t>
            </w:r>
          </w:p>
          <w:p w:rsidR="00000000" w:rsidRPr="001F3751" w:rsidP="001F3751">
            <w:pPr>
              <w:pStyle w:val="ListBullet3"/>
            </w:pPr>
            <w:r w:rsidRPr="001F3751">
              <w:t>tidal energy</w:t>
            </w:r>
          </w:p>
          <w:p w:rsidR="00000000" w:rsidRPr="001F3751" w:rsidP="001F3751">
            <w:pPr>
              <w:pStyle w:val="ListBullet3"/>
            </w:pPr>
            <w:r w:rsidRPr="001F3751">
              <w:t>nuclear energy - fission and fusi</w:t>
            </w:r>
            <w:r w:rsidRPr="001F3751">
              <w:t>on, burner and breeder reactors</w:t>
            </w:r>
          </w:p>
          <w:p w:rsidR="00000000" w:rsidRPr="001F3751" w:rsidP="001F3751">
            <w:pPr>
              <w:pStyle w:val="ListBullet3"/>
            </w:pPr>
            <w:r w:rsidRPr="001F3751">
              <w:t>stored fuel reserves</w:t>
            </w:r>
          </w:p>
          <w:p w:rsidR="00000000" w:rsidRPr="001F3751" w:rsidP="001F3751">
            <w:pPr>
              <w:pStyle w:val="ListBullet3"/>
            </w:pPr>
            <w:r w:rsidRPr="001F3751">
              <w:t>fuel conservation - reduction in wastage, recycling, greater usage efficiency and use of waste heat</w:t>
            </w:r>
          </w:p>
          <w:p w:rsidR="00000000" w:rsidRPr="001F3751" w:rsidP="001F3751">
            <w:pPr>
              <w:pStyle w:val="ListBullet3"/>
            </w:pPr>
            <w:r w:rsidRPr="001F3751">
              <w:t>thermodynamics</w:t>
            </w:r>
          </w:p>
          <w:p w:rsidR="00000000" w:rsidRPr="001F3751" w:rsidP="001F3751">
            <w:pPr>
              <w:pStyle w:val="ListBullet2"/>
            </w:pPr>
            <w:r w:rsidRPr="001F3751">
              <w:t>basic concepts encompassing:</w:t>
            </w:r>
          </w:p>
          <w:p w:rsidR="00000000" w:rsidRPr="001F3751" w:rsidP="001F3751">
            <w:pPr>
              <w:pStyle w:val="ListBullet3"/>
            </w:pPr>
            <w:r w:rsidRPr="001F3751">
              <w:t>nature of matter - atoms, molecules, inter-molecular forc</w:t>
            </w:r>
            <w:r w:rsidRPr="001F3751">
              <w:t>es, molecular motion and states of matter</w:t>
            </w:r>
          </w:p>
          <w:p w:rsidR="00000000" w:rsidRPr="001F3751" w:rsidP="001F3751">
            <w:pPr>
              <w:pStyle w:val="ListBullet3"/>
            </w:pPr>
            <w:r w:rsidRPr="001F3751">
              <w:t>mass and conservation of mass principle</w:t>
            </w:r>
          </w:p>
          <w:p w:rsidR="00000000" w:rsidRPr="001F3751" w:rsidP="001F3751">
            <w:pPr>
              <w:pStyle w:val="ListBullet3"/>
            </w:pPr>
            <w:r w:rsidRPr="001F3751">
              <w:t>volume, density, specific volume and relative density</w:t>
            </w:r>
          </w:p>
          <w:p w:rsidR="00000000" w:rsidRPr="001F3751" w:rsidP="001F3751">
            <w:pPr>
              <w:pStyle w:val="ListBullet3"/>
            </w:pPr>
            <w:r w:rsidRPr="001F3751">
              <w:t>force, weight and pressure (atmospheric, gauge and absolute)</w:t>
            </w:r>
          </w:p>
          <w:p w:rsidR="00000000" w:rsidRPr="001F3751" w:rsidP="001F3751">
            <w:pPr>
              <w:pStyle w:val="ListBullet3"/>
            </w:pPr>
            <w:r w:rsidRPr="001F3751">
              <w:t>temperature (Celsius and Kelvin)</w:t>
            </w:r>
          </w:p>
          <w:p w:rsidR="00000000" w:rsidRPr="001F3751" w:rsidP="001F3751">
            <w:pPr>
              <w:pStyle w:val="ListBullet3"/>
            </w:pPr>
            <w:r w:rsidRPr="001F3751">
              <w:t>systems and black box analysis</w:t>
            </w:r>
          </w:p>
          <w:p w:rsidR="00000000" w:rsidRPr="001F3751" w:rsidP="001F3751">
            <w:pPr>
              <w:pStyle w:val="ListBullet3"/>
            </w:pPr>
            <w:r w:rsidRPr="001F3751">
              <w:t>reciprocating piston and cylinder mechanism – pressure ratio and compression ratio</w:t>
            </w:r>
          </w:p>
          <w:p w:rsidR="00000000" w:rsidRPr="001F3751" w:rsidP="001F3751">
            <w:pPr>
              <w:pStyle w:val="ListBullet2"/>
            </w:pPr>
            <w:r w:rsidRPr="001F3751">
              <w:t>energy encompassing:</w:t>
            </w:r>
          </w:p>
          <w:p w:rsidR="00000000" w:rsidRPr="001F3751" w:rsidP="001F3751">
            <w:pPr>
              <w:pStyle w:val="ListBullet3"/>
            </w:pPr>
            <w:r w:rsidRPr="001F3751">
              <w:t>definition and principles</w:t>
            </w:r>
          </w:p>
          <w:p w:rsidR="00000000" w:rsidRPr="001F3751" w:rsidP="001F3751">
            <w:pPr>
              <w:pStyle w:val="ListBullet3"/>
            </w:pPr>
            <w:r w:rsidRPr="001F3751">
              <w:t>potential energy</w:t>
            </w:r>
          </w:p>
          <w:p w:rsidR="00000000" w:rsidRPr="001F3751" w:rsidP="001F3751">
            <w:pPr>
              <w:pStyle w:val="ListBullet3"/>
            </w:pPr>
            <w:r w:rsidRPr="001F3751">
              <w:t>kinetic energy</w:t>
            </w:r>
          </w:p>
          <w:p w:rsidR="00000000" w:rsidRPr="001F3751" w:rsidP="001F3751">
            <w:pPr>
              <w:pStyle w:val="ListBullet3"/>
            </w:pPr>
            <w:r w:rsidRPr="001F3751">
              <w:t>work (linear and rotational), constant and variable force, re</w:t>
            </w:r>
            <w:r w:rsidRPr="001F3751">
              <w:t>lationship to pressure and volume change</w:t>
            </w:r>
          </w:p>
          <w:p w:rsidR="00000000" w:rsidRPr="001F3751" w:rsidP="001F3751">
            <w:pPr>
              <w:pStyle w:val="ListBullet3"/>
            </w:pPr>
            <w:r w:rsidRPr="001F3751">
              <w:t>power (linear and rotational)</w:t>
            </w:r>
          </w:p>
          <w:p w:rsidR="00000000" w:rsidRPr="001F3751" w:rsidP="001F3751">
            <w:pPr>
              <w:pStyle w:val="ListBullet3"/>
            </w:pPr>
            <w:r w:rsidRPr="001F3751">
              <w:t>sensible heat - specific heat capacity (constant pressure and constant volume)</w:t>
            </w:r>
          </w:p>
          <w:p w:rsidR="00000000" w:rsidRPr="001F3751" w:rsidP="001F3751">
            <w:pPr>
              <w:pStyle w:val="ListBullet3"/>
            </w:pPr>
            <w:r w:rsidRPr="001F3751">
              <w:t>latent heat</w:t>
            </w:r>
          </w:p>
          <w:p w:rsidR="00000000" w:rsidRPr="001F3751" w:rsidP="001F3751">
            <w:pPr>
              <w:pStyle w:val="ListBullet3"/>
            </w:pPr>
            <w:r w:rsidRPr="001F3751">
              <w:t>chemical energy - energy content of a fuel</w:t>
            </w:r>
          </w:p>
          <w:p w:rsidR="00000000" w:rsidRPr="001F3751" w:rsidP="001F3751">
            <w:pPr>
              <w:pStyle w:val="ListBullet3"/>
            </w:pPr>
            <w:r w:rsidRPr="001F3751">
              <w:t>internal energy</w:t>
            </w:r>
          </w:p>
          <w:p w:rsidR="00000000" w:rsidRPr="001F3751" w:rsidP="001F3751">
            <w:pPr>
              <w:pStyle w:val="ListBullet2"/>
            </w:pPr>
            <w:r w:rsidRPr="001F3751">
              <w:t>energy transfer in closed and open systems encompassing:</w:t>
            </w:r>
          </w:p>
          <w:p w:rsidR="00000000" w:rsidRPr="001F3751" w:rsidP="001F3751">
            <w:pPr>
              <w:pStyle w:val="ListBullet3"/>
            </w:pPr>
            <w:r w:rsidRPr="001F3751">
              <w:t>definition of a closed system</w:t>
            </w:r>
          </w:p>
          <w:p w:rsidR="00000000" w:rsidRPr="001F3751" w:rsidP="001F3751">
            <w:pPr>
              <w:pStyle w:val="ListBullet3"/>
            </w:pPr>
            <w:r w:rsidRPr="001F3751">
              <w:t>calorimetry as an example of a closed system (with or without phase change)</w:t>
            </w:r>
          </w:p>
          <w:p w:rsidR="00000000" w:rsidRPr="001F3751" w:rsidP="001F3751">
            <w:pPr>
              <w:pStyle w:val="ListBullet3"/>
            </w:pPr>
            <w:r w:rsidRPr="001F3751">
              <w:t>thermodynamics 1</w:t>
            </w:r>
          </w:p>
          <w:p w:rsidR="00000000" w:rsidRPr="001F3751" w:rsidP="001F3751">
            <w:pPr>
              <w:pStyle w:val="ListBullet3"/>
            </w:pPr>
            <w:r w:rsidRPr="001F3751">
              <w:t>non-flow energy equation - typical applications such as stirring with simul</w:t>
            </w:r>
            <w:r w:rsidRPr="001F3751">
              <w:t>taneous heating or cooling</w:t>
            </w:r>
          </w:p>
          <w:p w:rsidR="00000000" w:rsidRPr="001F3751" w:rsidP="001F3751">
            <w:pPr>
              <w:pStyle w:val="ListBullet3"/>
            </w:pPr>
            <w:r w:rsidRPr="001F3751">
              <w:t>definition of an open system</w:t>
            </w:r>
          </w:p>
          <w:p w:rsidR="00000000" w:rsidRPr="001F3751" w:rsidP="001F3751">
            <w:pPr>
              <w:pStyle w:val="ListBullet3"/>
            </w:pPr>
            <w:r w:rsidRPr="001F3751">
              <w:t>mass and volume flow rate and continuity equation</w:t>
            </w:r>
          </w:p>
          <w:p w:rsidR="00000000" w:rsidRPr="001F3751" w:rsidP="001F3751">
            <w:pPr>
              <w:pStyle w:val="ListBullet3"/>
            </w:pPr>
            <w:r w:rsidRPr="001F3751">
              <w:t>steady flow energy equation (negligible change in kinetic or potential energy) leading to the concept of enthalpy - typical applications such as turbi</w:t>
            </w:r>
            <w:r w:rsidRPr="001F3751">
              <w:t>nes, compressors, boilers and heat exchangers</w:t>
            </w:r>
          </w:p>
          <w:p w:rsidR="00000000" w:rsidRPr="001F3751" w:rsidP="001F3751">
            <w:pPr>
              <w:pStyle w:val="ListBullet2"/>
            </w:pPr>
            <w:r w:rsidRPr="001F3751">
              <w:t>gases encompassing:</w:t>
            </w:r>
          </w:p>
          <w:p w:rsidR="00000000" w:rsidRPr="001F3751" w:rsidP="001F3751">
            <w:pPr>
              <w:pStyle w:val="ListBullet3"/>
            </w:pPr>
            <w:r w:rsidRPr="001F3751">
              <w:t>definition of a perfect or ideal gas in terms of the molecular model</w:t>
            </w:r>
          </w:p>
          <w:p w:rsidR="00000000" w:rsidRPr="001F3751" w:rsidP="001F3751">
            <w:pPr>
              <w:pStyle w:val="ListBullet3"/>
            </w:pPr>
            <w:r w:rsidRPr="001F3751">
              <w:t>general gas equation</w:t>
            </w:r>
          </w:p>
          <w:p w:rsidR="00000000" w:rsidRPr="001F3751" w:rsidP="001F3751">
            <w:pPr>
              <w:pStyle w:val="ListBullet3"/>
            </w:pPr>
            <w:r w:rsidRPr="001F3751">
              <w:t>characteristic gas equation (equation of state)</w:t>
            </w:r>
          </w:p>
          <w:p w:rsidR="00000000" w:rsidRPr="001F3751" w:rsidP="001F3751">
            <w:pPr>
              <w:pStyle w:val="ListBullet3"/>
            </w:pPr>
            <w:r w:rsidRPr="001F3751">
              <w:t>constant pressure process</w:t>
            </w:r>
          </w:p>
          <w:p w:rsidR="00000000" w:rsidRPr="001F3751" w:rsidP="001F3751">
            <w:pPr>
              <w:pStyle w:val="ListBullet3"/>
            </w:pPr>
            <w:r w:rsidRPr="001F3751">
              <w:t>constant volume process</w:t>
            </w:r>
          </w:p>
          <w:p w:rsidR="00000000" w:rsidRPr="001F3751" w:rsidP="001F3751">
            <w:pPr>
              <w:pStyle w:val="ListBullet3"/>
            </w:pPr>
            <w:r w:rsidRPr="001F3751">
              <w:t>isothermal process</w:t>
            </w:r>
          </w:p>
          <w:p w:rsidR="00000000" w:rsidRPr="001F3751" w:rsidP="001F3751">
            <w:pPr>
              <w:pStyle w:val="ListBullet3"/>
            </w:pPr>
            <w:r w:rsidRPr="001F3751">
              <w:t>polytropic process</w:t>
            </w:r>
          </w:p>
          <w:p w:rsidR="00000000" w:rsidRPr="001F3751" w:rsidP="001F3751">
            <w:pPr>
              <w:pStyle w:val="ListBullet3"/>
            </w:pPr>
            <w:r w:rsidRPr="001F3751">
              <w:t>adiabatic process</w:t>
            </w:r>
          </w:p>
          <w:p w:rsidR="00000000" w:rsidRPr="001F3751" w:rsidP="001F3751">
            <w:pPr>
              <w:pStyle w:val="ListBullet2"/>
            </w:pPr>
            <w:r w:rsidRPr="001F3751">
              <w:t>heat engines encompassing:</w:t>
            </w:r>
          </w:p>
          <w:p w:rsidR="00000000" w:rsidRPr="001F3751" w:rsidP="001F3751">
            <w:pPr>
              <w:pStyle w:val="ListBullet3"/>
            </w:pPr>
            <w:r w:rsidRPr="001F3751">
              <w:t>definition of a heat engine</w:t>
            </w:r>
          </w:p>
          <w:p w:rsidR="00000000" w:rsidRPr="001F3751" w:rsidP="001F3751">
            <w:pPr>
              <w:pStyle w:val="ListBullet3"/>
            </w:pPr>
            <w:r w:rsidRPr="001F3751">
              <w:t>essentials of a heat engine - heat source, heat sink, working substance, mechanical power output and working cycle</w:t>
            </w:r>
          </w:p>
          <w:p w:rsidR="00000000" w:rsidRPr="001F3751" w:rsidP="001F3751">
            <w:pPr>
              <w:pStyle w:val="ListBullet3"/>
            </w:pPr>
            <w:r w:rsidRPr="001F3751">
              <w:t>energy balance for a heat en</w:t>
            </w:r>
            <w:r w:rsidRPr="001F3751">
              <w:t>gine (as a black box) and efficiency</w:t>
            </w:r>
          </w:p>
          <w:p w:rsidR="00000000" w:rsidRPr="001F3751" w:rsidP="001F3751">
            <w:pPr>
              <w:pStyle w:val="ListBullet3"/>
            </w:pPr>
            <w:r w:rsidRPr="001F3751">
              <w:t>maximum possible efficiency (Carnot efficiency)</w:t>
            </w:r>
          </w:p>
          <w:p w:rsidR="00000000" w:rsidRPr="001F3751" w:rsidP="001F3751">
            <w:pPr>
              <w:pStyle w:val="ListBullet3"/>
            </w:pPr>
            <w:r w:rsidRPr="001F3751">
              <w:t>types of heat engines according to working substance, heat source, mechanical arrangement and working cycle</w:t>
            </w:r>
          </w:p>
          <w:p w:rsidR="00000000" w:rsidRPr="001F3751" w:rsidP="001F3751">
            <w:pPr>
              <w:pStyle w:val="ListBullet3"/>
            </w:pPr>
            <w:r w:rsidRPr="001F3751">
              <w:t>typical practical cycles - Stirling, Otto, diesel, dual, two-st</w:t>
            </w:r>
            <w:r w:rsidRPr="001F3751">
              <w:t>roke (spark and compression ignition) and Joule cycle</w:t>
            </w:r>
          </w:p>
          <w:p w:rsidR="00000000" w:rsidRPr="001F3751" w:rsidP="001F3751">
            <w:pPr>
              <w:pStyle w:val="ListBullet3"/>
            </w:pPr>
            <w:r w:rsidRPr="001F3751">
              <w:t>thermodynamics 1</w:t>
            </w:r>
          </w:p>
          <w:p w:rsidR="00000000" w:rsidRPr="001F3751" w:rsidP="001F3751">
            <w:pPr>
              <w:pStyle w:val="ListBullet2"/>
            </w:pPr>
            <w:r w:rsidRPr="001F3751">
              <w:t>heat engine performance encompassing:</w:t>
            </w:r>
          </w:p>
          <w:p w:rsidR="00000000" w:rsidRPr="001F3751" w:rsidP="001F3751">
            <w:pPr>
              <w:pStyle w:val="ListBullet3"/>
            </w:pPr>
            <w:r w:rsidRPr="001F3751">
              <w:t>measurement of torque and power output - rope brake, shoe brake, hydraulic dynamometer and electric dynamometer</w:t>
            </w:r>
          </w:p>
          <w:p w:rsidR="00000000" w:rsidRPr="001F3751" w:rsidP="001F3751">
            <w:pPr>
              <w:pStyle w:val="ListBullet3"/>
            </w:pPr>
            <w:r w:rsidRPr="001F3751">
              <w:t>heat supply rate, efficiency and specific fuel consumption</w:t>
            </w:r>
          </w:p>
          <w:p w:rsidR="00000000" w:rsidRPr="001F3751" w:rsidP="001F3751">
            <w:pPr>
              <w:pStyle w:val="ListBullet3"/>
            </w:pPr>
            <w:r w:rsidRPr="001F3751">
              <w:t>measurement of indicated power - mechanical indicator, electric/electronic indicator and Morse test</w:t>
            </w:r>
          </w:p>
          <w:p w:rsidR="00000000" w:rsidRPr="001F3751" w:rsidP="001F3751">
            <w:pPr>
              <w:pStyle w:val="ListBullet3"/>
            </w:pPr>
            <w:r w:rsidRPr="001F3751">
              <w:t>friction power, mechanical efficiency and indicated thermal efficiency</w:t>
            </w:r>
          </w:p>
          <w:p w:rsidR="00000000" w:rsidRPr="001F3751" w:rsidP="001F3751">
            <w:pPr>
              <w:pStyle w:val="ListBullet3"/>
            </w:pPr>
            <w:r w:rsidRPr="001F3751">
              <w:t>volumetric efficiency</w:t>
            </w:r>
          </w:p>
          <w:p w:rsidR="00000000" w:rsidRPr="001F3751" w:rsidP="001F3751">
            <w:pPr>
              <w:pStyle w:val="ListBullet3"/>
            </w:pPr>
            <w:r w:rsidRPr="001F3751">
              <w:t>ener</w:t>
            </w:r>
            <w:r w:rsidRPr="001F3751">
              <w:t>gy balance</w:t>
            </w:r>
          </w:p>
          <w:p w:rsidR="00000000" w:rsidRPr="001F3751" w:rsidP="001F3751">
            <w:pPr>
              <w:pStyle w:val="ListBullet3"/>
            </w:pPr>
            <w:r w:rsidRPr="001F3751">
              <w:t>performance curves - variable load constant speed, and variable speed constant throttle setting</w:t>
            </w:r>
          </w:p>
          <w:p w:rsidR="00000000" w:rsidRPr="001F3751" w:rsidP="001F3751">
            <w:pPr>
              <w:pStyle w:val="ListBullet2"/>
            </w:pPr>
            <w:r w:rsidRPr="001F3751">
              <w:t>structure of the existing generation, transmission and distribution system</w:t>
            </w:r>
          </w:p>
          <w:p w:rsidR="00000000" w:rsidRPr="001F3751" w:rsidP="001F3751">
            <w:pPr>
              <w:pStyle w:val="ListBullet2"/>
            </w:pPr>
            <w:r w:rsidRPr="001F3751">
              <w:t>benefits, issues and impacts</w:t>
            </w:r>
          </w:p>
          <w:p w:rsidR="00000000" w:rsidRPr="001F3751" w:rsidP="001F3751">
            <w:pPr>
              <w:pStyle w:val="ListBullet2"/>
            </w:pPr>
            <w:r w:rsidRPr="001F3751">
              <w:t>distributed generation technologies</w:t>
            </w:r>
          </w:p>
          <w:p w:rsidR="00000000" w:rsidRPr="001F3751" w:rsidP="001F3751">
            <w:pPr>
              <w:pStyle w:val="ListBullet2"/>
            </w:pPr>
            <w:r w:rsidRPr="001F3751">
              <w:t>electric</w:t>
            </w:r>
            <w:r w:rsidRPr="001F3751">
              <w:t>al power distribution systems operation encompassing:</w:t>
            </w:r>
          </w:p>
          <w:p w:rsidR="00000000" w:rsidRPr="001F3751" w:rsidP="001F3751">
            <w:pPr>
              <w:pStyle w:val="ListBullet3"/>
            </w:pPr>
            <w:r w:rsidRPr="001F3751">
              <w:t>electrical characteristics of feeders</w:t>
            </w:r>
          </w:p>
          <w:p w:rsidR="00000000" w:rsidRPr="001F3751" w:rsidP="001F3751">
            <w:pPr>
              <w:pStyle w:val="ListBullet3"/>
            </w:pPr>
            <w:r w:rsidRPr="001F3751">
              <w:t>causes of voltage problems in a power distribution system</w:t>
            </w:r>
          </w:p>
          <w:p w:rsidR="00000000" w:rsidRPr="001F3751" w:rsidP="001F3751">
            <w:pPr>
              <w:pStyle w:val="ListBullet3"/>
            </w:pPr>
            <w:r w:rsidRPr="001F3751">
              <w:t>voltage regulation limits</w:t>
            </w:r>
          </w:p>
          <w:p w:rsidR="00000000" w:rsidRPr="001F3751" w:rsidP="001F3751">
            <w:pPr>
              <w:pStyle w:val="ListBullet3"/>
            </w:pPr>
            <w:r w:rsidRPr="001F3751">
              <w:t>calculations for feeder voltage drops</w:t>
            </w:r>
          </w:p>
          <w:p w:rsidR="00000000" w:rsidRPr="001F3751" w:rsidP="001F3751">
            <w:pPr>
              <w:pStyle w:val="ListBullet3"/>
            </w:pPr>
            <w:r w:rsidRPr="001F3751">
              <w:t>methods of voltage control</w:t>
            </w:r>
          </w:p>
          <w:p w:rsidR="00000000" w:rsidRPr="001F3751" w:rsidP="001F3751">
            <w:pPr>
              <w:pStyle w:val="ListBullet3"/>
            </w:pPr>
            <w:r w:rsidRPr="001F3751">
              <w:t>fault types, causes and effects</w:t>
            </w:r>
          </w:p>
          <w:p w:rsidR="00000000" w:rsidRPr="001F3751" w:rsidP="001F3751">
            <w:pPr>
              <w:pStyle w:val="ListBullet3"/>
            </w:pPr>
            <w:r w:rsidRPr="001F3751">
              <w:t>determination of fault levels</w:t>
            </w:r>
          </w:p>
          <w:p w:rsidR="00000000" w:rsidRPr="001F3751" w:rsidP="001F3751">
            <w:pPr>
              <w:pStyle w:val="ListBullet3"/>
            </w:pPr>
            <w:r w:rsidRPr="001F3751">
              <w:t>fault level limitation</w:t>
            </w:r>
          </w:p>
          <w:p w:rsidR="00000000" w:rsidRPr="001F3751" w:rsidP="001F3751">
            <w:pPr>
              <w:pStyle w:val="ListBullet2"/>
            </w:pPr>
            <w:r w:rsidRPr="001F3751">
              <w:t>protection and relaying encompassing:</w:t>
            </w:r>
          </w:p>
          <w:p w:rsidR="00000000" w:rsidRPr="001F3751" w:rsidP="001F3751">
            <w:pPr>
              <w:pStyle w:val="ListBullet3"/>
            </w:pPr>
            <w:r w:rsidRPr="001F3751">
              <w:t>protection system purpose and features</w:t>
            </w:r>
          </w:p>
          <w:p w:rsidR="00000000" w:rsidRPr="001F3751" w:rsidP="001F3751">
            <w:pPr>
              <w:pStyle w:val="ListBullet3"/>
            </w:pPr>
            <w:r w:rsidRPr="001F3751">
              <w:t>application of protection in a distribution network</w:t>
            </w:r>
          </w:p>
          <w:p w:rsidR="00000000" w:rsidRPr="001F3751" w:rsidP="001F3751">
            <w:pPr>
              <w:pStyle w:val="ListBullet3"/>
            </w:pPr>
            <w:r w:rsidRPr="001F3751">
              <w:t>protection system terminology</w:t>
            </w:r>
          </w:p>
          <w:p w:rsidR="00000000" w:rsidRPr="001F3751" w:rsidP="001F3751">
            <w:pPr>
              <w:pStyle w:val="ListBullet3"/>
            </w:pPr>
            <w:r w:rsidRPr="001F3751">
              <w:t>feeder pro</w:t>
            </w:r>
            <w:r w:rsidRPr="001F3751">
              <w:t>tection systems</w:t>
            </w:r>
          </w:p>
          <w:p w:rsidR="00000000" w:rsidRPr="001F3751" w:rsidP="001F3751">
            <w:pPr>
              <w:pStyle w:val="ListBullet2"/>
            </w:pPr>
            <w:r w:rsidRPr="001F3751">
              <w:t>distributed generation issues encompassing:</w:t>
            </w:r>
          </w:p>
          <w:p w:rsidR="00000000" w:rsidRPr="001F3751" w:rsidP="001F3751">
            <w:pPr>
              <w:pStyle w:val="ListBullet3"/>
            </w:pPr>
            <w:r w:rsidRPr="001F3751">
              <w:t>utility requirements for interconnection</w:t>
            </w:r>
          </w:p>
          <w:p w:rsidR="00000000" w:rsidRPr="001F3751" w:rsidP="001F3751">
            <w:pPr>
              <w:pStyle w:val="ListBullet3"/>
            </w:pPr>
            <w:r w:rsidRPr="001F3751">
              <w:t>safety of personnel</w:t>
            </w:r>
          </w:p>
          <w:p w:rsidR="00000000" w:rsidRPr="001F3751" w:rsidP="001F3751">
            <w:pPr>
              <w:pStyle w:val="ListBullet3"/>
            </w:pPr>
            <w:r w:rsidRPr="001F3751">
              <w:t>islanding</w:t>
            </w:r>
          </w:p>
          <w:p w:rsidR="00000000" w:rsidRPr="001F3751" w:rsidP="001F3751">
            <w:pPr>
              <w:pStyle w:val="ListBullet3"/>
            </w:pPr>
            <w:r w:rsidRPr="001F3751">
              <w:t>grid stability</w:t>
            </w:r>
          </w:p>
          <w:p w:rsidR="00000000" w:rsidRPr="001F3751" w:rsidP="001F3751">
            <w:pPr>
              <w:pStyle w:val="ListBullet3"/>
            </w:pPr>
            <w:r w:rsidRPr="001F3751">
              <w:t>voltage regulation</w:t>
            </w:r>
          </w:p>
          <w:p w:rsidR="00000000" w:rsidRPr="001F3751" w:rsidP="001F3751">
            <w:pPr>
              <w:pStyle w:val="ListBullet3"/>
            </w:pPr>
            <w:r w:rsidRPr="001F3751">
              <w:t xml:space="preserve">potential benefits of distributed generation </w:t>
            </w:r>
          </w:p>
          <w:p w:rsidR="00000000" w:rsidRPr="001F3751" w:rsidP="001F3751">
            <w:pPr>
              <w:pStyle w:val="ListBullet3"/>
            </w:pPr>
            <w:r w:rsidRPr="001F3751">
              <w:t>limitations in design of distribution circuits (designed for one-way operation)</w:t>
            </w:r>
          </w:p>
          <w:p w:rsidR="00000000" w:rsidRPr="001F3751" w:rsidP="001F3751">
            <w:pPr>
              <w:pStyle w:val="ListBullet3"/>
            </w:pPr>
            <w:r w:rsidRPr="001F3751">
              <w:t>match between supply and demand</w:t>
            </w:r>
          </w:p>
          <w:p w:rsidR="00000000" w:rsidRPr="001F3751" w:rsidP="001F3751">
            <w:pPr>
              <w:pStyle w:val="ListBullet3"/>
            </w:pPr>
            <w:r w:rsidRPr="001F3751">
              <w:t>operation: dispatchable and non-dispatchable supplies</w:t>
            </w:r>
          </w:p>
          <w:p w:rsidR="00000000" w:rsidRPr="001F3751" w:rsidP="001F3751">
            <w:pPr>
              <w:pStyle w:val="ListBullet3"/>
            </w:pPr>
            <w:r w:rsidRPr="001F3751">
              <w:t>factors affecting the sizing of distributed generation</w:t>
            </w:r>
          </w:p>
          <w:p w:rsidR="00000000" w:rsidRPr="001F3751" w:rsidP="001F3751">
            <w:pPr>
              <w:pStyle w:val="ListBullet3"/>
            </w:pPr>
            <w:r w:rsidRPr="001F3751">
              <w:t>use of energy storage</w:t>
            </w:r>
          </w:p>
          <w:p w:rsidR="00000000" w:rsidRPr="001F3751" w:rsidP="001F3751">
            <w:pPr>
              <w:pStyle w:val="ListBullet3"/>
            </w:pPr>
            <w:r w:rsidRPr="001F3751">
              <w:t>case studies</w:t>
            </w:r>
          </w:p>
          <w:p w:rsidR="00000000" w:rsidRPr="001F3751" w:rsidP="001F3751">
            <w:pPr>
              <w:pStyle w:val="ListBullet2"/>
            </w:pPr>
            <w:r w:rsidRPr="001F3751">
              <w:t>RE supplies issues encompassing:</w:t>
            </w:r>
          </w:p>
          <w:p w:rsidR="00000000" w:rsidRPr="001F3751" w:rsidP="001F3751">
            <w:pPr>
              <w:pStyle w:val="ListBullet3"/>
            </w:pPr>
            <w:r w:rsidRPr="001F3751">
              <w:t>limits to penetration</w:t>
            </w:r>
          </w:p>
          <w:p w:rsidR="00000000" w:rsidRPr="001F3751" w:rsidP="001F3751">
            <w:pPr>
              <w:pStyle w:val="ListBullet3"/>
            </w:pPr>
            <w:r w:rsidRPr="001F3751">
              <w:t>factors affecting the value of renewables on the grid</w:t>
            </w:r>
          </w:p>
          <w:p w:rsidR="00000000" w:rsidRPr="001F3751" w:rsidP="001F3751">
            <w:pPr>
              <w:pStyle w:val="ListBullet3"/>
            </w:pPr>
            <w:r w:rsidRPr="001F3751">
              <w:t>implications of renewable input on power system operation</w:t>
            </w:r>
          </w:p>
          <w:p w:rsidR="00000000" w:rsidRPr="001F3751" w:rsidP="001F3751">
            <w:pPr>
              <w:pStyle w:val="ListBullet3"/>
            </w:pPr>
            <w:r w:rsidRPr="001F3751">
              <w:t>connection of energy systems via inverters: AS 4777 Grid connection of energy systems via inverters</w:t>
            </w:r>
          </w:p>
          <w:p w:rsidR="00000000" w:rsidRPr="001F3751" w:rsidP="001F3751">
            <w:pPr>
              <w:pStyle w:val="ListBullet2"/>
            </w:pPr>
            <w:r w:rsidRPr="001F3751">
              <w:t>factors affecting the uptake of distributed generation encompassing:</w:t>
            </w:r>
          </w:p>
          <w:p w:rsidR="00000000" w:rsidRPr="001F3751" w:rsidP="001F3751">
            <w:pPr>
              <w:pStyle w:val="ListBullet3"/>
            </w:pPr>
            <w:r w:rsidRPr="001F3751">
              <w:t>institutional factors</w:t>
            </w:r>
          </w:p>
          <w:p w:rsidR="00000000" w:rsidRPr="001F3751" w:rsidP="001F3751">
            <w:pPr>
              <w:pStyle w:val="ListBullet3"/>
            </w:pPr>
            <w:r w:rsidRPr="001F3751">
              <w:t>regulatory factors</w:t>
            </w:r>
          </w:p>
          <w:p w:rsidR="00000000" w:rsidRPr="001F3751" w:rsidP="001F3751">
            <w:pPr>
              <w:pStyle w:val="ListBullet3"/>
            </w:pPr>
            <w:r w:rsidRPr="001F3751">
              <w:t>policy including mandated targets</w:t>
            </w:r>
          </w:p>
          <w:p w:rsidR="00000000" w:rsidRPr="001F3751" w:rsidP="001F3751">
            <w:pPr>
              <w:pStyle w:val="ListBullet3"/>
            </w:pPr>
            <w:r w:rsidRPr="001F3751">
              <w:t>green powe</w:t>
            </w:r>
            <w:r w:rsidRPr="001F3751">
              <w:t>r market</w:t>
            </w:r>
          </w:p>
          <w:p w:rsidR="00000000" w:rsidRPr="001F3751" w:rsidP="001F3751">
            <w:pPr>
              <w:pStyle w:val="ListBullet3"/>
            </w:pPr>
            <w:r w:rsidRPr="001F3751">
              <w:t>financial issues</w:t>
            </w:r>
          </w:p>
          <w:p w:rsidR="00000000" w:rsidRPr="001F3751" w:rsidP="001F3751">
            <w:pPr>
              <w:pStyle w:val="ListBullet3"/>
            </w:pPr>
            <w:r w:rsidRPr="001F3751">
              <w:t>contractual issues</w:t>
            </w:r>
          </w:p>
          <w:p w:rsidR="00000000" w:rsidRPr="001F3751" w:rsidP="001F3751">
            <w:pPr>
              <w:pStyle w:val="ListBullet3"/>
            </w:pPr>
            <w:r w:rsidRPr="001F3751">
              <w:t>case studies</w:t>
            </w:r>
          </w:p>
          <w:p w:rsidR="00000000" w:rsidRPr="001F3751" w:rsidP="001F3751">
            <w:pPr>
              <w:pStyle w:val="ListBullet"/>
            </w:pPr>
            <w:r w:rsidRPr="001F3751">
              <w:t>engineering solutions to RE problems</w:t>
            </w:r>
          </w:p>
          <w:p w:rsidR="00000000" w:rsidRPr="001F3751" w:rsidP="001F3751">
            <w:pPr>
              <w:pStyle w:val="ListBullet"/>
            </w:pPr>
            <w:r w:rsidRPr="001F3751">
              <w:t>relevant job safety assessments or risk mitigation processes</w:t>
            </w:r>
          </w:p>
          <w:p w:rsidR="00000000" w:rsidRPr="001F3751" w:rsidP="001F3751">
            <w:pPr>
              <w:pStyle w:val="ListBullet"/>
            </w:pPr>
            <w:r w:rsidRPr="001F3751">
              <w:t>relevant manufacturer specifications</w:t>
            </w:r>
          </w:p>
          <w:p w:rsidR="00000000" w:rsidRPr="001F3751" w:rsidP="001F3751">
            <w:pPr>
              <w:pStyle w:val="ListBullet"/>
            </w:pPr>
            <w:r w:rsidRPr="001F3751">
              <w:t>relevant WHS/OHS legislated requirements</w:t>
            </w:r>
          </w:p>
          <w:p w:rsidR="00000000" w:rsidRPr="001F3751" w:rsidP="001F3751">
            <w:pPr>
              <w:pStyle w:val="ListBullet"/>
            </w:pPr>
            <w:r w:rsidRPr="001F3751">
              <w:t>relevant workplace documentation</w:t>
            </w:r>
          </w:p>
          <w:p w:rsidR="00000000" w:rsidRPr="001F3751" w:rsidP="001F3751">
            <w:pPr>
              <w:pStyle w:val="ListBullet"/>
            </w:pPr>
            <w:r w:rsidRPr="001F3751">
              <w:t>relevant workplace policies and procedures</w:t>
            </w:r>
          </w:p>
          <w:p w:rsidR="00000000" w:rsidRPr="001F3751" w:rsidP="001F3751">
            <w:pPr>
              <w:pStyle w:val="ListBullet"/>
            </w:pPr>
            <w:r w:rsidRPr="001F3751">
              <w:t>RE engineering principles</w:t>
            </w:r>
          </w:p>
          <w:p w:rsidR="00000000" w:rsidRPr="001F3751" w:rsidP="001F3751">
            <w:pPr>
              <w:pStyle w:val="ListBullet"/>
            </w:pPr>
            <w:r w:rsidRPr="001F3751">
              <w:t>sustainable energy principles and practices</w:t>
            </w:r>
          </w:p>
        </w:tc>
      </w:tr>
    </w:tbl>
    <w:p w:rsidR="00000000" w:rsidRPr="001F3751" w:rsidP="001F3751">
      <w:pPr>
        <w:pStyle w:val="NoPaddingFontSize1"/>
      </w:pPr>
    </w:p>
    <w:p w:rsidR="00000000" w:rsidRPr="001F3751" w:rsidP="001F3751">
      <w:pPr>
        <w:pStyle w:val="AllowPageBreak"/>
      </w:pPr>
    </w:p>
    <w:p w:rsidR="00000000" w:rsidRPr="001F3751" w:rsidP="001F3751">
      <w:pPr>
        <w:pStyle w:val="Heading1"/>
      </w:pPr>
      <w:bookmarkStart w:id="4" w:name="O_1102989"/>
      <w:bookmarkEnd w:id="4"/>
      <w:r w:rsidRPr="001F3751">
        <w:t>Assessment Conditions</w:t>
      </w:r>
    </w:p>
    <w:tbl>
      <w:tblPr>
        <w:tblW w:w="9497" w:type="dxa"/>
        <w:tblLayout w:type="fixed"/>
        <w:tblCellMar>
          <w:left w:w="62" w:type="dxa"/>
          <w:right w:w="62" w:type="dxa"/>
        </w:tblCellMar>
        <w:tblLook w:val="0000"/>
      </w:tblPr>
      <w:tblGrid>
        <w:gridCol w:w="9497"/>
      </w:tblGrid>
      <w:tr w:rsidTr="001F37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751" w:rsidP="001F3751">
            <w:pPr>
              <w:pStyle w:val="BodyText"/>
            </w:pPr>
            <w:r w:rsidRPr="001F3751">
              <w:t xml:space="preserve">Assessors must hold credentials specified within the Standards for </w:t>
            </w:r>
            <w:r w:rsidRPr="001F3751">
              <w:t>Registered Training Organisations current at the time of assessment.</w:t>
            </w:r>
          </w:p>
          <w:p w:rsidR="00000000" w:rsidRPr="001F3751" w:rsidP="001F3751">
            <w:pPr>
              <w:pStyle w:val="BodyText"/>
            </w:pPr>
            <w:r w:rsidRPr="001F3751">
              <w:t>Assessment must satisfy the Principles of Assessment and Rules of Evidence and all regulatory requirements included within the Standards for Registered Training Organisations current at t</w:t>
            </w:r>
            <w:r w:rsidRPr="001F3751">
              <w:t>he time of assessment.</w:t>
            </w:r>
          </w:p>
          <w:p w:rsidR="00000000" w:rsidRPr="001F3751" w:rsidP="001F3751">
            <w:pPr>
              <w:pStyle w:val="BodyText"/>
            </w:pPr>
            <w:r w:rsidRPr="001F3751">
              <w:t>Assessment must occur in suitable workplace operational situations where it is appropriate to do so; where this is not appropriate, assessment must occur in simulated suitable workplace operational situations that replicate workplace</w:t>
            </w:r>
            <w:r w:rsidRPr="001F3751">
              <w:t xml:space="preserve"> conditions.</w:t>
            </w:r>
          </w:p>
          <w:p w:rsidR="00000000" w:rsidRPr="001F3751" w:rsidP="001F3751">
            <w:pPr>
              <w:pStyle w:val="BodyText"/>
            </w:pPr>
            <w:r w:rsidRPr="001F3751">
              <w:t>Assessment processes and techniques must be appropriate to the language, literacy and numeracy requirements of the work being performed and the needs of the candidate.</w:t>
            </w:r>
          </w:p>
          <w:p w:rsidR="00000000" w:rsidRPr="001F3751" w:rsidP="001F3751">
            <w:pPr>
              <w:pStyle w:val="BodyText"/>
            </w:pPr>
            <w:r w:rsidRPr="001F3751">
              <w:t>Resources for assessment must include access to:</w:t>
            </w:r>
          </w:p>
          <w:p w:rsidR="00000000" w:rsidRPr="001F3751" w:rsidP="001F3751">
            <w:pPr>
              <w:pStyle w:val="ListBullet"/>
            </w:pPr>
            <w:r w:rsidRPr="001F3751">
              <w:t>a range of relevant exercises, case studies and/or simulations</w:t>
            </w:r>
          </w:p>
          <w:p w:rsidR="00000000" w:rsidRPr="001F3751" w:rsidP="001F3751">
            <w:pPr>
              <w:pStyle w:val="ListBullet"/>
            </w:pPr>
            <w:r w:rsidRPr="001F3751">
              <w:t>relevant and appropriate materials, tools, facilities and equipment currently used in industry</w:t>
            </w:r>
          </w:p>
          <w:p w:rsidR="00000000" w:rsidRPr="001F3751" w:rsidP="001F3751">
            <w:pPr>
              <w:pStyle w:val="ListBullet"/>
            </w:pPr>
            <w:r w:rsidRPr="001F3751">
              <w:t xml:space="preserve">resources that reflect current industry practices in relation to developing engineering solutions </w:t>
            </w:r>
            <w:r w:rsidRPr="001F3751">
              <w:t>to RE problems</w:t>
            </w:r>
          </w:p>
          <w:p w:rsidR="00000000" w:rsidRPr="001F3751" w:rsidP="001F3751">
            <w:pPr>
              <w:pStyle w:val="ListBullet"/>
            </w:pPr>
            <w:r w:rsidRPr="001F3751">
              <w:t>applicable documentation, including workplace procedures, equipment specifications, regulations, codes of practice and operation manuals.</w:t>
            </w:r>
          </w:p>
        </w:tc>
      </w:tr>
    </w:tbl>
    <w:p w:rsidR="00000000" w:rsidRPr="001F3751" w:rsidP="001F3751">
      <w:pPr>
        <w:pStyle w:val="NoPaddingFontSize1"/>
      </w:pPr>
    </w:p>
    <w:p w:rsidR="00000000" w:rsidRPr="001F3751" w:rsidP="001F3751">
      <w:pPr>
        <w:pStyle w:val="AllowPageBreak"/>
      </w:pPr>
    </w:p>
    <w:p w:rsidR="00000000" w:rsidRPr="001F3751" w:rsidP="001F3751">
      <w:pPr>
        <w:pStyle w:val="Heading1"/>
      </w:pPr>
      <w:bookmarkStart w:id="5" w:name="O_1102992"/>
      <w:bookmarkEnd w:id="5"/>
      <w:r w:rsidRPr="001F3751">
        <w:t>Links</w:t>
      </w:r>
    </w:p>
    <w:p w:rsidR="00000000" w:rsidRPr="001F3751" w:rsidP="007B64B7">
      <w:pPr>
        <w:pStyle w:val="BodyText"/>
      </w:pPr>
      <w:r w:rsidRPr="001F375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30F80">
        <w:rPr>
          <w:rStyle w:val="Hyperlink"/>
        </w:rPr>
        <w:t>https://vetnet.gov.au/Pages/TrainingDocs.aspx?q=b8a8f136-5421-4ce1-92e0-2b50341431b6</w:t>
      </w:r>
      <w:r>
        <w:fldChar w:fldCharType="end"/>
      </w:r>
    </w:p>
    <w:p w:rsidR="00000000" w:rsidRPr="001F3751" w:rsidP="001F3751"/>
    <w:sectPr w:rsidSect="001F37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51" w:rsidRPr="007B64B7" w:rsidP="007B64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B7" w:rsidP="001F37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64B7" w:rsidP="001F37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B64B7" w:rsidP="001F37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751" w:rsidRPr="007B64B7" w:rsidP="007B64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7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B7" w:rsidRPr="002D2AF8" w:rsidP="001F3751">
    <w:pPr>
      <w:pStyle w:val="Header"/>
      <w:framePr w:wrap="around"/>
    </w:pPr>
    <w:r>
      <w:fldChar w:fldCharType="begin"/>
    </w:r>
    <w:r>
      <w:instrText xml:space="preserve"> TITLE   \* MERGEFORMAT </w:instrText>
    </w:r>
    <w:r>
      <w:fldChar w:fldCharType="separate"/>
    </w:r>
    <w:r>
      <w:t>Assessment Requirements for UEERE0033 Develop engineering solutions to renewable energy (RE)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7B64B7" w:rsidP="001F37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44F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A43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5E7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7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751"/>
    <w:pPr>
      <w:spacing w:before="360" w:after="60"/>
      <w:outlineLvl w:val="0"/>
    </w:pPr>
    <w:rPr>
      <w:sz w:val="32"/>
    </w:rPr>
  </w:style>
  <w:style w:type="paragraph" w:styleId="Heading2">
    <w:name w:val="heading 2"/>
    <w:basedOn w:val="HeadingBase"/>
    <w:next w:val="BodyText"/>
    <w:link w:val="Heading2Char"/>
    <w:qFormat/>
    <w:rsid w:val="001F3751"/>
    <w:pPr>
      <w:keepLines/>
      <w:spacing w:before="240" w:after="120"/>
      <w:outlineLvl w:val="1"/>
    </w:pPr>
    <w:rPr>
      <w:sz w:val="28"/>
      <w:szCs w:val="40"/>
    </w:rPr>
  </w:style>
  <w:style w:type="paragraph" w:styleId="Heading3">
    <w:name w:val="heading 3"/>
    <w:basedOn w:val="HeadingBase"/>
    <w:next w:val="BodyText"/>
    <w:link w:val="Heading3Char"/>
    <w:qFormat/>
    <w:rsid w:val="001F3751"/>
    <w:pPr>
      <w:spacing w:before="180" w:after="120"/>
      <w:outlineLvl w:val="2"/>
    </w:pPr>
    <w:rPr>
      <w:spacing w:val="-10"/>
      <w:kern w:val="32"/>
    </w:rPr>
  </w:style>
  <w:style w:type="paragraph" w:styleId="Heading4">
    <w:name w:val="heading 4"/>
    <w:basedOn w:val="HeadingBase"/>
    <w:next w:val="BodyText"/>
    <w:link w:val="Heading4Char"/>
    <w:qFormat/>
    <w:rsid w:val="001F3751"/>
    <w:pPr>
      <w:spacing w:before="160" w:after="120"/>
      <w:outlineLvl w:val="3"/>
    </w:pPr>
    <w:rPr>
      <w:sz w:val="22"/>
    </w:rPr>
  </w:style>
  <w:style w:type="paragraph" w:styleId="Heading5">
    <w:name w:val="heading 5"/>
    <w:basedOn w:val="HeadingBase"/>
    <w:next w:val="Normal"/>
    <w:link w:val="Heading5Char"/>
    <w:qFormat/>
    <w:rsid w:val="001F3751"/>
    <w:pPr>
      <w:spacing w:before="80"/>
      <w:outlineLvl w:val="4"/>
    </w:pPr>
    <w:rPr>
      <w:color w:val="918585"/>
      <w:sz w:val="20"/>
    </w:rPr>
  </w:style>
  <w:style w:type="paragraph" w:styleId="Heading6">
    <w:name w:val="heading 6"/>
    <w:basedOn w:val="HeadingBase"/>
    <w:next w:val="Normal"/>
    <w:link w:val="Heading6Char"/>
    <w:qFormat/>
    <w:rsid w:val="001F3751"/>
    <w:pPr>
      <w:spacing w:before="60"/>
      <w:outlineLvl w:val="5"/>
    </w:pPr>
    <w:rPr>
      <w:color w:val="918585"/>
      <w:sz w:val="20"/>
    </w:rPr>
  </w:style>
  <w:style w:type="paragraph" w:styleId="Heading7">
    <w:name w:val="heading 7"/>
    <w:basedOn w:val="Normal"/>
    <w:next w:val="Normal"/>
    <w:link w:val="Heading7Char"/>
    <w:qFormat/>
    <w:rsid w:val="001F3751"/>
    <w:pPr>
      <w:ind w:left="720"/>
      <w:outlineLvl w:val="6"/>
    </w:pPr>
    <w:rPr>
      <w:i/>
    </w:rPr>
  </w:style>
  <w:style w:type="paragraph" w:styleId="Heading8">
    <w:name w:val="heading 8"/>
    <w:basedOn w:val="Normal"/>
    <w:next w:val="Normal"/>
    <w:link w:val="Heading8Char"/>
    <w:qFormat/>
    <w:rsid w:val="001F3751"/>
    <w:pPr>
      <w:ind w:left="720"/>
      <w:outlineLvl w:val="7"/>
    </w:pPr>
    <w:rPr>
      <w:i/>
    </w:rPr>
  </w:style>
  <w:style w:type="paragraph" w:styleId="Heading9">
    <w:name w:val="heading 9"/>
    <w:basedOn w:val="Normal"/>
    <w:next w:val="Normal"/>
    <w:link w:val="Heading9Char"/>
    <w:qFormat/>
    <w:rsid w:val="001F3751"/>
    <w:pPr>
      <w:ind w:left="720"/>
      <w:outlineLvl w:val="8"/>
    </w:pPr>
    <w:rPr>
      <w:i/>
    </w:rPr>
  </w:style>
  <w:style w:type="character" w:default="1" w:styleId="DefaultParagraphFont">
    <w:name w:val="Default Paragraph Font"/>
    <w:uiPriority w:val="1"/>
    <w:unhideWhenUsed/>
    <w:rsid w:val="001F37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751"/>
  </w:style>
  <w:style w:type="character" w:customStyle="1" w:styleId="Heading1Char">
    <w:name w:val="Heading 1 Char"/>
    <w:basedOn w:val="DefaultParagraphFont"/>
    <w:link w:val="Heading1"/>
    <w:rsid w:val="001F3751"/>
    <w:rPr>
      <w:rFonts w:ascii="Times New Roman" w:eastAsia="Times New Roman" w:hAnsi="Times New Roman" w:cs="Times New Roman"/>
      <w:b/>
      <w:sz w:val="32"/>
      <w:szCs w:val="20"/>
      <w:lang w:eastAsia="en-US"/>
    </w:rPr>
  </w:style>
  <w:style w:type="paragraph" w:styleId="BodyText">
    <w:name w:val="Body Text"/>
    <w:basedOn w:val="Normal"/>
    <w:link w:val="BodyTextChar"/>
    <w:rsid w:val="001F37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751"/>
    <w:rPr>
      <w:rFonts w:ascii="Times New Roman" w:eastAsia="Times New Roman" w:hAnsi="Times New Roman" w:cs="Times New Roman"/>
      <w:sz w:val="24"/>
      <w:lang w:eastAsia="en-US"/>
    </w:rPr>
  </w:style>
  <w:style w:type="paragraph" w:styleId="ListBullet">
    <w:name w:val="List Bullet"/>
    <w:basedOn w:val="List"/>
    <w:rsid w:val="001F3751"/>
    <w:pPr>
      <w:numPr>
        <w:numId w:val="13"/>
      </w:numPr>
      <w:tabs>
        <w:tab w:val="clear" w:pos="340"/>
      </w:tabs>
      <w:spacing w:before="40" w:after="40"/>
    </w:pPr>
  </w:style>
  <w:style w:type="paragraph" w:styleId="ListBullet2">
    <w:name w:val="List Bullet 2"/>
    <w:basedOn w:val="List2"/>
    <w:rsid w:val="001F3751"/>
    <w:pPr>
      <w:numPr>
        <w:numId w:val="14"/>
      </w:numPr>
      <w:tabs>
        <w:tab w:val="clear" w:pos="680"/>
      </w:tabs>
    </w:pPr>
  </w:style>
  <w:style w:type="paragraph" w:customStyle="1" w:styleId="SuperHeading">
    <w:name w:val="SuperHeading"/>
    <w:basedOn w:val="Normal"/>
    <w:rsid w:val="001F3751"/>
    <w:pPr>
      <w:spacing w:before="240" w:after="120"/>
      <w:outlineLvl w:val="0"/>
    </w:pPr>
    <w:rPr>
      <w:rFonts w:ascii="Times New Roman" w:hAnsi="Times New Roman"/>
      <w:b/>
      <w:sz w:val="32"/>
    </w:rPr>
  </w:style>
  <w:style w:type="paragraph" w:customStyle="1" w:styleId="AllowPageBreak">
    <w:name w:val="AllowPageBreak"/>
    <w:rsid w:val="001F37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375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37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7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7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7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7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7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7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751"/>
    <w:rPr>
      <w:rFonts w:ascii="Courier New" w:eastAsia="Times New Roman" w:hAnsi="Courier New" w:cs="Times New Roman"/>
      <w:i/>
      <w:szCs w:val="20"/>
      <w:lang w:eastAsia="en-US"/>
    </w:rPr>
  </w:style>
  <w:style w:type="paragraph" w:customStyle="1" w:styleId="HeadingBase">
    <w:name w:val="Heading Base"/>
    <w:rsid w:val="001F37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751"/>
    <w:pPr>
      <w:tabs>
        <w:tab w:val="right" w:leader="dot" w:pos="9072"/>
      </w:tabs>
      <w:ind w:left="567"/>
    </w:pPr>
    <w:rPr>
      <w:szCs w:val="22"/>
    </w:rPr>
  </w:style>
  <w:style w:type="paragraph" w:customStyle="1" w:styleId="TOCBase">
    <w:name w:val="TOC Base"/>
    <w:rsid w:val="001F37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751"/>
    <w:pPr>
      <w:tabs>
        <w:tab w:val="right" w:leader="dot" w:pos="9072"/>
      </w:tabs>
      <w:spacing w:before="40" w:after="40"/>
      <w:ind w:left="284"/>
    </w:pPr>
    <w:rPr>
      <w:rFonts w:ascii="Times New Roman" w:hAnsi="Times New Roman"/>
    </w:rPr>
  </w:style>
  <w:style w:type="paragraph" w:styleId="TOC1">
    <w:name w:val="toc 1"/>
    <w:basedOn w:val="TOCBase"/>
    <w:next w:val="Normal"/>
    <w:rsid w:val="001F37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7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751"/>
    <w:rPr>
      <w:rFonts w:ascii="Times New Roman" w:eastAsia="Times New Roman" w:hAnsi="Times New Roman" w:cs="Times New Roman"/>
      <w:sz w:val="16"/>
      <w:lang w:eastAsia="en-US"/>
    </w:rPr>
  </w:style>
  <w:style w:type="paragraph" w:styleId="Title">
    <w:name w:val="Title"/>
    <w:basedOn w:val="HeadingBase"/>
    <w:link w:val="TitleChar"/>
    <w:qFormat/>
    <w:rsid w:val="001F3751"/>
    <w:pPr>
      <w:spacing w:before="5040"/>
      <w:jc w:val="center"/>
    </w:pPr>
    <w:rPr>
      <w:sz w:val="48"/>
      <w:szCs w:val="72"/>
      <w:lang w:val="en-US"/>
    </w:rPr>
  </w:style>
  <w:style w:type="character" w:customStyle="1" w:styleId="TitleChar">
    <w:name w:val="Title Char"/>
    <w:basedOn w:val="DefaultParagraphFont"/>
    <w:link w:val="Title"/>
    <w:rsid w:val="001F37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751"/>
    <w:pPr>
      <w:tabs>
        <w:tab w:val="left" w:pos="3600"/>
        <w:tab w:val="left" w:pos="3958"/>
      </w:tabs>
    </w:pPr>
  </w:style>
  <w:style w:type="paragraph" w:styleId="List">
    <w:name w:val="List"/>
    <w:basedOn w:val="BodyText"/>
    <w:next w:val="BodyText"/>
    <w:rsid w:val="001F3751"/>
    <w:pPr>
      <w:tabs>
        <w:tab w:val="left" w:pos="340"/>
      </w:tabs>
      <w:spacing w:before="60" w:after="60"/>
      <w:ind w:left="340" w:hanging="340"/>
    </w:pPr>
  </w:style>
  <w:style w:type="paragraph" w:customStyle="1" w:styleId="Note">
    <w:name w:val="Note"/>
    <w:basedOn w:val="BodyText"/>
    <w:rsid w:val="001F37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3751"/>
    <w:rPr>
      <w:b/>
      <w:spacing w:val="0"/>
    </w:rPr>
  </w:style>
  <w:style w:type="paragraph" w:customStyle="1" w:styleId="SuperTitle">
    <w:name w:val="SuperTitle"/>
    <w:basedOn w:val="Title"/>
    <w:rsid w:val="001F3751"/>
    <w:pPr>
      <w:framePr w:wrap="auto" w:hAnchor="text" w:y="6049"/>
    </w:pPr>
    <w:rPr>
      <w:color w:val="000000"/>
      <w:sz w:val="40"/>
    </w:rPr>
  </w:style>
  <w:style w:type="paragraph" w:customStyle="1" w:styleId="TOCTitle">
    <w:name w:val="TOCTitle"/>
    <w:basedOn w:val="Heading1"/>
    <w:rsid w:val="001F3751"/>
    <w:pPr>
      <w:spacing w:after="240"/>
      <w:jc w:val="center"/>
      <w:outlineLvl w:val="9"/>
    </w:pPr>
    <w:rPr>
      <w:caps/>
    </w:rPr>
  </w:style>
  <w:style w:type="paragraph" w:customStyle="1" w:styleId="Version">
    <w:name w:val="Version"/>
    <w:rsid w:val="001F37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751"/>
    <w:pPr>
      <w:keepNext w:val="0"/>
      <w:tabs>
        <w:tab w:val="right" w:pos="4176"/>
      </w:tabs>
      <w:ind w:left="198" w:hanging="198"/>
    </w:pPr>
    <w:rPr>
      <w:rFonts w:ascii="Garamond" w:hAnsi="Garamond"/>
    </w:rPr>
  </w:style>
  <w:style w:type="paragraph" w:styleId="IndexHeading">
    <w:name w:val="index heading"/>
    <w:basedOn w:val="Normal"/>
    <w:next w:val="Index1"/>
    <w:semiHidden/>
    <w:rsid w:val="001F3751"/>
    <w:pPr>
      <w:spacing w:before="120" w:after="120"/>
    </w:pPr>
    <w:rPr>
      <w:rFonts w:ascii="Arial" w:hAnsi="Arial"/>
      <w:b/>
      <w:color w:val="918585"/>
      <w:sz w:val="24"/>
    </w:rPr>
  </w:style>
  <w:style w:type="paragraph" w:styleId="Header">
    <w:name w:val="header"/>
    <w:basedOn w:val="Normal"/>
    <w:link w:val="HeaderChar"/>
    <w:rsid w:val="001F37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751"/>
    <w:rPr>
      <w:rFonts w:ascii="Times New Roman" w:eastAsia="Times New Roman" w:hAnsi="Times New Roman" w:cs="Times New Roman"/>
      <w:sz w:val="16"/>
      <w:szCs w:val="20"/>
      <w:lang w:val="en-GB" w:eastAsia="en-US"/>
    </w:rPr>
  </w:style>
  <w:style w:type="paragraph" w:customStyle="1" w:styleId="Chapter">
    <w:name w:val="Chapter"/>
    <w:basedOn w:val="Normal"/>
    <w:rsid w:val="001F3751"/>
    <w:pPr>
      <w:spacing w:before="240"/>
    </w:pPr>
    <w:rPr>
      <w:rFonts w:ascii="Times New Roman" w:hAnsi="Times New Roman"/>
      <w:smallCaps/>
      <w:spacing w:val="80"/>
      <w:sz w:val="28"/>
    </w:rPr>
  </w:style>
  <w:style w:type="paragraph" w:customStyle="1" w:styleId="InChapter">
    <w:name w:val="InChapter"/>
    <w:basedOn w:val="Heading3"/>
    <w:rsid w:val="001F3751"/>
    <w:pPr>
      <w:spacing w:after="240"/>
      <w:outlineLvl w:val="9"/>
    </w:pPr>
    <w:rPr>
      <w:noProof/>
    </w:rPr>
  </w:style>
  <w:style w:type="paragraph" w:styleId="Index2">
    <w:name w:val="index 2"/>
    <w:basedOn w:val="Normal"/>
    <w:next w:val="Normal"/>
    <w:semiHidden/>
    <w:rsid w:val="001F3751"/>
    <w:pPr>
      <w:tabs>
        <w:tab w:val="right" w:pos="4176"/>
      </w:tabs>
      <w:ind w:left="568" w:hanging="284"/>
    </w:pPr>
    <w:rPr>
      <w:rFonts w:ascii="Garamond" w:hAnsi="Garamond"/>
    </w:rPr>
  </w:style>
  <w:style w:type="paragraph" w:customStyle="1" w:styleId="Byline">
    <w:name w:val="Byline"/>
    <w:rsid w:val="001F37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751"/>
    <w:pPr>
      <w:tabs>
        <w:tab w:val="clear" w:pos="3600"/>
        <w:tab w:val="clear" w:pos="3958"/>
      </w:tabs>
      <w:jc w:val="right"/>
    </w:pPr>
  </w:style>
  <w:style w:type="character" w:styleId="Emphasis">
    <w:name w:val="Emphasis"/>
    <w:basedOn w:val="DefaultParagraphFont"/>
    <w:qFormat/>
    <w:rsid w:val="001F3751"/>
    <w:rPr>
      <w:i/>
    </w:rPr>
  </w:style>
  <w:style w:type="paragraph" w:styleId="Caption">
    <w:name w:val="caption"/>
    <w:basedOn w:val="BodyText"/>
    <w:next w:val="Normal"/>
    <w:qFormat/>
    <w:rsid w:val="001F3751"/>
    <w:pPr>
      <w:framePr w:w="2268" w:hSpace="181" w:vSpace="181" w:wrap="around" w:vAnchor="text" w:hAnchor="page" w:x="1135" w:y="285" w:anchorLock="1"/>
    </w:pPr>
    <w:rPr>
      <w:i/>
    </w:rPr>
  </w:style>
  <w:style w:type="paragraph" w:customStyle="1" w:styleId="MiniTOCTitle">
    <w:name w:val="MiniTOCTitle"/>
    <w:basedOn w:val="Heading4"/>
    <w:rsid w:val="001F3751"/>
    <w:pPr>
      <w:spacing w:before="240"/>
      <w:outlineLvl w:val="9"/>
    </w:pPr>
    <w:rPr>
      <w:noProof/>
      <w:sz w:val="24"/>
    </w:rPr>
  </w:style>
  <w:style w:type="paragraph" w:customStyle="1" w:styleId="MiniTOCItem">
    <w:name w:val="MiniTOCItem"/>
    <w:basedOn w:val="ListBullet"/>
    <w:rsid w:val="001F3751"/>
    <w:pPr>
      <w:numPr>
        <w:numId w:val="0"/>
      </w:numPr>
      <w:tabs>
        <w:tab w:val="right" w:leader="dot" w:pos="6521"/>
      </w:tabs>
      <w:spacing w:before="0" w:after="0"/>
    </w:pPr>
  </w:style>
  <w:style w:type="paragraph" w:customStyle="1" w:styleId="TOFTitle">
    <w:name w:val="TOFTitle"/>
    <w:basedOn w:val="TOCTitle"/>
    <w:rsid w:val="001F3751"/>
  </w:style>
  <w:style w:type="paragraph" w:styleId="TableofFigures">
    <w:name w:val="table of figures"/>
    <w:basedOn w:val="Normal"/>
    <w:next w:val="Normal"/>
    <w:semiHidden/>
    <w:rsid w:val="001F3751"/>
    <w:pPr>
      <w:tabs>
        <w:tab w:val="right" w:leader="dot" w:pos="9072"/>
      </w:tabs>
      <w:ind w:left="970" w:hanging="403"/>
    </w:pPr>
    <w:rPr>
      <w:rFonts w:ascii="Times New Roman" w:hAnsi="Times New Roman"/>
      <w:b/>
    </w:rPr>
  </w:style>
  <w:style w:type="paragraph" w:styleId="ListNumber">
    <w:name w:val="List Number"/>
    <w:basedOn w:val="List"/>
    <w:rsid w:val="001F3751"/>
    <w:pPr>
      <w:numPr>
        <w:numId w:val="16"/>
      </w:numPr>
      <w:tabs>
        <w:tab w:val="clear" w:pos="340"/>
      </w:tabs>
    </w:pPr>
  </w:style>
  <w:style w:type="character" w:customStyle="1" w:styleId="WingdingSymbols">
    <w:name w:val="Wingding Symbols"/>
    <w:rsid w:val="001F3751"/>
    <w:rPr>
      <w:rFonts w:ascii="Wingdings" w:hAnsi="Wingdings"/>
    </w:rPr>
  </w:style>
  <w:style w:type="paragraph" w:customStyle="1" w:styleId="TableHeading">
    <w:name w:val="Table Heading"/>
    <w:basedOn w:val="HeadingBase"/>
    <w:rsid w:val="001F3751"/>
    <w:pPr>
      <w:keepLines/>
      <w:pBdr>
        <w:bottom w:val="single" w:sz="6" w:space="1" w:color="918585"/>
      </w:pBdr>
      <w:spacing w:before="240"/>
    </w:pPr>
  </w:style>
  <w:style w:type="character" w:customStyle="1" w:styleId="HotSpot">
    <w:name w:val="HotSpot"/>
    <w:rsid w:val="001F3751"/>
    <w:rPr>
      <w:color w:val="0033CC"/>
      <w:u w:val="none"/>
    </w:rPr>
  </w:style>
  <w:style w:type="paragraph" w:customStyle="1" w:styleId="BodyTextRight">
    <w:name w:val="Body Text Right"/>
    <w:basedOn w:val="BodyText"/>
    <w:rsid w:val="001F3751"/>
    <w:pPr>
      <w:spacing w:before="0" w:after="0"/>
      <w:jc w:val="right"/>
    </w:pPr>
  </w:style>
  <w:style w:type="paragraph" w:styleId="Index3">
    <w:name w:val="index 3"/>
    <w:basedOn w:val="ListNumber2"/>
    <w:next w:val="Normal"/>
    <w:semiHidden/>
    <w:rsid w:val="001F3751"/>
    <w:pPr>
      <w:numPr>
        <w:numId w:val="0"/>
      </w:numPr>
      <w:tabs>
        <w:tab w:val="right" w:leader="dot" w:pos="4176"/>
      </w:tabs>
    </w:pPr>
  </w:style>
  <w:style w:type="paragraph" w:styleId="ListNumber2">
    <w:name w:val="List Number 2"/>
    <w:basedOn w:val="List2"/>
    <w:rsid w:val="001F3751"/>
    <w:pPr>
      <w:numPr>
        <w:numId w:val="11"/>
      </w:numPr>
      <w:tabs>
        <w:tab w:val="clear" w:pos="1060"/>
      </w:tabs>
    </w:pPr>
  </w:style>
  <w:style w:type="paragraph" w:customStyle="1" w:styleId="MarginNote">
    <w:name w:val="Margin Note"/>
    <w:basedOn w:val="BodyText"/>
    <w:rsid w:val="001F37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7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7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751"/>
    <w:rPr>
      <w:sz w:val="32"/>
    </w:rPr>
  </w:style>
  <w:style w:type="paragraph" w:customStyle="1" w:styleId="HeadingProcedure">
    <w:name w:val="Heading Procedure"/>
    <w:basedOn w:val="HeadingBase"/>
    <w:next w:val="Normal"/>
    <w:rsid w:val="001F3751"/>
    <w:pPr>
      <w:tabs>
        <w:tab w:val="left" w:pos="0"/>
      </w:tabs>
      <w:spacing w:before="120" w:after="60"/>
    </w:pPr>
    <w:rPr>
      <w:i/>
      <w:color w:val="918585"/>
      <w:sz w:val="22"/>
    </w:rPr>
  </w:style>
  <w:style w:type="paragraph" w:customStyle="1" w:styleId="TableBodyText">
    <w:name w:val="Table Body Text"/>
    <w:basedOn w:val="BodyText"/>
    <w:rsid w:val="001F3751"/>
    <w:pPr>
      <w:spacing w:before="60" w:after="60"/>
    </w:pPr>
  </w:style>
  <w:style w:type="paragraph" w:styleId="ListContinue">
    <w:name w:val="List Continue"/>
    <w:basedOn w:val="List"/>
    <w:rsid w:val="001F3751"/>
    <w:pPr>
      <w:ind w:firstLine="0"/>
    </w:pPr>
  </w:style>
  <w:style w:type="paragraph" w:customStyle="1" w:styleId="ListNote">
    <w:name w:val="List Note"/>
    <w:basedOn w:val="List"/>
    <w:rsid w:val="001F3751"/>
    <w:pPr>
      <w:pBdr>
        <w:top w:val="single" w:sz="6" w:space="2" w:color="918585"/>
        <w:bottom w:val="single" w:sz="6" w:space="2" w:color="918585"/>
      </w:pBdr>
      <w:tabs>
        <w:tab w:val="left" w:pos="1021"/>
      </w:tabs>
      <w:ind w:firstLine="0"/>
    </w:pPr>
  </w:style>
  <w:style w:type="paragraph" w:customStyle="1" w:styleId="Warning">
    <w:name w:val="Warning"/>
    <w:basedOn w:val="BodyText"/>
    <w:rsid w:val="001F3751"/>
    <w:pPr>
      <w:shd w:val="clear" w:color="auto" w:fill="D9D9D9"/>
      <w:tabs>
        <w:tab w:val="left" w:pos="992"/>
      </w:tabs>
      <w:ind w:left="119" w:right="119"/>
    </w:pPr>
    <w:rPr>
      <w:sz w:val="20"/>
    </w:rPr>
  </w:style>
  <w:style w:type="paragraph" w:customStyle="1" w:styleId="MarginIcons">
    <w:name w:val="Margin Icons"/>
    <w:basedOn w:val="BodyText"/>
    <w:rsid w:val="001F37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751"/>
    <w:rPr>
      <w:rFonts w:ascii="Courier New" w:hAnsi="Courier New"/>
    </w:rPr>
  </w:style>
  <w:style w:type="paragraph" w:customStyle="1" w:styleId="NoteBullet">
    <w:name w:val="Note Bullet"/>
    <w:basedOn w:val="Note"/>
    <w:rsid w:val="001F3751"/>
    <w:pPr>
      <w:tabs>
        <w:tab w:val="clear" w:pos="680"/>
      </w:tabs>
      <w:spacing w:before="60" w:after="60"/>
    </w:pPr>
  </w:style>
  <w:style w:type="paragraph" w:customStyle="1" w:styleId="SubHeading2">
    <w:name w:val="SubHeading2"/>
    <w:basedOn w:val="HeadingBase"/>
    <w:rsid w:val="001F3751"/>
    <w:pPr>
      <w:spacing w:before="240" w:after="60"/>
    </w:pPr>
    <w:rPr>
      <w:sz w:val="20"/>
    </w:rPr>
  </w:style>
  <w:style w:type="paragraph" w:customStyle="1" w:styleId="SubHeading1">
    <w:name w:val="SubHeading1"/>
    <w:basedOn w:val="HeadingBase"/>
    <w:rsid w:val="001F3751"/>
    <w:pPr>
      <w:spacing w:before="240" w:after="60"/>
    </w:pPr>
    <w:rPr>
      <w:color w:val="918585"/>
      <w:sz w:val="22"/>
    </w:rPr>
  </w:style>
  <w:style w:type="paragraph" w:customStyle="1" w:styleId="SideHeading">
    <w:name w:val="Side Heading"/>
    <w:basedOn w:val="HeadingBase"/>
    <w:rsid w:val="001F37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751"/>
    <w:pPr>
      <w:numPr>
        <w:numId w:val="12"/>
      </w:numPr>
    </w:pPr>
  </w:style>
  <w:style w:type="paragraph" w:styleId="PlainText">
    <w:name w:val="Plain Text"/>
    <w:basedOn w:val="Normal"/>
    <w:link w:val="PlainTextChar"/>
    <w:rsid w:val="001F3751"/>
    <w:rPr>
      <w:sz w:val="20"/>
    </w:rPr>
  </w:style>
  <w:style w:type="character" w:customStyle="1" w:styleId="PlainTextChar">
    <w:name w:val="Plain Text Char"/>
    <w:basedOn w:val="DefaultParagraphFont"/>
    <w:link w:val="PlainText"/>
    <w:rsid w:val="001F3751"/>
    <w:rPr>
      <w:rFonts w:ascii="Courier New" w:eastAsia="Times New Roman" w:hAnsi="Courier New" w:cs="Times New Roman"/>
      <w:sz w:val="20"/>
      <w:szCs w:val="20"/>
      <w:lang w:eastAsia="en-US"/>
    </w:rPr>
  </w:style>
  <w:style w:type="character" w:customStyle="1" w:styleId="MenuOption">
    <w:name w:val="Menu Option"/>
    <w:basedOn w:val="DefaultParagraphFont"/>
    <w:rsid w:val="001F3751"/>
    <w:rPr>
      <w:b/>
      <w:smallCaps/>
    </w:rPr>
  </w:style>
  <w:style w:type="paragraph" w:customStyle="1" w:styleId="TableListNumber">
    <w:name w:val="Table List Number"/>
    <w:basedOn w:val="ListNumber"/>
    <w:rsid w:val="001F3751"/>
    <w:pPr>
      <w:numPr>
        <w:numId w:val="0"/>
      </w:numPr>
    </w:pPr>
  </w:style>
  <w:style w:type="paragraph" w:styleId="TOC4">
    <w:name w:val="toc 4"/>
    <w:basedOn w:val="TOCBase"/>
    <w:next w:val="Normal"/>
    <w:semiHidden/>
    <w:rsid w:val="001F3751"/>
    <w:pPr>
      <w:tabs>
        <w:tab w:val="right" w:leader="dot" w:pos="9071"/>
      </w:tabs>
      <w:ind w:left="1701"/>
    </w:pPr>
  </w:style>
  <w:style w:type="paragraph" w:customStyle="1" w:styleId="ListAlpha">
    <w:name w:val="List Alpha"/>
    <w:basedOn w:val="List"/>
    <w:rsid w:val="001F3751"/>
    <w:pPr>
      <w:numPr>
        <w:numId w:val="10"/>
      </w:numPr>
    </w:pPr>
  </w:style>
  <w:style w:type="paragraph" w:customStyle="1" w:styleId="ListAlpha2">
    <w:name w:val="List Alpha 2"/>
    <w:basedOn w:val="List2"/>
    <w:rsid w:val="001F3751"/>
    <w:pPr>
      <w:numPr>
        <w:numId w:val="9"/>
      </w:numPr>
    </w:pPr>
  </w:style>
  <w:style w:type="paragraph" w:styleId="List2">
    <w:name w:val="List 2"/>
    <w:basedOn w:val="BodyText"/>
    <w:rsid w:val="001F3751"/>
    <w:pPr>
      <w:tabs>
        <w:tab w:val="left" w:pos="680"/>
      </w:tabs>
      <w:spacing w:before="60" w:after="60"/>
      <w:ind w:left="680" w:hanging="340"/>
    </w:pPr>
  </w:style>
  <w:style w:type="paragraph" w:styleId="List3">
    <w:name w:val="List 3"/>
    <w:basedOn w:val="BodyText"/>
    <w:rsid w:val="001F3751"/>
    <w:pPr>
      <w:tabs>
        <w:tab w:val="left" w:pos="1021"/>
      </w:tabs>
      <w:spacing w:before="60" w:after="60"/>
      <w:ind w:left="1020" w:hanging="340"/>
    </w:pPr>
  </w:style>
  <w:style w:type="paragraph" w:styleId="List4">
    <w:name w:val="List 4"/>
    <w:basedOn w:val="BodyText"/>
    <w:rsid w:val="001F3751"/>
    <w:pPr>
      <w:tabs>
        <w:tab w:val="left" w:pos="1361"/>
      </w:tabs>
      <w:spacing w:before="60" w:after="60"/>
      <w:ind w:left="1361" w:hanging="340"/>
    </w:pPr>
  </w:style>
  <w:style w:type="paragraph" w:styleId="List5">
    <w:name w:val="List 5"/>
    <w:basedOn w:val="BodyText"/>
    <w:rsid w:val="001F3751"/>
    <w:pPr>
      <w:tabs>
        <w:tab w:val="left" w:pos="1701"/>
      </w:tabs>
      <w:spacing w:before="60" w:after="60"/>
      <w:ind w:left="1701" w:hanging="340"/>
    </w:pPr>
  </w:style>
  <w:style w:type="paragraph" w:styleId="ListBullet4">
    <w:name w:val="List Bullet 4"/>
    <w:basedOn w:val="List4"/>
    <w:rsid w:val="001F3751"/>
    <w:pPr>
      <w:numPr>
        <w:numId w:val="4"/>
      </w:numPr>
      <w:tabs>
        <w:tab w:val="clear" w:pos="1361"/>
      </w:tabs>
    </w:pPr>
  </w:style>
  <w:style w:type="paragraph" w:styleId="ListBullet5">
    <w:name w:val="List Bullet 5"/>
    <w:basedOn w:val="List5"/>
    <w:rsid w:val="001F3751"/>
    <w:pPr>
      <w:numPr>
        <w:numId w:val="5"/>
      </w:numPr>
    </w:pPr>
  </w:style>
  <w:style w:type="paragraph" w:styleId="ListContinue2">
    <w:name w:val="List Continue 2"/>
    <w:basedOn w:val="List2"/>
    <w:rsid w:val="001F3751"/>
    <w:pPr>
      <w:ind w:firstLine="0"/>
    </w:pPr>
  </w:style>
  <w:style w:type="paragraph" w:styleId="ListContinue3">
    <w:name w:val="List Continue 3"/>
    <w:basedOn w:val="List3"/>
    <w:rsid w:val="001F3751"/>
    <w:pPr>
      <w:ind w:left="1021" w:firstLine="0"/>
    </w:pPr>
  </w:style>
  <w:style w:type="paragraph" w:styleId="ListContinue4">
    <w:name w:val="List Continue 4"/>
    <w:basedOn w:val="List4"/>
    <w:rsid w:val="001F3751"/>
    <w:pPr>
      <w:ind w:firstLine="0"/>
    </w:pPr>
  </w:style>
  <w:style w:type="paragraph" w:styleId="ListContinue5">
    <w:name w:val="List Continue 5"/>
    <w:basedOn w:val="List5"/>
    <w:rsid w:val="001F3751"/>
    <w:pPr>
      <w:ind w:firstLine="0"/>
    </w:pPr>
  </w:style>
  <w:style w:type="paragraph" w:styleId="ListNumber3">
    <w:name w:val="List Number 3"/>
    <w:basedOn w:val="List3"/>
    <w:rsid w:val="001F3751"/>
    <w:pPr>
      <w:numPr>
        <w:numId w:val="6"/>
      </w:numPr>
    </w:pPr>
  </w:style>
  <w:style w:type="paragraph" w:styleId="ListNumber4">
    <w:name w:val="List Number 4"/>
    <w:basedOn w:val="List4"/>
    <w:rsid w:val="001F3751"/>
    <w:pPr>
      <w:numPr>
        <w:numId w:val="7"/>
      </w:numPr>
    </w:pPr>
  </w:style>
  <w:style w:type="paragraph" w:styleId="ListNumber5">
    <w:name w:val="List Number 5"/>
    <w:basedOn w:val="List5"/>
    <w:rsid w:val="001F3751"/>
    <w:pPr>
      <w:numPr>
        <w:numId w:val="8"/>
      </w:numPr>
    </w:pPr>
  </w:style>
  <w:style w:type="paragraph" w:styleId="BlockText">
    <w:name w:val="Block Text"/>
    <w:basedOn w:val="Normal"/>
    <w:rsid w:val="001F3751"/>
    <w:pPr>
      <w:spacing w:after="120"/>
      <w:ind w:left="1440" w:right="1440"/>
    </w:pPr>
  </w:style>
  <w:style w:type="character" w:customStyle="1" w:styleId="Subscript">
    <w:name w:val="Subscript"/>
    <w:basedOn w:val="DefaultParagraphFont"/>
    <w:rsid w:val="001F3751"/>
    <w:rPr>
      <w:sz w:val="16"/>
      <w:vertAlign w:val="subscript"/>
    </w:rPr>
  </w:style>
  <w:style w:type="character" w:customStyle="1" w:styleId="Superscript">
    <w:name w:val="Superscript"/>
    <w:basedOn w:val="DefaultParagraphFont"/>
    <w:rsid w:val="001F3751"/>
    <w:rPr>
      <w:sz w:val="16"/>
      <w:vertAlign w:val="superscript"/>
    </w:rPr>
  </w:style>
  <w:style w:type="character" w:customStyle="1" w:styleId="Symbols">
    <w:name w:val="Symbols"/>
    <w:basedOn w:val="DefaultParagraphFont"/>
    <w:rsid w:val="001F3751"/>
    <w:rPr>
      <w:rFonts w:ascii="Symbol" w:hAnsi="Symbol"/>
    </w:rPr>
  </w:style>
  <w:style w:type="character" w:customStyle="1" w:styleId="MenuOptions">
    <w:name w:val="Menu Options"/>
    <w:basedOn w:val="DefaultParagraphFont"/>
    <w:rsid w:val="001F3751"/>
    <w:rPr>
      <w:rFonts w:ascii="Arial Narrow" w:hAnsi="Arial Narrow"/>
      <w:smallCaps/>
    </w:rPr>
  </w:style>
  <w:style w:type="character" w:customStyle="1" w:styleId="Buttons">
    <w:name w:val="Buttons"/>
    <w:basedOn w:val="DefaultParagraphFont"/>
    <w:rsid w:val="001F3751"/>
    <w:rPr>
      <w:b/>
    </w:rPr>
  </w:style>
  <w:style w:type="character" w:customStyle="1" w:styleId="Underlined">
    <w:name w:val="Underlined"/>
    <w:basedOn w:val="DefaultParagraphFont"/>
    <w:rsid w:val="001F3751"/>
    <w:rPr>
      <w:u w:val="single"/>
    </w:rPr>
  </w:style>
  <w:style w:type="paragraph" w:customStyle="1" w:styleId="TableBodyTextRight">
    <w:name w:val="Table Body Text Right"/>
    <w:basedOn w:val="TableBodyText"/>
    <w:rsid w:val="001F3751"/>
    <w:pPr>
      <w:widowControl w:val="0"/>
      <w:autoSpaceDE w:val="0"/>
      <w:autoSpaceDN w:val="0"/>
      <w:adjustRightInd w:val="0"/>
      <w:jc w:val="right"/>
    </w:pPr>
    <w:rPr>
      <w:rFonts w:cs="Arial"/>
      <w:szCs w:val="18"/>
    </w:rPr>
  </w:style>
  <w:style w:type="paragraph" w:customStyle="1" w:styleId="CopyrightText">
    <w:name w:val="Copyright Text"/>
    <w:basedOn w:val="BodyText"/>
    <w:rsid w:val="001F3751"/>
    <w:rPr>
      <w:sz w:val="18"/>
    </w:rPr>
  </w:style>
  <w:style w:type="paragraph" w:customStyle="1" w:styleId="BodySmallRight">
    <w:name w:val="Body Small Right"/>
    <w:basedOn w:val="BodyTextRight"/>
    <w:rsid w:val="001F3751"/>
    <w:rPr>
      <w:sz w:val="18"/>
      <w:szCs w:val="18"/>
    </w:rPr>
  </w:style>
  <w:style w:type="paragraph" w:customStyle="1" w:styleId="MarginEdition">
    <w:name w:val="Margin Edition"/>
    <w:basedOn w:val="MarginNote"/>
    <w:rsid w:val="001F3751"/>
    <w:pPr>
      <w:spacing w:before="0" w:after="0"/>
    </w:pPr>
    <w:rPr>
      <w:rFonts w:ascii="Times New Roman" w:hAnsi="Times New Roman"/>
      <w:color w:val="999999"/>
    </w:rPr>
  </w:style>
  <w:style w:type="paragraph" w:customStyle="1" w:styleId="Spacer">
    <w:name w:val="Spacer"/>
    <w:basedOn w:val="Normal"/>
    <w:rsid w:val="001F3751"/>
    <w:rPr>
      <w:sz w:val="2"/>
      <w:szCs w:val="2"/>
    </w:rPr>
  </w:style>
  <w:style w:type="character" w:customStyle="1" w:styleId="Small">
    <w:name w:val="Small"/>
    <w:basedOn w:val="DefaultParagraphFont"/>
    <w:rsid w:val="001F3751"/>
    <w:rPr>
      <w:sz w:val="16"/>
    </w:rPr>
  </w:style>
  <w:style w:type="paragraph" w:customStyle="1" w:styleId="WideTable">
    <w:name w:val="Wide Table"/>
    <w:basedOn w:val="Normal"/>
    <w:rsid w:val="001F3751"/>
    <w:pPr>
      <w:ind w:left="-1418"/>
    </w:pPr>
    <w:rPr>
      <w:sz w:val="2"/>
      <w:szCs w:val="2"/>
    </w:rPr>
  </w:style>
  <w:style w:type="character" w:styleId="PageNumber">
    <w:name w:val="page number"/>
    <w:basedOn w:val="DefaultParagraphFont"/>
    <w:rsid w:val="001F3751"/>
  </w:style>
  <w:style w:type="paragraph" w:styleId="Quote">
    <w:name w:val="Quote"/>
    <w:basedOn w:val="Heading1"/>
    <w:link w:val="QuoteChar"/>
    <w:qFormat/>
    <w:rsid w:val="001F3751"/>
    <w:rPr>
      <w:b w:val="0"/>
      <w:sz w:val="72"/>
      <w:szCs w:val="72"/>
      <w:lang w:val="en-NZ"/>
    </w:rPr>
  </w:style>
  <w:style w:type="character" w:customStyle="1" w:styleId="QuoteChar">
    <w:name w:val="Quote Char"/>
    <w:basedOn w:val="DefaultParagraphFont"/>
    <w:link w:val="Quote"/>
    <w:rsid w:val="001F37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751"/>
    <w:pPr>
      <w:pageBreakBefore/>
    </w:pPr>
  </w:style>
  <w:style w:type="paragraph" w:customStyle="1" w:styleId="Border">
    <w:name w:val="Border"/>
    <w:basedOn w:val="Normal"/>
    <w:qFormat/>
    <w:rsid w:val="001F37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751"/>
    <w:rPr>
      <w:b/>
      <w:bCs/>
      <w:i/>
      <w:iCs/>
      <w:color w:val="auto"/>
    </w:rPr>
  </w:style>
  <w:style w:type="paragraph" w:styleId="IntenseQuote">
    <w:name w:val="Intense Quote"/>
    <w:basedOn w:val="Normal"/>
    <w:next w:val="Normal"/>
    <w:link w:val="IntenseQuoteChar"/>
    <w:uiPriority w:val="30"/>
    <w:qFormat/>
    <w:rsid w:val="001F37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7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751"/>
    <w:rPr>
      <w:smallCaps/>
      <w:color w:val="auto"/>
      <w:u w:val="single"/>
    </w:rPr>
  </w:style>
  <w:style w:type="character" w:styleId="IntenseReference">
    <w:name w:val="Intense Reference"/>
    <w:basedOn w:val="DefaultParagraphFont"/>
    <w:uiPriority w:val="32"/>
    <w:qFormat/>
    <w:rsid w:val="001F3751"/>
    <w:rPr>
      <w:b/>
      <w:bCs/>
      <w:smallCaps/>
      <w:color w:val="auto"/>
      <w:spacing w:val="5"/>
      <w:u w:val="single"/>
    </w:rPr>
  </w:style>
  <w:style w:type="paragraph" w:customStyle="1" w:styleId="2ColumnHeading">
    <w:name w:val="2Column Heading"/>
    <w:basedOn w:val="BodyText"/>
    <w:qFormat/>
    <w:rsid w:val="001F3751"/>
    <w:pPr>
      <w:spacing w:after="60"/>
      <w:ind w:left="-2268"/>
    </w:pPr>
    <w:rPr>
      <w:b/>
    </w:rPr>
  </w:style>
  <w:style w:type="paragraph" w:customStyle="1" w:styleId="Heading1TOC">
    <w:name w:val="Heading1 TOC"/>
    <w:basedOn w:val="Normal"/>
    <w:qFormat/>
    <w:rsid w:val="001F3751"/>
    <w:pPr>
      <w:spacing w:before="240" w:after="120"/>
    </w:pPr>
    <w:rPr>
      <w:rFonts w:ascii="Times New Roman" w:hAnsi="Times New Roman"/>
      <w:b/>
      <w:sz w:val="32"/>
    </w:rPr>
  </w:style>
  <w:style w:type="paragraph" w:customStyle="1" w:styleId="Heading2TOC">
    <w:name w:val="Heading2 TOC"/>
    <w:basedOn w:val="Normal"/>
    <w:qFormat/>
    <w:rsid w:val="001F3751"/>
    <w:pPr>
      <w:spacing w:before="240" w:after="60"/>
    </w:pPr>
    <w:rPr>
      <w:rFonts w:ascii="Times New Roman" w:hAnsi="Times New Roman"/>
      <w:b/>
      <w:sz w:val="28"/>
    </w:rPr>
  </w:style>
  <w:style w:type="character" w:customStyle="1" w:styleId="Underline">
    <w:name w:val="Underline"/>
    <w:basedOn w:val="DefaultParagraphFont"/>
    <w:qFormat/>
    <w:rsid w:val="001F3751"/>
    <w:rPr>
      <w:u w:val="single"/>
    </w:rPr>
  </w:style>
  <w:style w:type="character" w:customStyle="1" w:styleId="BoldandItalics">
    <w:name w:val="Bold and Italics"/>
    <w:qFormat/>
    <w:rsid w:val="001F3751"/>
    <w:rPr>
      <w:b/>
      <w:i/>
      <w:u w:val="none"/>
    </w:rPr>
  </w:style>
  <w:style w:type="paragraph" w:styleId="BalloonText">
    <w:name w:val="Balloon Text"/>
    <w:basedOn w:val="Normal"/>
    <w:link w:val="BalloonTextChar"/>
    <w:rsid w:val="001F3751"/>
    <w:rPr>
      <w:rFonts w:ascii="Tahoma" w:hAnsi="Tahoma" w:cs="Tahoma"/>
      <w:sz w:val="16"/>
      <w:szCs w:val="16"/>
    </w:rPr>
  </w:style>
  <w:style w:type="character" w:customStyle="1" w:styleId="BalloonTextChar">
    <w:name w:val="Balloon Text Char"/>
    <w:basedOn w:val="DefaultParagraphFont"/>
    <w:link w:val="BalloonText"/>
    <w:rsid w:val="001F37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7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7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751"/>
    <w:rPr>
      <w:b/>
      <w:color w:val="660033"/>
      <w:spacing w:val="0"/>
    </w:rPr>
  </w:style>
  <w:style w:type="paragraph" w:customStyle="1" w:styleId="Nameditemlist">
    <w:name w:val="Named item list"/>
    <w:basedOn w:val="BodyText"/>
    <w:qFormat/>
    <w:rsid w:val="001F3751"/>
    <w:pPr>
      <w:tabs>
        <w:tab w:val="left" w:pos="2835"/>
      </w:tabs>
      <w:ind w:left="2835" w:hanging="2835"/>
    </w:pPr>
  </w:style>
  <w:style w:type="paragraph" w:customStyle="1" w:styleId="BodyTextnopadding">
    <w:name w:val="Body Text no padding"/>
    <w:basedOn w:val="BodyText"/>
    <w:qFormat/>
    <w:rsid w:val="001F3751"/>
    <w:pPr>
      <w:spacing w:before="0" w:after="0"/>
    </w:pPr>
  </w:style>
  <w:style w:type="paragraph" w:customStyle="1" w:styleId="BodyTextBold">
    <w:name w:val="Body Text Bold"/>
    <w:basedOn w:val="BodyText"/>
    <w:qFormat/>
    <w:rsid w:val="001F3751"/>
    <w:rPr>
      <w:b/>
    </w:rPr>
  </w:style>
  <w:style w:type="character" w:styleId="Hyperlink">
    <w:name w:val="Hyperlink"/>
    <w:basedOn w:val="DefaultParagraphFont"/>
    <w:uiPriority w:val="99"/>
    <w:unhideWhenUsed/>
    <w:rsid w:val="007B64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1088</Words>
  <Characters>7312</Characters>
  <Application>Microsoft Office Word</Application>
  <DocSecurity>0</DocSecurity>
  <Lines>197</Lines>
  <Paragraphs>167</Paragraphs>
  <ScaleCrop>false</ScaleCrop>
  <Company>Author-it Software Corporation Ltd.</Company>
  <LinksUpToDate>false</LinksUpToDate>
  <CharactersWithSpaces>8233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UEERE0033 Develop engineering solutions to renewable energy (RE) problems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2022-10-24T04:05:00Z</dcterms:created>
  <dcterms:modified xsi:type="dcterms:W3CDTF">2022-10-24T04:05:00Z</dcterms:modified>
</cp:coreProperties>
</file>