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89E" w:rsidP="001E389E">
      <w:pPr>
        <w:pStyle w:val="Title"/>
      </w:pPr>
      <w:r>
        <w:fldChar w:fldCharType="begin"/>
      </w:r>
      <w:r>
        <w:instrText xml:space="preserve"> TITLE   \* MERGEFORMAT </w:instrText>
      </w:r>
      <w:r>
        <w:fldChar w:fldCharType="separate"/>
      </w:r>
      <w:r>
        <w:t>Assessment Requirements for UEERE0025 Carry out basic repairs to renewable energy (RE) apparatus</w:t>
      </w:r>
      <w:r>
        <w:fldChar w:fldCharType="end"/>
      </w:r>
    </w:p>
    <w:p w:rsidR="001E389E" w:rsidP="001E389E">
      <w:pPr>
        <w:pStyle w:val="Version"/>
        <w:sectPr w:rsidSect="005A31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181" w:rsidP="005A3181">
      <w:pPr>
        <w:pStyle w:val="SuperHeading"/>
      </w:pPr>
      <w:r w:rsidRPr="005A3181">
        <w:t>Assessment Requirements for UEERE0025 Carry out basic repairs to renewable energy (RE) apparatus</w:t>
      </w:r>
    </w:p>
    <w:p w:rsidR="00000000" w:rsidRPr="005A3181" w:rsidP="005A3181">
      <w:pPr>
        <w:pStyle w:val="Heading1"/>
      </w:pPr>
      <w:bookmarkStart w:id="1" w:name="O_1102834"/>
      <w:bookmarkEnd w:id="1"/>
      <w:r w:rsidRPr="005A3181">
        <w:t>Modification History</w:t>
      </w:r>
    </w:p>
    <w:tbl>
      <w:tblPr>
        <w:tblW w:w="9497" w:type="dxa"/>
        <w:tblLayout w:type="fixed"/>
        <w:tblCellMar>
          <w:left w:w="62" w:type="dxa"/>
          <w:right w:w="62" w:type="dxa"/>
        </w:tblCellMar>
        <w:tblLook w:val="0000"/>
      </w:tblPr>
      <w:tblGrid>
        <w:gridCol w:w="9497"/>
      </w:tblGrid>
      <w:tr w:rsidTr="005A3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181" w:rsidP="005A3181">
            <w:pPr>
              <w:pStyle w:val="BodyText"/>
            </w:pPr>
            <w:r w:rsidRPr="005A3181">
              <w:t>Release 1. This is the first release of this unit of competency in the UEE Electrotechnology Training Package.</w:t>
            </w:r>
          </w:p>
        </w:tc>
      </w:tr>
    </w:tbl>
    <w:p w:rsidR="00000000" w:rsidRPr="005A3181" w:rsidP="005A3181">
      <w:pPr>
        <w:pStyle w:val="NoPaddingFontSize1"/>
      </w:pPr>
    </w:p>
    <w:p w:rsidR="00000000" w:rsidRPr="005A3181" w:rsidP="005A3181">
      <w:pPr>
        <w:pStyle w:val="AllowPageBreak"/>
      </w:pPr>
    </w:p>
    <w:p w:rsidR="00000000" w:rsidRPr="005A3181" w:rsidP="005A3181">
      <w:pPr>
        <w:pStyle w:val="Heading1"/>
      </w:pPr>
      <w:bookmarkStart w:id="2" w:name="O_1102835"/>
      <w:bookmarkEnd w:id="2"/>
      <w:r w:rsidRPr="005A3181">
        <w:t>Performance Evidence</w:t>
      </w:r>
    </w:p>
    <w:tbl>
      <w:tblPr>
        <w:tblW w:w="9497" w:type="dxa"/>
        <w:tblLayout w:type="fixed"/>
        <w:tblCellMar>
          <w:left w:w="62" w:type="dxa"/>
          <w:right w:w="62" w:type="dxa"/>
        </w:tblCellMar>
        <w:tblLook w:val="0000"/>
      </w:tblPr>
      <w:tblGrid>
        <w:gridCol w:w="9497"/>
      </w:tblGrid>
      <w:tr w:rsidTr="005A3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3181">
            <w:pPr>
              <w:pStyle w:val="BodyText"/>
              <w:rPr>
                <w:lang w:val="en-NZ"/>
              </w:rPr>
            </w:pPr>
            <w:r w:rsidRPr="005A3181">
              <w:t>Evidence required to demonstrate competence in this unit must be relevant to and satisfy all of the requirements of the elements, performance criteria and range of conditions on at least one occasion and include:</w:t>
            </w:r>
          </w:p>
        </w:tc>
      </w:tr>
      <w:tr w:rsidTr="005A3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181" w:rsidP="005A3181">
            <w:pPr>
              <w:pStyle w:val="ListBullet"/>
            </w:pPr>
            <w:r w:rsidRPr="005A3181">
              <w:t>fo</w:t>
            </w:r>
            <w:r w:rsidRPr="005A3181">
              <w:t>llowing manufacturer service instructions for access to components</w:t>
            </w:r>
          </w:p>
          <w:p w:rsidR="00000000" w:rsidRPr="005A3181" w:rsidP="005A3181">
            <w:pPr>
              <w:pStyle w:val="ListBullet"/>
            </w:pPr>
            <w:r w:rsidRPr="005A3181">
              <w:t>removing at least three different types of components specified in the work instructions</w:t>
            </w:r>
          </w:p>
          <w:p w:rsidR="00000000" w:rsidRPr="005A3181" w:rsidP="005A3181">
            <w:pPr>
              <w:pStyle w:val="ListBullet"/>
            </w:pPr>
            <w:r w:rsidRPr="005A3181">
              <w:t>replacing components to manufacturer requirements</w:t>
            </w:r>
          </w:p>
          <w:p w:rsidR="00000000" w:rsidRPr="005A3181" w:rsidP="005A3181">
            <w:pPr>
              <w:pStyle w:val="ListBullet"/>
            </w:pPr>
            <w:r w:rsidRPr="005A3181">
              <w:t>reassembling the apparatus correctly</w:t>
            </w:r>
          </w:p>
          <w:p w:rsidR="00000000" w:rsidRPr="005A3181" w:rsidP="005A3181">
            <w:pPr>
              <w:pStyle w:val="ListBullet"/>
            </w:pPr>
            <w:r w:rsidRPr="005A3181">
              <w:t>testing appar</w:t>
            </w:r>
            <w:r w:rsidRPr="005A3181">
              <w:t>atus operation</w:t>
            </w:r>
          </w:p>
          <w:p w:rsidR="00000000" w:rsidRPr="005A3181" w:rsidP="005A3181">
            <w:pPr>
              <w:pStyle w:val="ListBullet"/>
            </w:pPr>
            <w:r w:rsidRPr="005A3181">
              <w:t>dealing with unplanned events</w:t>
            </w:r>
          </w:p>
          <w:p w:rsidR="00000000" w:rsidRPr="005A3181" w:rsidP="005A3181">
            <w:pPr>
              <w:pStyle w:val="ListBullet"/>
            </w:pPr>
            <w:r w:rsidRPr="005A3181">
              <w:t>applying relevant risk identification, assessment, reporting and control requirements</w:t>
            </w:r>
          </w:p>
          <w:p w:rsidR="00000000" w:rsidRPr="005A3181" w:rsidP="005A3181">
            <w:pPr>
              <w:pStyle w:val="ListBullet"/>
            </w:pPr>
            <w:r w:rsidRPr="005A3181">
              <w:t>applying relevant work health and safety (WHS)/occupational health and safety (OHS) requirements, including the use of risk control measures</w:t>
            </w:r>
          </w:p>
          <w:p w:rsidR="00000000" w:rsidRPr="005A3181" w:rsidP="005A3181">
            <w:pPr>
              <w:pStyle w:val="ListBullet"/>
            </w:pPr>
            <w:r w:rsidRPr="005A3181">
              <w:t>applying sustainable energy principles and practices</w:t>
            </w:r>
          </w:p>
          <w:p w:rsidR="00000000" w:rsidRPr="005A3181" w:rsidP="005A3181">
            <w:pPr>
              <w:pStyle w:val="ListBullet"/>
            </w:pPr>
            <w:r w:rsidRPr="005A3181">
              <w:t>carrying out repairs to renewable energy (RE) apparatus, inclu</w:t>
            </w:r>
            <w:r w:rsidRPr="005A3181">
              <w:t>ding:</w:t>
            </w:r>
          </w:p>
          <w:p w:rsidR="00000000" w:rsidRPr="005A3181" w:rsidP="005A3181">
            <w:pPr>
              <w:pStyle w:val="ListBullet2"/>
            </w:pPr>
            <w:r w:rsidRPr="005A3181">
              <w:t>completing and reporting on repair work</w:t>
            </w:r>
          </w:p>
          <w:p w:rsidR="00000000" w:rsidRPr="005A3181" w:rsidP="005A3181">
            <w:pPr>
              <w:pStyle w:val="ListBullet2"/>
            </w:pPr>
            <w:r w:rsidRPr="005A3181">
              <w:t>determining scope of repair work</w:t>
            </w:r>
          </w:p>
          <w:p w:rsidR="00000000" w:rsidRPr="005A3181" w:rsidP="005A3181">
            <w:pPr>
              <w:pStyle w:val="ListBullet"/>
            </w:pPr>
            <w:r w:rsidRPr="005A3181">
              <w:t>checking isolation of circuits/machines/systems</w:t>
            </w:r>
          </w:p>
          <w:p w:rsidR="00000000" w:rsidRPr="005A3181" w:rsidP="005A3181">
            <w:pPr>
              <w:pStyle w:val="ListBullet"/>
            </w:pPr>
            <w:r w:rsidRPr="005A3181">
              <w:t>coordinating work with relevant person/s</w:t>
            </w:r>
          </w:p>
          <w:p w:rsidR="00000000" w:rsidRPr="005A3181" w:rsidP="005A3181">
            <w:pPr>
              <w:pStyle w:val="ListBullet"/>
            </w:pPr>
            <w:r w:rsidRPr="005A3181">
              <w:t>determining live testing/measurement requirements</w:t>
            </w:r>
          </w:p>
          <w:p w:rsidR="00000000" w:rsidRPr="005A3181" w:rsidP="005A3181">
            <w:pPr>
              <w:pStyle w:val="ListBullet"/>
            </w:pPr>
            <w:r w:rsidRPr="005A3181">
              <w:t>identifying and accessing materials,</w:t>
            </w:r>
            <w:r w:rsidRPr="005A3181">
              <w:t xml:space="preserve"> tools, equipment and testing devices.</w:t>
            </w:r>
          </w:p>
        </w:tc>
      </w:tr>
    </w:tbl>
    <w:p w:rsidR="00000000" w:rsidRPr="005A3181" w:rsidP="005A3181">
      <w:pPr>
        <w:pStyle w:val="NoPaddingFontSize1"/>
      </w:pPr>
    </w:p>
    <w:p w:rsidR="00000000" w:rsidRPr="005A3181" w:rsidP="005A3181">
      <w:pPr>
        <w:pStyle w:val="AllowPageBreak"/>
      </w:pPr>
    </w:p>
    <w:p w:rsidR="00000000" w:rsidRPr="005A3181" w:rsidP="005A3181">
      <w:pPr>
        <w:pStyle w:val="Heading1"/>
      </w:pPr>
      <w:bookmarkStart w:id="3" w:name="O_1102836"/>
      <w:bookmarkEnd w:id="3"/>
      <w:r w:rsidRPr="005A3181">
        <w:t>Knowledge Evidence</w:t>
      </w:r>
    </w:p>
    <w:tbl>
      <w:tblPr>
        <w:tblW w:w="9497" w:type="dxa"/>
        <w:tblLayout w:type="fixed"/>
        <w:tblCellMar>
          <w:left w:w="62" w:type="dxa"/>
          <w:right w:w="62" w:type="dxa"/>
        </w:tblCellMar>
        <w:tblLook w:val="0000"/>
      </w:tblPr>
      <w:tblGrid>
        <w:gridCol w:w="9497"/>
      </w:tblGrid>
      <w:tr w:rsidTr="005A3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3181">
            <w:pPr>
              <w:pStyle w:val="BodyText"/>
              <w:rPr>
                <w:lang w:val="en-NZ"/>
              </w:rPr>
            </w:pPr>
            <w:r w:rsidRPr="005A3181">
              <w:t xml:space="preserve">Evidence required to demonstrate competence in this unit must be relevant to and satisfy all of the requirements of the elements, performance criteria </w:t>
            </w:r>
            <w:r w:rsidRPr="005A3181">
              <w:t>and range of conditions and include knowledge of:</w:t>
            </w:r>
          </w:p>
        </w:tc>
      </w:tr>
      <w:tr w:rsidTr="005A3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181" w:rsidP="005A3181">
            <w:pPr>
              <w:pStyle w:val="ListBullet"/>
            </w:pPr>
            <w:r w:rsidRPr="005A3181">
              <w:t>RE technologies, including:</w:t>
            </w:r>
          </w:p>
          <w:p w:rsidR="00000000" w:rsidRPr="005A3181" w:rsidP="005A3181">
            <w:pPr>
              <w:pStyle w:val="ListBullet2"/>
            </w:pPr>
            <w:r w:rsidRPr="005A3181">
              <w:t>major non-technical issues encompassing:</w:t>
            </w:r>
          </w:p>
          <w:p w:rsidR="00000000" w:rsidRPr="005A3181" w:rsidP="005A3181">
            <w:pPr>
              <w:pStyle w:val="ListBullet3"/>
            </w:pPr>
            <w:r w:rsidRPr="005A3181">
              <w:t>impact of economic, social, environmental and political issues on the use of RE technologies</w:t>
            </w:r>
          </w:p>
          <w:p w:rsidR="00000000" w:rsidRPr="005A3181" w:rsidP="005A3181">
            <w:pPr>
              <w:pStyle w:val="ListBullet3"/>
            </w:pPr>
            <w:r w:rsidRPr="005A3181">
              <w:t xml:space="preserve">how each of the non-technical issues impact on the application of a selected RE </w:t>
            </w:r>
            <w:r w:rsidRPr="005A3181">
              <w:t>technology</w:t>
            </w:r>
          </w:p>
          <w:p w:rsidR="00000000" w:rsidRPr="005A3181" w:rsidP="005A3181">
            <w:pPr>
              <w:pStyle w:val="ListBullet2"/>
            </w:pPr>
            <w:r w:rsidRPr="005A3181">
              <w:t>energy services and demand encompassing:</w:t>
            </w:r>
          </w:p>
          <w:p w:rsidR="00000000" w:rsidRPr="005A3181" w:rsidP="005A3181">
            <w:pPr>
              <w:pStyle w:val="ListBullet3"/>
            </w:pPr>
            <w:r w:rsidRPr="005A3181">
              <w:t>definition of the terms: energy, power, energy efficiency, end-use energy, primary energy and embodied energy</w:t>
            </w:r>
          </w:p>
          <w:p w:rsidR="00000000" w:rsidRPr="005A3181" w:rsidP="005A3181">
            <w:pPr>
              <w:pStyle w:val="ListBullet3"/>
            </w:pPr>
            <w:r w:rsidRPr="005A3181">
              <w:t xml:space="preserve">calculation </w:t>
            </w:r>
            <w:r w:rsidRPr="005A3181">
              <w:t>relating to energy, power and time with the appropriate number and time with the appropriate number of significant figures</w:t>
            </w:r>
          </w:p>
          <w:p w:rsidR="00000000" w:rsidRPr="005A3181" w:rsidP="005A3181">
            <w:pPr>
              <w:pStyle w:val="ListBullet3"/>
            </w:pPr>
            <w:r w:rsidRPr="005A3181">
              <w:t>units and symbols for energy, power, time and temperature using standard International System of Units (SI) and prefixes</w:t>
            </w:r>
          </w:p>
          <w:p w:rsidR="00000000" w:rsidRPr="005A3181" w:rsidP="005A3181">
            <w:pPr>
              <w:pStyle w:val="ListBullet3"/>
            </w:pPr>
            <w:r w:rsidRPr="005A3181">
              <w:t>conversion o</w:t>
            </w:r>
            <w:r w:rsidRPr="005A3181">
              <w:t>f energy and power quantities from one unit to another using conversion tables</w:t>
            </w:r>
          </w:p>
          <w:p w:rsidR="00000000" w:rsidRPr="005A3181" w:rsidP="005A3181">
            <w:pPr>
              <w:pStyle w:val="ListBullet3"/>
            </w:pPr>
            <w:r w:rsidRPr="005A3181">
              <w:t>the two laws that apply to any energy conversion process</w:t>
            </w:r>
          </w:p>
          <w:p w:rsidR="00000000" w:rsidRPr="005A3181" w:rsidP="005A3181">
            <w:pPr>
              <w:pStyle w:val="ListBullet3"/>
            </w:pPr>
            <w:r w:rsidRPr="005A3181">
              <w:t>efficiency of a simple energy conversion process</w:t>
            </w:r>
          </w:p>
          <w:p w:rsidR="00000000" w:rsidRPr="005A3181" w:rsidP="005A3181">
            <w:pPr>
              <w:pStyle w:val="ListBullet3"/>
            </w:pPr>
            <w:r w:rsidRPr="005A3181">
              <w:t>energy services required by a domestic dwelling</w:t>
            </w:r>
          </w:p>
          <w:p w:rsidR="00000000" w:rsidRPr="005A3181" w:rsidP="005A3181">
            <w:pPr>
              <w:pStyle w:val="ListBullet3"/>
            </w:pPr>
            <w:r w:rsidRPr="005A3181">
              <w:t>power and energy consum</w:t>
            </w:r>
            <w:r w:rsidRPr="005A3181">
              <w:t>ption of individual appliances and systems using appropriate meters or other methods</w:t>
            </w:r>
          </w:p>
          <w:p w:rsidR="00000000" w:rsidRPr="005A3181" w:rsidP="005A3181">
            <w:pPr>
              <w:pStyle w:val="ListBullet3"/>
            </w:pPr>
            <w:r w:rsidRPr="005A3181">
              <w:t>calculation of the end use and primary energy required for these energy services</w:t>
            </w:r>
          </w:p>
          <w:p w:rsidR="00000000" w:rsidRPr="005A3181" w:rsidP="005A3181">
            <w:pPr>
              <w:pStyle w:val="ListBullet3"/>
            </w:pPr>
            <w:r w:rsidRPr="005A3181">
              <w:t>selection of the most appropriate energy source for each of these services</w:t>
            </w:r>
          </w:p>
          <w:p w:rsidR="00000000" w:rsidRPr="005A3181" w:rsidP="005A3181">
            <w:pPr>
              <w:pStyle w:val="ListBullet3"/>
            </w:pPr>
            <w:r w:rsidRPr="005A3181">
              <w:t>justification in terms of environmental, economic, social and political constraints</w:t>
            </w:r>
          </w:p>
          <w:p w:rsidR="00000000" w:rsidRPr="005A3181" w:rsidP="005A3181">
            <w:pPr>
              <w:pStyle w:val="ListBullet3"/>
            </w:pPr>
            <w:r w:rsidRPr="005A3181">
              <w:t>selection of appropriate energy efficient appliances and technologies</w:t>
            </w:r>
          </w:p>
          <w:p w:rsidR="00000000" w:rsidRPr="005A3181" w:rsidP="005A3181">
            <w:pPr>
              <w:pStyle w:val="ListBullet2"/>
            </w:pPr>
            <w:r w:rsidRPr="005A3181">
              <w:t>solar resource encompassing:</w:t>
            </w:r>
          </w:p>
          <w:p w:rsidR="00000000" w:rsidRPr="005A3181" w:rsidP="005A3181">
            <w:pPr>
              <w:pStyle w:val="ListBullet3"/>
            </w:pPr>
            <w:r w:rsidRPr="005A3181">
              <w:t xml:space="preserve">definition of the terms: irradiation, latitude, solar constant, direct </w:t>
            </w:r>
            <w:r w:rsidRPr="005A3181">
              <w:t>and diffuse radiation, azimuth and altitude angles, irradiance, solar window, tilt angle, solstice and equinox</w:t>
            </w:r>
          </w:p>
          <w:p w:rsidR="00000000" w:rsidRPr="005A3181" w:rsidP="005A3181">
            <w:pPr>
              <w:pStyle w:val="ListBullet3"/>
            </w:pPr>
            <w:r w:rsidRPr="005A3181">
              <w:t>units and symbols for irradiation and irradiance and the conversion of one unit to another using conversion tables</w:t>
            </w:r>
          </w:p>
          <w:p w:rsidR="00000000" w:rsidRPr="005A3181" w:rsidP="005A3181">
            <w:pPr>
              <w:pStyle w:val="ListBullet3"/>
            </w:pPr>
            <w:r w:rsidRPr="005A3181">
              <w:t>measurement of solar irradianc</w:t>
            </w:r>
            <w:r w:rsidRPr="005A3181">
              <w:t>e with a solarimeter</w:t>
            </w:r>
          </w:p>
          <w:p w:rsidR="00000000" w:rsidRPr="005A3181" w:rsidP="005A3181">
            <w:pPr>
              <w:pStyle w:val="ListBullet3"/>
            </w:pPr>
            <w:r w:rsidRPr="005A3181">
              <w:t>solar radiation data tables and contour maps</w:t>
            </w:r>
          </w:p>
          <w:p w:rsidR="00000000" w:rsidRPr="005A3181" w:rsidP="005A3181">
            <w:pPr>
              <w:pStyle w:val="ListBullet3"/>
            </w:pPr>
            <w:r w:rsidRPr="005A3181">
              <w:t>position of the sun for a given date, time and latitude using a sun path diagram</w:t>
            </w:r>
          </w:p>
          <w:p w:rsidR="00000000" w:rsidRPr="005A3181" w:rsidP="005A3181">
            <w:pPr>
              <w:pStyle w:val="ListBullet3"/>
            </w:pPr>
            <w:r w:rsidRPr="005A3181">
              <w:t>times when an obstacle will shade a given collector</w:t>
            </w:r>
          </w:p>
          <w:p w:rsidR="00000000" w:rsidRPr="005A3181" w:rsidP="005A3181">
            <w:pPr>
              <w:pStyle w:val="ListBullet3"/>
            </w:pPr>
            <w:r w:rsidRPr="005A3181">
              <w:t>how radiation varies throughout the year on the surface o</w:t>
            </w:r>
            <w:r w:rsidRPr="005A3181">
              <w:t>f a collector which is either fixed, single-axis tracking or double-axis tracking</w:t>
            </w:r>
          </w:p>
          <w:p w:rsidR="00000000" w:rsidRPr="005A3181" w:rsidP="005A3181">
            <w:pPr>
              <w:pStyle w:val="ListBullet3"/>
            </w:pPr>
            <w:r w:rsidRPr="005A3181">
              <w:t>appropriate tilt angles for fixed and seasonally-adjustable collectors at a given latitude and given application</w:t>
            </w:r>
          </w:p>
          <w:p w:rsidR="00000000" w:rsidRPr="005A3181" w:rsidP="005A3181">
            <w:pPr>
              <w:pStyle w:val="ListBullet3"/>
            </w:pPr>
            <w:r w:rsidRPr="005A3181">
              <w:t>calculation of the effect of single-axis tracking and double-</w:t>
            </w:r>
            <w:r w:rsidRPr="005A3181">
              <w:t>axis tracking on collected radiation using radiation data tables</w:t>
            </w:r>
          </w:p>
          <w:p w:rsidR="00000000" w:rsidRPr="005A3181" w:rsidP="005A3181">
            <w:pPr>
              <w:pStyle w:val="ListBullet2"/>
            </w:pPr>
            <w:r w:rsidRPr="005A3181">
              <w:t>solar thermal systems encompassing:</w:t>
            </w:r>
          </w:p>
          <w:p w:rsidR="00000000" w:rsidRPr="005A3181" w:rsidP="005A3181">
            <w:pPr>
              <w:pStyle w:val="ListBullet3"/>
            </w:pPr>
            <w:r w:rsidRPr="005A3181">
              <w:t>definition of terms: conduction, convection, radiation, collector heat loss co-efficient, conductivity, specific heat and solar fraction</w:t>
            </w:r>
          </w:p>
          <w:p w:rsidR="00000000" w:rsidRPr="005A3181" w:rsidP="005A3181">
            <w:pPr>
              <w:pStyle w:val="ListBullet3"/>
            </w:pPr>
            <w:r w:rsidRPr="005A3181">
              <w:t>components for a solar thermal system, including collector, storage, reticulation and control</w:t>
            </w:r>
          </w:p>
          <w:p w:rsidR="00000000" w:rsidRPr="005A3181" w:rsidP="005A3181">
            <w:pPr>
              <w:pStyle w:val="ListBullet3"/>
            </w:pPr>
            <w:r w:rsidRPr="005A3181">
              <w:t>solar collector types suitable for low, medium and high temperature applications</w:t>
            </w:r>
          </w:p>
          <w:p w:rsidR="00000000" w:rsidRPr="005A3181" w:rsidP="005A3181">
            <w:pPr>
              <w:pStyle w:val="ListBullet3"/>
            </w:pPr>
            <w:r w:rsidRPr="005A3181">
              <w:t>different types of domestic solar hot water (SHW) systems</w:t>
            </w:r>
          </w:p>
          <w:p w:rsidR="00000000" w:rsidRPr="005A3181" w:rsidP="005A3181">
            <w:pPr>
              <w:pStyle w:val="ListBullet3"/>
            </w:pPr>
            <w:r w:rsidRPr="005A3181">
              <w:t>how the components of t</w:t>
            </w:r>
            <w:r w:rsidRPr="005A3181">
              <w:t>hermosiphon and pumped storage systems operate</w:t>
            </w:r>
          </w:p>
          <w:p w:rsidR="00000000" w:rsidRPr="005A3181" w:rsidP="005A3181">
            <w:pPr>
              <w:pStyle w:val="ListBullet3"/>
            </w:pPr>
            <w:r w:rsidRPr="005A3181">
              <w:t>heat loss mechanisms in collectors</w:t>
            </w:r>
          </w:p>
          <w:p w:rsidR="00000000" w:rsidRPr="005A3181" w:rsidP="005A3181">
            <w:pPr>
              <w:pStyle w:val="ListBullet3"/>
            </w:pPr>
            <w:r w:rsidRPr="005A3181">
              <w:t>stratification in storage tanks</w:t>
            </w:r>
          </w:p>
          <w:p w:rsidR="00000000" w:rsidRPr="005A3181" w:rsidP="005A3181">
            <w:pPr>
              <w:pStyle w:val="ListBullet3"/>
            </w:pPr>
            <w:r w:rsidRPr="005A3181">
              <w:t>backup energy systems</w:t>
            </w:r>
          </w:p>
          <w:p w:rsidR="00000000" w:rsidRPr="005A3181" w:rsidP="005A3181">
            <w:pPr>
              <w:pStyle w:val="ListBullet3"/>
            </w:pPr>
            <w:r w:rsidRPr="005A3181">
              <w:t>control and protection strategies</w:t>
            </w:r>
          </w:p>
          <w:p w:rsidR="00000000" w:rsidRPr="005A3181" w:rsidP="005A3181">
            <w:pPr>
              <w:pStyle w:val="ListBullet3"/>
            </w:pPr>
            <w:r w:rsidRPr="005A3181">
              <w:t>solar fraction of a domestic SHW system with the use of table or nomograms</w:t>
            </w:r>
          </w:p>
          <w:p w:rsidR="00000000" w:rsidRPr="005A3181" w:rsidP="005A3181">
            <w:pPr>
              <w:pStyle w:val="ListBullet2"/>
            </w:pPr>
            <w:r w:rsidRPr="005A3181">
              <w:t>energy eff</w:t>
            </w:r>
            <w:r w:rsidRPr="005A3181">
              <w:t>icient building design encompassing:</w:t>
            </w:r>
          </w:p>
          <w:p w:rsidR="00000000" w:rsidRPr="005A3181" w:rsidP="005A3181">
            <w:pPr>
              <w:pStyle w:val="ListBullet3"/>
            </w:pPr>
            <w:r w:rsidRPr="005A3181">
              <w:t>definition of terms: thermal comfort, passive system, active system, aspect of the site, orientation of the building and thermal mass</w:t>
            </w:r>
          </w:p>
          <w:p w:rsidR="00000000" w:rsidRPr="005A3181" w:rsidP="005A3181">
            <w:pPr>
              <w:pStyle w:val="ListBullet3"/>
            </w:pPr>
            <w:r w:rsidRPr="005A3181">
              <w:t>the climate factors which affect building design</w:t>
            </w:r>
          </w:p>
          <w:p w:rsidR="00000000" w:rsidRPr="005A3181" w:rsidP="005A3181">
            <w:pPr>
              <w:pStyle w:val="ListBullet3"/>
            </w:pPr>
            <w:r w:rsidRPr="005A3181">
              <w:t>relationship between thermal comfort and climate</w:t>
            </w:r>
          </w:p>
          <w:p w:rsidR="00000000" w:rsidRPr="005A3181" w:rsidP="005A3181">
            <w:pPr>
              <w:pStyle w:val="ListBullet3"/>
            </w:pPr>
            <w:r w:rsidRPr="005A3181">
              <w:t>relationship between the seasonal variation of the sun’s path and the heat gain of the building elements (roof, walls, windows and floor)</w:t>
            </w:r>
          </w:p>
          <w:p w:rsidR="00000000" w:rsidRPr="005A3181" w:rsidP="005A3181">
            <w:pPr>
              <w:pStyle w:val="ListBullet3"/>
            </w:pPr>
            <w:r w:rsidRPr="005A3181">
              <w:t>effect of the thermal conductivity of building materials on heat flow</w:t>
            </w:r>
            <w:r w:rsidRPr="005A3181">
              <w:t>s to and from the building</w:t>
            </w:r>
          </w:p>
          <w:p w:rsidR="00000000" w:rsidRPr="005A3181" w:rsidP="005A3181">
            <w:pPr>
              <w:pStyle w:val="ListBullet3"/>
            </w:pPr>
            <w:r w:rsidRPr="005A3181">
              <w:t>use of thermal mass in reducing temperature variations within the building</w:t>
            </w:r>
          </w:p>
          <w:p w:rsidR="00000000" w:rsidRPr="005A3181" w:rsidP="005A3181">
            <w:pPr>
              <w:pStyle w:val="ListBullet3"/>
            </w:pPr>
            <w:r w:rsidRPr="005A3181">
              <w:t>use of ventilation</w:t>
            </w:r>
          </w:p>
          <w:p w:rsidR="00000000" w:rsidRPr="005A3181" w:rsidP="005A3181">
            <w:pPr>
              <w:pStyle w:val="ListBullet3"/>
            </w:pPr>
            <w:r w:rsidRPr="005A3181">
              <w:t>thermal performance of a dwelling using both indoor and outdoor hourly temperature measurements over the period of at least one day</w:t>
            </w:r>
          </w:p>
          <w:p w:rsidR="00000000" w:rsidRPr="005A3181" w:rsidP="005A3181">
            <w:pPr>
              <w:pStyle w:val="ListBullet3"/>
            </w:pPr>
            <w:r w:rsidRPr="005A3181">
              <w:t>eff</w:t>
            </w:r>
            <w:r w:rsidRPr="005A3181">
              <w:t>ect of insulation, glazing, orientation, shading devices, thermal mass and ventilation on the thermal performance of a building</w:t>
            </w:r>
          </w:p>
          <w:p w:rsidR="00000000" w:rsidRPr="005A3181" w:rsidP="005A3181">
            <w:pPr>
              <w:pStyle w:val="ListBullet3"/>
            </w:pPr>
            <w:r w:rsidRPr="005A3181">
              <w:t>an active solar system which could be used in a dwelling to complement passive design features in extreme climates</w:t>
            </w:r>
          </w:p>
          <w:p w:rsidR="00000000" w:rsidRPr="005A3181" w:rsidP="005A3181">
            <w:pPr>
              <w:pStyle w:val="ListBullet3"/>
            </w:pPr>
            <w:r w:rsidRPr="005A3181">
              <w:t>aspects of an</w:t>
            </w:r>
            <w:r w:rsidRPr="005A3181">
              <w:t xml:space="preserve"> existing dwelling that contribute to or detract from thermal performance</w:t>
            </w:r>
          </w:p>
          <w:p w:rsidR="00000000" w:rsidRPr="005A3181" w:rsidP="005A3181">
            <w:pPr>
              <w:pStyle w:val="ListBullet2"/>
            </w:pPr>
            <w:r w:rsidRPr="005A3181">
              <w:t>photovoltaic (PV) arrays encompassing:</w:t>
            </w:r>
          </w:p>
          <w:p w:rsidR="00000000" w:rsidRPr="005A3181" w:rsidP="005A3181">
            <w:pPr>
              <w:pStyle w:val="ListBullet3"/>
            </w:pPr>
            <w:r w:rsidRPr="005A3181">
              <w:t>definition of terms: PV cell, module, series, parallel, array, maximum power point (MPP), nominal operating cell temperature (NOCT), short ci</w:t>
            </w:r>
            <w:r w:rsidRPr="005A3181">
              <w:t>rcuit current (ISC), open circuit voltage (VOC), I-V curve, current at maximum power point (IMP) and voltage at maximum power point (VMP)</w:t>
            </w:r>
          </w:p>
          <w:p w:rsidR="00000000" w:rsidRPr="005A3181" w:rsidP="005A3181">
            <w:pPr>
              <w:pStyle w:val="ListBullet3"/>
            </w:pPr>
            <w:r w:rsidRPr="005A3181">
              <w:t>calculations relating to voltage, current and power with the appropriate number of significant figures and using stand</w:t>
            </w:r>
            <w:r w:rsidRPr="005A3181">
              <w:t>ard SI units and prefixes</w:t>
            </w:r>
          </w:p>
          <w:p w:rsidR="00000000" w:rsidRPr="005A3181" w:rsidP="005A3181">
            <w:pPr>
              <w:pStyle w:val="ListBullet3"/>
            </w:pPr>
            <w:r w:rsidRPr="005A3181">
              <w:t>types of commercially available PV modules, their efficiency and typical applications</w:t>
            </w:r>
          </w:p>
          <w:p w:rsidR="00000000" w:rsidRPr="005A3181" w:rsidP="005A3181">
            <w:pPr>
              <w:pStyle w:val="ListBullet3"/>
            </w:pPr>
            <w:r w:rsidRPr="005A3181">
              <w:t>I-V curve for a typical PV module and label the approximate position of MPP and values of ISC, VOC, IMP and VMP</w:t>
            </w:r>
          </w:p>
          <w:p w:rsidR="00000000" w:rsidRPr="005A3181" w:rsidP="005A3181">
            <w:pPr>
              <w:pStyle w:val="ListBullet3"/>
            </w:pPr>
            <w:r w:rsidRPr="005A3181">
              <w:t>effect of irradiance and temperature on ISC, VOC, IMP and VMP</w:t>
            </w:r>
          </w:p>
          <w:p w:rsidR="00000000" w:rsidRPr="005A3181" w:rsidP="005A3181">
            <w:pPr>
              <w:pStyle w:val="ListBullet3"/>
            </w:pPr>
            <w:r w:rsidRPr="005A3181">
              <w:t>function of blocking and bypass diodes</w:t>
            </w:r>
          </w:p>
          <w:p w:rsidR="00000000" w:rsidRPr="005A3181" w:rsidP="005A3181">
            <w:pPr>
              <w:pStyle w:val="ListBullet3"/>
            </w:pPr>
            <w:r w:rsidRPr="005A3181">
              <w:t>current and voltage of a single module to produce the I-V characteristic curve</w:t>
            </w:r>
          </w:p>
          <w:p w:rsidR="00000000" w:rsidRPr="005A3181" w:rsidP="005A3181">
            <w:pPr>
              <w:pStyle w:val="ListBullet3"/>
            </w:pPr>
            <w:r w:rsidRPr="005A3181">
              <w:t>major specification criteria for a PV module</w:t>
            </w:r>
          </w:p>
          <w:p w:rsidR="00000000" w:rsidRPr="005A3181" w:rsidP="005A3181">
            <w:pPr>
              <w:pStyle w:val="ListBullet3"/>
            </w:pPr>
            <w:r w:rsidRPr="005A3181">
              <w:t xml:space="preserve">size and configuration of a PV </w:t>
            </w:r>
            <w:r w:rsidRPr="005A3181">
              <w:t>array for a given load and system voltage using tables or nomograms</w:t>
            </w:r>
          </w:p>
          <w:p w:rsidR="00000000" w:rsidRPr="005A3181" w:rsidP="005A3181">
            <w:pPr>
              <w:pStyle w:val="ListBullet2"/>
            </w:pPr>
            <w:r w:rsidRPr="005A3181">
              <w:t>wind energy resources encompassing:</w:t>
            </w:r>
          </w:p>
          <w:p w:rsidR="00000000" w:rsidRPr="005A3181" w:rsidP="005A3181">
            <w:pPr>
              <w:pStyle w:val="ListBullet3"/>
            </w:pPr>
            <w:r w:rsidRPr="005A3181">
              <w:t>definition of terms: kinetic energy, specific wind power, vertical wind speed profile, surface roughness, temperature inversion layer, cut in (vC), ra</w:t>
            </w:r>
            <w:r w:rsidRPr="005A3181">
              <w:t>ted (vR) and furling (vF) wind</w:t>
            </w:r>
          </w:p>
          <w:p w:rsidR="00000000" w:rsidRPr="005A3181" w:rsidP="005A3181">
            <w:pPr>
              <w:pStyle w:val="ListBullet2"/>
            </w:pPr>
            <w:r w:rsidRPr="005A3181">
              <w:t>speeds, rated power (PR), power co-efficient (cP), output co-efficient (cO and tip speed ratio</w:t>
            </w:r>
          </w:p>
          <w:p w:rsidR="00000000" w:rsidRPr="005A3181" w:rsidP="005A3181">
            <w:pPr>
              <w:pStyle w:val="ListBullet3"/>
            </w:pPr>
            <w:r w:rsidRPr="005A3181">
              <w:t>units and symbols for wind speed, specific wind power and air density</w:t>
            </w:r>
          </w:p>
          <w:p w:rsidR="00000000" w:rsidRPr="005A3181" w:rsidP="005A3181">
            <w:pPr>
              <w:pStyle w:val="ListBullet3"/>
            </w:pPr>
            <w:r w:rsidRPr="005A3181">
              <w:t>large scale wind patterns over the Australian continent, t</w:t>
            </w:r>
            <w:r w:rsidRPr="005A3181">
              <w:t>heir causes and the effect of local terrain on wind speed, direction and turbulence</w:t>
            </w:r>
          </w:p>
          <w:p w:rsidR="00000000" w:rsidRPr="005A3181" w:rsidP="005A3181">
            <w:pPr>
              <w:pStyle w:val="ListBullet3"/>
            </w:pPr>
            <w:r w:rsidRPr="005A3181">
              <w:t>specific wind power for given wind speeds</w:t>
            </w:r>
          </w:p>
          <w:p w:rsidR="00000000" w:rsidRPr="005A3181" w:rsidP="005A3181">
            <w:pPr>
              <w:pStyle w:val="ListBullet3"/>
            </w:pPr>
            <w:r w:rsidRPr="005A3181">
              <w:t>wind speed at different heights above ground level</w:t>
            </w:r>
          </w:p>
          <w:p w:rsidR="00000000" w:rsidRPr="005A3181" w:rsidP="005A3181">
            <w:pPr>
              <w:pStyle w:val="ListBullet3"/>
            </w:pPr>
            <w:r w:rsidRPr="005A3181">
              <w:t>the mean wind speed based on wind speed frequency distribution data in the form of a histogram</w:t>
            </w:r>
          </w:p>
          <w:p w:rsidR="00000000" w:rsidRPr="005A3181" w:rsidP="005A3181">
            <w:pPr>
              <w:pStyle w:val="ListBullet3"/>
            </w:pPr>
            <w:r w:rsidRPr="005A3181">
              <w:t>suitable minimum tower height for a wind energy conversion system (WECS) sited downwind from an obstacle</w:t>
            </w:r>
          </w:p>
          <w:p w:rsidR="00000000" w:rsidRPr="005A3181" w:rsidP="005A3181">
            <w:pPr>
              <w:pStyle w:val="ListBullet3"/>
            </w:pPr>
            <w:r w:rsidRPr="005A3181">
              <w:t>isovent maps</w:t>
            </w:r>
          </w:p>
          <w:p w:rsidR="00000000" w:rsidRPr="005A3181" w:rsidP="005A3181">
            <w:pPr>
              <w:pStyle w:val="ListBullet3"/>
            </w:pPr>
            <w:r w:rsidRPr="005A3181">
              <w:t>types of wind-measuring instruments and the</w:t>
            </w:r>
            <w:r w:rsidRPr="005A3181">
              <w:t xml:space="preserve"> minimum requirements for assessing wind energy at a given site</w:t>
            </w:r>
          </w:p>
          <w:p w:rsidR="00000000" w:rsidRPr="005A3181" w:rsidP="005A3181">
            <w:pPr>
              <w:pStyle w:val="ListBullet3"/>
            </w:pPr>
            <w:r w:rsidRPr="005A3181">
              <w:t>measurement of wind speed and direction</w:t>
            </w:r>
          </w:p>
          <w:p w:rsidR="00000000" w:rsidRPr="005A3181" w:rsidP="005A3181">
            <w:pPr>
              <w:pStyle w:val="ListBullet3"/>
            </w:pPr>
            <w:r w:rsidRPr="005A3181">
              <w:t>characteristics of horizontal axis and vertical axis, upwind and downwind, lift and drag propelled wind turbines</w:t>
            </w:r>
          </w:p>
          <w:p w:rsidR="00000000" w:rsidRPr="005A3181" w:rsidP="005A3181">
            <w:pPr>
              <w:pStyle w:val="ListBullet3"/>
            </w:pPr>
            <w:r w:rsidRPr="005A3181">
              <w:t>power vs. wind speed curve for a typica</w:t>
            </w:r>
            <w:r w:rsidRPr="005A3181">
              <w:t>l WECS showing vC, vR, vF, and PR</w:t>
            </w:r>
          </w:p>
          <w:p w:rsidR="00000000" w:rsidRPr="005A3181" w:rsidP="005A3181">
            <w:pPr>
              <w:pStyle w:val="ListBullet3"/>
            </w:pPr>
            <w:r w:rsidRPr="005A3181">
              <w:t>major specification criteria for a WECS</w:t>
            </w:r>
          </w:p>
          <w:p w:rsidR="00000000" w:rsidRPr="005A3181" w:rsidP="005A3181">
            <w:pPr>
              <w:pStyle w:val="ListBullet3"/>
            </w:pPr>
            <w:r w:rsidRPr="005A3181">
              <w:t>sizing a WECS for a given load, efficiency and annual mean wind speed using tables or a nomogram</w:t>
            </w:r>
          </w:p>
          <w:p w:rsidR="00000000" w:rsidRPr="005A3181" w:rsidP="005A3181">
            <w:pPr>
              <w:pStyle w:val="ListBullet2"/>
            </w:pPr>
            <w:r w:rsidRPr="005A3181">
              <w:t>micro-hydro system basis encompassing:</w:t>
            </w:r>
          </w:p>
          <w:p w:rsidR="00000000" w:rsidRPr="005A3181" w:rsidP="005A3181">
            <w:pPr>
              <w:pStyle w:val="ListBullet3"/>
            </w:pPr>
            <w:r w:rsidRPr="005A3181">
              <w:t>definition of terms: flow rate, gross or sta</w:t>
            </w:r>
            <w:r w:rsidRPr="005A3181">
              <w:t>tic head, potential energy, net or dynamic head, hydraulic efficiency, micro-hydro system efficiency, equivalent pipe length, reaction turbine and impulse turbine</w:t>
            </w:r>
          </w:p>
          <w:p w:rsidR="00000000" w:rsidRPr="005A3181" w:rsidP="005A3181">
            <w:pPr>
              <w:pStyle w:val="ListBullet3"/>
            </w:pPr>
            <w:r w:rsidRPr="005A3181">
              <w:t>units and symbols for flow rate, head and gravitational constant</w:t>
            </w:r>
          </w:p>
          <w:p w:rsidR="00000000" w:rsidRPr="005A3181" w:rsidP="005A3181">
            <w:pPr>
              <w:pStyle w:val="ListBullet3"/>
            </w:pPr>
            <w:r w:rsidRPr="005A3181">
              <w:t xml:space="preserve">methods each assessing flow </w:t>
            </w:r>
            <w:r w:rsidRPr="005A3181">
              <w:t>rate and head</w:t>
            </w:r>
          </w:p>
          <w:p w:rsidR="00000000" w:rsidRPr="005A3181" w:rsidP="005A3181">
            <w:pPr>
              <w:pStyle w:val="ListBullet3"/>
            </w:pPr>
            <w:r w:rsidRPr="005A3181">
              <w:t>measurement of stream flow rate and head</w:t>
            </w:r>
          </w:p>
          <w:p w:rsidR="00000000" w:rsidRPr="005A3181" w:rsidP="005A3181">
            <w:pPr>
              <w:pStyle w:val="ListBullet3"/>
            </w:pPr>
            <w:r w:rsidRPr="005A3181">
              <w:t>assessment from contour maps</w:t>
            </w:r>
          </w:p>
          <w:p w:rsidR="00000000" w:rsidRPr="005A3181" w:rsidP="005A3181">
            <w:pPr>
              <w:pStyle w:val="ListBullet3"/>
            </w:pPr>
            <w:r w:rsidRPr="005A3181">
              <w:t>different micro-hydro systems in terms of their physical and operating characteristics</w:t>
            </w:r>
          </w:p>
          <w:p w:rsidR="00000000" w:rsidRPr="005A3181" w:rsidP="005A3181">
            <w:pPr>
              <w:pStyle w:val="ListBullet3"/>
            </w:pPr>
            <w:r w:rsidRPr="005A3181">
              <w:t>major specification criteria for a micro-hydro system for electricity generation</w:t>
            </w:r>
          </w:p>
          <w:p w:rsidR="00000000" w:rsidRPr="005A3181" w:rsidP="005A3181">
            <w:pPr>
              <w:pStyle w:val="ListBullet3"/>
            </w:pPr>
            <w:r w:rsidRPr="005A3181">
              <w:t>suitable type and size of micro-hydro-system for a given load, efficiency, available flow rate and net head using tables or a nomogram</w:t>
            </w:r>
          </w:p>
          <w:p w:rsidR="00000000" w:rsidRPr="005A3181" w:rsidP="005A3181">
            <w:pPr>
              <w:pStyle w:val="ListBullet2"/>
            </w:pPr>
            <w:r w:rsidRPr="005A3181">
              <w:t>energy storage encompassing:</w:t>
            </w:r>
          </w:p>
          <w:p w:rsidR="00000000" w:rsidRPr="005A3181" w:rsidP="005A3181">
            <w:pPr>
              <w:pStyle w:val="ListBullet3"/>
            </w:pPr>
            <w:r w:rsidRPr="005A3181">
              <w:t>methods of energy storage</w:t>
            </w:r>
          </w:p>
          <w:p w:rsidR="00000000" w:rsidRPr="005A3181" w:rsidP="005A3181">
            <w:pPr>
              <w:pStyle w:val="ListBullet3"/>
            </w:pPr>
            <w:r w:rsidRPr="005A3181">
              <w:t>energy density of the energy storage methods above by mass and v</w:t>
            </w:r>
            <w:r w:rsidRPr="005A3181">
              <w:t>olume</w:t>
            </w:r>
          </w:p>
          <w:p w:rsidR="00000000" w:rsidRPr="005A3181" w:rsidP="005A3181">
            <w:pPr>
              <w:pStyle w:val="ListBullet3"/>
            </w:pPr>
            <w:r w:rsidRPr="005A3181">
              <w:t>definition of the following terms in relation to batteries: nominal voltage, cell, primary and secondary cells, battery, charge and discharge rate, amp hour capacity, watt hour capacity, state of charge (SOC), depth of discharge (DOD), specific gravi</w:t>
            </w:r>
            <w:r w:rsidRPr="005A3181">
              <w:t>ty (SG), watt hour and amp hour efficiency, and cycle life</w:t>
            </w:r>
          </w:p>
          <w:p w:rsidR="00000000" w:rsidRPr="005A3181" w:rsidP="005A3181">
            <w:pPr>
              <w:pStyle w:val="ListBullet3"/>
            </w:pPr>
            <w:r w:rsidRPr="005A3181">
              <w:t>major features of common types of batteries suitable for stand-alone power systems</w:t>
            </w:r>
          </w:p>
          <w:p w:rsidR="00000000" w:rsidRPr="005A3181" w:rsidP="005A3181">
            <w:pPr>
              <w:pStyle w:val="ListBullet3"/>
            </w:pPr>
            <w:r w:rsidRPr="005A3181">
              <w:t>state of charge of a lead-acid battery through measurement of specific gravity or battery voltage using safe worki</w:t>
            </w:r>
            <w:r w:rsidRPr="005A3181">
              <w:t>ng practices</w:t>
            </w:r>
          </w:p>
          <w:p w:rsidR="00000000" w:rsidRPr="005A3181" w:rsidP="005A3181">
            <w:pPr>
              <w:pStyle w:val="ListBullet2"/>
            </w:pPr>
            <w:r w:rsidRPr="005A3181">
              <w:t>stand-alone power system basis encompassing:</w:t>
            </w:r>
          </w:p>
          <w:p w:rsidR="00000000" w:rsidRPr="005A3181" w:rsidP="005A3181">
            <w:pPr>
              <w:pStyle w:val="ListBullet3"/>
            </w:pPr>
            <w:r w:rsidRPr="005A3181">
              <w:t>direct current (d.c.) sub-system efficiency</w:t>
            </w:r>
          </w:p>
          <w:p w:rsidR="00000000" w:rsidRPr="005A3181" w:rsidP="005A3181">
            <w:pPr>
              <w:pStyle w:val="ListBullet3"/>
            </w:pPr>
            <w:r w:rsidRPr="005A3181">
              <w:t>block diagram of a typical stand-alone power system</w:t>
            </w:r>
          </w:p>
          <w:p w:rsidR="00000000" w:rsidRPr="005A3181" w:rsidP="005A3181">
            <w:pPr>
              <w:pStyle w:val="ListBullet3"/>
            </w:pPr>
            <w:r w:rsidRPr="005A3181">
              <w:t>function of each stand-alone power system component</w:t>
            </w:r>
          </w:p>
          <w:p w:rsidR="00000000" w:rsidRPr="005A3181" w:rsidP="005A3181">
            <w:pPr>
              <w:pStyle w:val="ListBullet3"/>
            </w:pPr>
            <w:r w:rsidRPr="005A3181">
              <w:t>typical efficiencies of each component</w:t>
            </w:r>
          </w:p>
          <w:p w:rsidR="00000000" w:rsidRPr="005A3181" w:rsidP="005A3181">
            <w:pPr>
              <w:pStyle w:val="ListBullet3"/>
            </w:pPr>
            <w:r w:rsidRPr="005A3181">
              <w:t>major characteristics of different types of commercially available regulators, inverters and battery chargers</w:t>
            </w:r>
          </w:p>
          <w:p w:rsidR="00000000" w:rsidRPr="005A3181" w:rsidP="005A3181">
            <w:pPr>
              <w:pStyle w:val="ListBullet2"/>
            </w:pPr>
            <w:r w:rsidRPr="005A3181">
              <w:t>biomass encompassing:</w:t>
            </w:r>
          </w:p>
          <w:p w:rsidR="00000000" w:rsidRPr="005A3181" w:rsidP="005A3181">
            <w:pPr>
              <w:pStyle w:val="ListBullet3"/>
            </w:pPr>
            <w:r w:rsidRPr="005A3181">
              <w:t>definition of terms: biogas, producer gas, biofuels, feedstock, gross and net calorific values</w:t>
            </w:r>
          </w:p>
          <w:p w:rsidR="00000000" w:rsidRPr="005A3181" w:rsidP="005A3181">
            <w:pPr>
              <w:pStyle w:val="ListBullet3"/>
            </w:pPr>
            <w:r w:rsidRPr="005A3181">
              <w:t>biofuels and their specific</w:t>
            </w:r>
            <w:r w:rsidRPr="005A3181">
              <w:t xml:space="preserve"> energy contents</w:t>
            </w:r>
          </w:p>
          <w:p w:rsidR="00000000" w:rsidRPr="005A3181" w:rsidP="005A3181">
            <w:pPr>
              <w:pStyle w:val="ListBullet3"/>
            </w:pPr>
            <w:r w:rsidRPr="005A3181">
              <w:t>method of production of one of these five biofuels, including source of raw material/feedstock, conversion process and yield</w:t>
            </w:r>
          </w:p>
          <w:p w:rsidR="00000000" w:rsidRPr="005A3181" w:rsidP="005A3181">
            <w:pPr>
              <w:pStyle w:val="ListBullet3"/>
            </w:pPr>
            <w:r w:rsidRPr="005A3181">
              <w:t>applications for each of the biofuels</w:t>
            </w:r>
          </w:p>
          <w:p w:rsidR="00000000" w:rsidRPr="005A3181" w:rsidP="005A3181">
            <w:pPr>
              <w:pStyle w:val="ListBullet3"/>
            </w:pPr>
            <w:r w:rsidRPr="005A3181">
              <w:t>assessment of the biomass resource required to meet a particular energy serv</w:t>
            </w:r>
            <w:r w:rsidRPr="005A3181">
              <w:t>ice, e.g. cooking, hot water, space heat, transport, process heat and electricity</w:t>
            </w:r>
          </w:p>
          <w:p w:rsidR="00000000" w:rsidRPr="005A3181" w:rsidP="005A3181">
            <w:pPr>
              <w:pStyle w:val="ListBullet3"/>
            </w:pPr>
            <w:r w:rsidRPr="005A3181">
              <w:t>social, political and economic impact of large-scale use of selected biomass resources</w:t>
            </w:r>
          </w:p>
          <w:p w:rsidR="00000000" w:rsidRPr="005A3181" w:rsidP="005A3181">
            <w:pPr>
              <w:pStyle w:val="ListBullet2"/>
            </w:pPr>
            <w:r w:rsidRPr="005A3181">
              <w:t>relevant manufacturer specifications</w:t>
            </w:r>
          </w:p>
          <w:p w:rsidR="00000000" w:rsidRPr="005A3181" w:rsidP="005A3181">
            <w:pPr>
              <w:pStyle w:val="ListBullet2"/>
            </w:pPr>
            <w:r w:rsidRPr="005A3181">
              <w:t>relevant job safety assessments or risk mitigatio</w:t>
            </w:r>
            <w:r w:rsidRPr="005A3181">
              <w:t>n processes</w:t>
            </w:r>
          </w:p>
          <w:p w:rsidR="00000000" w:rsidRPr="005A3181" w:rsidP="005A3181">
            <w:pPr>
              <w:pStyle w:val="ListBullet2"/>
            </w:pPr>
            <w:r w:rsidRPr="005A3181">
              <w:t>relevant WHS/OHS legislated requirements</w:t>
            </w:r>
          </w:p>
          <w:p w:rsidR="00000000" w:rsidRPr="005A3181" w:rsidP="005A3181">
            <w:pPr>
              <w:pStyle w:val="ListBullet2"/>
            </w:pPr>
            <w:r w:rsidRPr="005A3181">
              <w:t>relevant workplace documentation</w:t>
            </w:r>
          </w:p>
          <w:p w:rsidR="00000000" w:rsidRPr="005A3181" w:rsidP="005A3181">
            <w:pPr>
              <w:pStyle w:val="ListBullet2"/>
            </w:pPr>
            <w:r w:rsidRPr="005A3181">
              <w:t>relevant workplace policies and procedures.</w:t>
            </w:r>
          </w:p>
        </w:tc>
      </w:tr>
    </w:tbl>
    <w:p w:rsidR="00000000" w:rsidRPr="005A3181" w:rsidP="005A3181">
      <w:pPr>
        <w:pStyle w:val="NoPaddingFontSize1"/>
      </w:pPr>
    </w:p>
    <w:p w:rsidR="00000000" w:rsidRPr="005A3181" w:rsidP="005A3181">
      <w:pPr>
        <w:pStyle w:val="AllowPageBreak"/>
      </w:pPr>
    </w:p>
    <w:p w:rsidR="00000000" w:rsidRPr="005A3181" w:rsidP="005A3181">
      <w:pPr>
        <w:pStyle w:val="Heading1"/>
      </w:pPr>
      <w:bookmarkStart w:id="4" w:name="O_1102837"/>
      <w:bookmarkEnd w:id="4"/>
      <w:r w:rsidRPr="005A3181">
        <w:t>Assessment Conditions</w:t>
      </w:r>
    </w:p>
    <w:tbl>
      <w:tblPr>
        <w:tblW w:w="9497" w:type="dxa"/>
        <w:tblLayout w:type="fixed"/>
        <w:tblCellMar>
          <w:left w:w="62" w:type="dxa"/>
          <w:right w:w="62" w:type="dxa"/>
        </w:tblCellMar>
        <w:tblLook w:val="0000"/>
      </w:tblPr>
      <w:tblGrid>
        <w:gridCol w:w="9497"/>
      </w:tblGrid>
      <w:tr w:rsidTr="005A31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181" w:rsidP="005A3181">
            <w:pPr>
              <w:pStyle w:val="BodyText"/>
            </w:pPr>
            <w:r w:rsidRPr="005A3181">
              <w:t>Assessors must hold credentials specified within the Standards for Registered Training Organisations current at the time of assessment.</w:t>
            </w:r>
          </w:p>
          <w:p w:rsidR="00000000" w:rsidRPr="005A3181" w:rsidP="005A3181">
            <w:pPr>
              <w:pStyle w:val="BodyText"/>
            </w:pPr>
            <w:r w:rsidRPr="005A3181">
              <w:t>Assessment must satisfy the Principles of Assessment and Rules of Evidence and all regulatory requirements included with</w:t>
            </w:r>
            <w:r w:rsidRPr="005A3181">
              <w:t>in the Standards for Registered Training Organisations current at the time of assessment.</w:t>
            </w:r>
          </w:p>
          <w:p w:rsidR="00000000" w:rsidRPr="005A3181" w:rsidP="005A3181">
            <w:pPr>
              <w:pStyle w:val="BodyText"/>
            </w:pPr>
            <w:r w:rsidRPr="005A3181">
              <w:t xml:space="preserve">Assessment must occur in suitable workplace operational situations where it is appropriate to do so; where this is not appropriate, assessment must occur in suitable </w:t>
            </w:r>
            <w:r w:rsidRPr="005A3181">
              <w:t>simulated workplace operational situations that replicate workplace conditions.</w:t>
            </w:r>
          </w:p>
          <w:p w:rsidR="00000000" w:rsidRPr="005A3181" w:rsidP="005A3181">
            <w:pPr>
              <w:pStyle w:val="BodyText"/>
            </w:pPr>
            <w:r w:rsidRPr="005A3181">
              <w:t>Assessment processes and techniques must be appropriate to the language, literacy and numeracy requirements of the work being performed and the needs of the candidate.</w:t>
            </w:r>
          </w:p>
          <w:p w:rsidR="00000000" w:rsidRPr="005A3181" w:rsidP="005A3181">
            <w:pPr>
              <w:pStyle w:val="BodyText"/>
            </w:pPr>
            <w:r w:rsidRPr="005A3181">
              <w:t>Resource</w:t>
            </w:r>
            <w:r w:rsidRPr="005A3181">
              <w:t>s for assessment must include access to:</w:t>
            </w:r>
          </w:p>
          <w:p w:rsidR="00000000" w:rsidRPr="005A3181" w:rsidP="005A3181">
            <w:pPr>
              <w:pStyle w:val="ListBullet"/>
            </w:pPr>
            <w:r w:rsidRPr="005A3181">
              <w:t>a range of relevant exercises, case studies and/or other simulations</w:t>
            </w:r>
          </w:p>
          <w:p w:rsidR="00000000" w:rsidRPr="005A3181" w:rsidP="005A3181">
            <w:pPr>
              <w:pStyle w:val="ListBullet"/>
            </w:pPr>
            <w:r w:rsidRPr="005A3181">
              <w:t>relevant and appropriate materials, tools, equipment and personal protective equipment (PPE) currently used in industry</w:t>
            </w:r>
          </w:p>
          <w:p w:rsidR="00000000" w:rsidRPr="005A3181" w:rsidP="005A3181">
            <w:pPr>
              <w:pStyle w:val="ListBullet"/>
            </w:pPr>
            <w:r w:rsidRPr="005A3181">
              <w:t>resources that reflect current industry practices in relation to carrying out repairs to RE apparatus by replacement of components</w:t>
            </w:r>
          </w:p>
          <w:p w:rsidR="00000000" w:rsidRPr="005A3181" w:rsidP="005A3181">
            <w:pPr>
              <w:pStyle w:val="ListBullet"/>
            </w:pPr>
            <w:r w:rsidRPr="005A3181">
              <w:t>applicable documentation, including workplace procedures, equipment specifications, regulations, codes of practice and operat</w:t>
            </w:r>
            <w:r w:rsidRPr="005A3181">
              <w:t>ion manuals.</w:t>
            </w:r>
          </w:p>
        </w:tc>
      </w:tr>
    </w:tbl>
    <w:p w:rsidR="00000000" w:rsidRPr="005A3181" w:rsidP="005A3181">
      <w:pPr>
        <w:pStyle w:val="NoPaddingFontSize1"/>
      </w:pPr>
    </w:p>
    <w:p w:rsidR="00000000" w:rsidRPr="005A3181" w:rsidP="005A3181">
      <w:pPr>
        <w:pStyle w:val="AllowPageBreak"/>
      </w:pPr>
    </w:p>
    <w:p w:rsidR="00000000" w:rsidRPr="005A3181" w:rsidP="005A3181">
      <w:pPr>
        <w:pStyle w:val="Heading1"/>
      </w:pPr>
      <w:bookmarkStart w:id="5" w:name="O_1102840"/>
      <w:bookmarkEnd w:id="5"/>
      <w:r w:rsidRPr="005A3181">
        <w:t>Links</w:t>
      </w:r>
    </w:p>
    <w:p w:rsidR="00000000" w:rsidRPr="005A3181" w:rsidP="001E389E">
      <w:pPr>
        <w:pStyle w:val="BodyText"/>
      </w:pPr>
      <w:r w:rsidRPr="005A318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0D13">
        <w:rPr>
          <w:rStyle w:val="Hyperlink"/>
        </w:rPr>
        <w:t>https://vetnet.gov.au/Pages/TrainingDocs.aspx?q=b8a8f136-5421-4ce1-92e0-2b50341431b6</w:t>
      </w:r>
      <w:r>
        <w:fldChar w:fldCharType="end"/>
      </w:r>
    </w:p>
    <w:p w:rsidR="00000000" w:rsidRPr="005A3181" w:rsidP="005A3181"/>
    <w:sectPr w:rsidSect="005A31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81" w:rsidRPr="001E389E" w:rsidP="001E3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9E" w:rsidP="005A3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389E" w:rsidP="005A31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389E" w:rsidP="005A3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181" w:rsidRPr="001E389E" w:rsidP="001E38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9E" w:rsidRPr="002D2AF8" w:rsidP="005A3181">
    <w:pPr>
      <w:pStyle w:val="Header"/>
      <w:framePr w:wrap="around"/>
    </w:pPr>
    <w:r>
      <w:fldChar w:fldCharType="begin"/>
    </w:r>
    <w:r>
      <w:instrText xml:space="preserve"> TITLE   \* MERGEFORMAT </w:instrText>
    </w:r>
    <w:r>
      <w:fldChar w:fldCharType="separate"/>
    </w:r>
    <w:r>
      <w:t>Assessment Requirements for UEERE0025 Carry out basic repairs to renewable energy (RE)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E389E" w:rsidP="005A3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0E8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07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4D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181"/>
    <w:pPr>
      <w:spacing w:before="360" w:after="60"/>
      <w:outlineLvl w:val="0"/>
    </w:pPr>
    <w:rPr>
      <w:sz w:val="32"/>
    </w:rPr>
  </w:style>
  <w:style w:type="paragraph" w:styleId="Heading2">
    <w:name w:val="heading 2"/>
    <w:basedOn w:val="HeadingBase"/>
    <w:next w:val="BodyText"/>
    <w:link w:val="Heading2Char"/>
    <w:qFormat/>
    <w:rsid w:val="005A3181"/>
    <w:pPr>
      <w:keepLines/>
      <w:spacing w:before="240" w:after="120"/>
      <w:outlineLvl w:val="1"/>
    </w:pPr>
    <w:rPr>
      <w:sz w:val="28"/>
      <w:szCs w:val="40"/>
    </w:rPr>
  </w:style>
  <w:style w:type="paragraph" w:styleId="Heading3">
    <w:name w:val="heading 3"/>
    <w:basedOn w:val="HeadingBase"/>
    <w:next w:val="BodyText"/>
    <w:link w:val="Heading3Char"/>
    <w:qFormat/>
    <w:rsid w:val="005A3181"/>
    <w:pPr>
      <w:spacing w:before="180" w:after="120"/>
      <w:outlineLvl w:val="2"/>
    </w:pPr>
    <w:rPr>
      <w:spacing w:val="-10"/>
      <w:kern w:val="32"/>
    </w:rPr>
  </w:style>
  <w:style w:type="paragraph" w:styleId="Heading4">
    <w:name w:val="heading 4"/>
    <w:basedOn w:val="HeadingBase"/>
    <w:next w:val="BodyText"/>
    <w:link w:val="Heading4Char"/>
    <w:qFormat/>
    <w:rsid w:val="005A3181"/>
    <w:pPr>
      <w:spacing w:before="160" w:after="120"/>
      <w:outlineLvl w:val="3"/>
    </w:pPr>
    <w:rPr>
      <w:sz w:val="22"/>
    </w:rPr>
  </w:style>
  <w:style w:type="paragraph" w:styleId="Heading5">
    <w:name w:val="heading 5"/>
    <w:basedOn w:val="HeadingBase"/>
    <w:next w:val="Normal"/>
    <w:link w:val="Heading5Char"/>
    <w:qFormat/>
    <w:rsid w:val="005A3181"/>
    <w:pPr>
      <w:spacing w:before="80"/>
      <w:outlineLvl w:val="4"/>
    </w:pPr>
    <w:rPr>
      <w:color w:val="918585"/>
      <w:sz w:val="20"/>
    </w:rPr>
  </w:style>
  <w:style w:type="paragraph" w:styleId="Heading6">
    <w:name w:val="heading 6"/>
    <w:basedOn w:val="HeadingBase"/>
    <w:next w:val="Normal"/>
    <w:link w:val="Heading6Char"/>
    <w:qFormat/>
    <w:rsid w:val="005A3181"/>
    <w:pPr>
      <w:spacing w:before="60"/>
      <w:outlineLvl w:val="5"/>
    </w:pPr>
    <w:rPr>
      <w:color w:val="918585"/>
      <w:sz w:val="20"/>
    </w:rPr>
  </w:style>
  <w:style w:type="paragraph" w:styleId="Heading7">
    <w:name w:val="heading 7"/>
    <w:basedOn w:val="Normal"/>
    <w:next w:val="Normal"/>
    <w:link w:val="Heading7Char"/>
    <w:qFormat/>
    <w:rsid w:val="005A3181"/>
    <w:pPr>
      <w:ind w:left="720"/>
      <w:outlineLvl w:val="6"/>
    </w:pPr>
    <w:rPr>
      <w:i/>
    </w:rPr>
  </w:style>
  <w:style w:type="paragraph" w:styleId="Heading8">
    <w:name w:val="heading 8"/>
    <w:basedOn w:val="Normal"/>
    <w:next w:val="Normal"/>
    <w:link w:val="Heading8Char"/>
    <w:qFormat/>
    <w:rsid w:val="005A3181"/>
    <w:pPr>
      <w:ind w:left="720"/>
      <w:outlineLvl w:val="7"/>
    </w:pPr>
    <w:rPr>
      <w:i/>
    </w:rPr>
  </w:style>
  <w:style w:type="paragraph" w:styleId="Heading9">
    <w:name w:val="heading 9"/>
    <w:basedOn w:val="Normal"/>
    <w:next w:val="Normal"/>
    <w:link w:val="Heading9Char"/>
    <w:qFormat/>
    <w:rsid w:val="005A3181"/>
    <w:pPr>
      <w:ind w:left="720"/>
      <w:outlineLvl w:val="8"/>
    </w:pPr>
    <w:rPr>
      <w:i/>
    </w:rPr>
  </w:style>
  <w:style w:type="character" w:default="1" w:styleId="DefaultParagraphFont">
    <w:name w:val="Default Paragraph Font"/>
    <w:uiPriority w:val="1"/>
    <w:unhideWhenUsed/>
    <w:rsid w:val="005A3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181"/>
  </w:style>
  <w:style w:type="character" w:customStyle="1" w:styleId="Heading1Char">
    <w:name w:val="Heading 1 Char"/>
    <w:basedOn w:val="DefaultParagraphFont"/>
    <w:link w:val="Heading1"/>
    <w:rsid w:val="005A3181"/>
    <w:rPr>
      <w:rFonts w:ascii="Times New Roman" w:eastAsia="Times New Roman" w:hAnsi="Times New Roman" w:cs="Times New Roman"/>
      <w:b/>
      <w:sz w:val="32"/>
      <w:szCs w:val="20"/>
      <w:lang w:eastAsia="en-US"/>
    </w:rPr>
  </w:style>
  <w:style w:type="paragraph" w:styleId="BodyText">
    <w:name w:val="Body Text"/>
    <w:basedOn w:val="Normal"/>
    <w:link w:val="BodyTextChar"/>
    <w:rsid w:val="005A31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181"/>
    <w:rPr>
      <w:rFonts w:ascii="Times New Roman" w:eastAsia="Times New Roman" w:hAnsi="Times New Roman" w:cs="Times New Roman"/>
      <w:sz w:val="24"/>
      <w:lang w:eastAsia="en-US"/>
    </w:rPr>
  </w:style>
  <w:style w:type="paragraph" w:styleId="ListBullet">
    <w:name w:val="List Bullet"/>
    <w:basedOn w:val="List"/>
    <w:rsid w:val="005A3181"/>
    <w:pPr>
      <w:numPr>
        <w:numId w:val="13"/>
      </w:numPr>
      <w:tabs>
        <w:tab w:val="clear" w:pos="340"/>
      </w:tabs>
      <w:spacing w:before="40" w:after="40"/>
    </w:pPr>
  </w:style>
  <w:style w:type="paragraph" w:styleId="ListBullet2">
    <w:name w:val="List Bullet 2"/>
    <w:basedOn w:val="List2"/>
    <w:rsid w:val="005A3181"/>
    <w:pPr>
      <w:numPr>
        <w:numId w:val="14"/>
      </w:numPr>
      <w:tabs>
        <w:tab w:val="clear" w:pos="680"/>
      </w:tabs>
    </w:pPr>
  </w:style>
  <w:style w:type="paragraph" w:customStyle="1" w:styleId="SuperHeading">
    <w:name w:val="SuperHeading"/>
    <w:basedOn w:val="Normal"/>
    <w:rsid w:val="005A3181"/>
    <w:pPr>
      <w:spacing w:before="240" w:after="120"/>
      <w:outlineLvl w:val="0"/>
    </w:pPr>
    <w:rPr>
      <w:rFonts w:ascii="Times New Roman" w:hAnsi="Times New Roman"/>
      <w:b/>
      <w:sz w:val="32"/>
    </w:rPr>
  </w:style>
  <w:style w:type="paragraph" w:customStyle="1" w:styleId="AllowPageBreak">
    <w:name w:val="AllowPageBreak"/>
    <w:rsid w:val="005A31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318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3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181"/>
    <w:rPr>
      <w:rFonts w:ascii="Courier New" w:eastAsia="Times New Roman" w:hAnsi="Courier New" w:cs="Times New Roman"/>
      <w:i/>
      <w:szCs w:val="20"/>
      <w:lang w:eastAsia="en-US"/>
    </w:rPr>
  </w:style>
  <w:style w:type="paragraph" w:customStyle="1" w:styleId="HeadingBase">
    <w:name w:val="Heading Base"/>
    <w:rsid w:val="005A3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181"/>
    <w:pPr>
      <w:tabs>
        <w:tab w:val="right" w:leader="dot" w:pos="9072"/>
      </w:tabs>
      <w:ind w:left="567"/>
    </w:pPr>
    <w:rPr>
      <w:szCs w:val="22"/>
    </w:rPr>
  </w:style>
  <w:style w:type="paragraph" w:customStyle="1" w:styleId="TOCBase">
    <w:name w:val="TOC Base"/>
    <w:rsid w:val="005A3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181"/>
    <w:pPr>
      <w:tabs>
        <w:tab w:val="right" w:leader="dot" w:pos="9072"/>
      </w:tabs>
      <w:spacing w:before="40" w:after="40"/>
      <w:ind w:left="284"/>
    </w:pPr>
    <w:rPr>
      <w:rFonts w:ascii="Times New Roman" w:hAnsi="Times New Roman"/>
    </w:rPr>
  </w:style>
  <w:style w:type="paragraph" w:styleId="TOC1">
    <w:name w:val="toc 1"/>
    <w:basedOn w:val="TOCBase"/>
    <w:next w:val="Normal"/>
    <w:rsid w:val="005A3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181"/>
    <w:rPr>
      <w:rFonts w:ascii="Times New Roman" w:eastAsia="Times New Roman" w:hAnsi="Times New Roman" w:cs="Times New Roman"/>
      <w:sz w:val="16"/>
      <w:lang w:eastAsia="en-US"/>
    </w:rPr>
  </w:style>
  <w:style w:type="paragraph" w:styleId="Title">
    <w:name w:val="Title"/>
    <w:basedOn w:val="HeadingBase"/>
    <w:link w:val="TitleChar"/>
    <w:qFormat/>
    <w:rsid w:val="005A3181"/>
    <w:pPr>
      <w:spacing w:before="5040"/>
      <w:jc w:val="center"/>
    </w:pPr>
    <w:rPr>
      <w:sz w:val="48"/>
      <w:szCs w:val="72"/>
      <w:lang w:val="en-US"/>
    </w:rPr>
  </w:style>
  <w:style w:type="character" w:customStyle="1" w:styleId="TitleChar">
    <w:name w:val="Title Char"/>
    <w:basedOn w:val="DefaultParagraphFont"/>
    <w:link w:val="Title"/>
    <w:rsid w:val="005A3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181"/>
    <w:pPr>
      <w:tabs>
        <w:tab w:val="left" w:pos="3600"/>
        <w:tab w:val="left" w:pos="3958"/>
      </w:tabs>
    </w:pPr>
  </w:style>
  <w:style w:type="paragraph" w:styleId="List">
    <w:name w:val="List"/>
    <w:basedOn w:val="BodyText"/>
    <w:next w:val="BodyText"/>
    <w:rsid w:val="005A3181"/>
    <w:pPr>
      <w:tabs>
        <w:tab w:val="left" w:pos="340"/>
      </w:tabs>
      <w:spacing w:before="60" w:after="60"/>
      <w:ind w:left="340" w:hanging="340"/>
    </w:pPr>
  </w:style>
  <w:style w:type="paragraph" w:customStyle="1" w:styleId="Note">
    <w:name w:val="Note"/>
    <w:basedOn w:val="BodyText"/>
    <w:rsid w:val="005A31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181"/>
    <w:rPr>
      <w:b/>
      <w:spacing w:val="0"/>
    </w:rPr>
  </w:style>
  <w:style w:type="paragraph" w:customStyle="1" w:styleId="SuperTitle">
    <w:name w:val="SuperTitle"/>
    <w:basedOn w:val="Title"/>
    <w:rsid w:val="005A3181"/>
    <w:pPr>
      <w:framePr w:wrap="auto" w:hAnchor="text" w:y="6049"/>
    </w:pPr>
    <w:rPr>
      <w:color w:val="000000"/>
      <w:sz w:val="40"/>
    </w:rPr>
  </w:style>
  <w:style w:type="paragraph" w:customStyle="1" w:styleId="TOCTitle">
    <w:name w:val="TOCTitle"/>
    <w:basedOn w:val="Heading1"/>
    <w:rsid w:val="005A3181"/>
    <w:pPr>
      <w:spacing w:after="240"/>
      <w:jc w:val="center"/>
      <w:outlineLvl w:val="9"/>
    </w:pPr>
    <w:rPr>
      <w:caps/>
    </w:rPr>
  </w:style>
  <w:style w:type="paragraph" w:customStyle="1" w:styleId="Version">
    <w:name w:val="Version"/>
    <w:rsid w:val="005A3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181"/>
    <w:pPr>
      <w:keepNext w:val="0"/>
      <w:tabs>
        <w:tab w:val="right" w:pos="4176"/>
      </w:tabs>
      <w:ind w:left="198" w:hanging="198"/>
    </w:pPr>
    <w:rPr>
      <w:rFonts w:ascii="Garamond" w:hAnsi="Garamond"/>
    </w:rPr>
  </w:style>
  <w:style w:type="paragraph" w:styleId="IndexHeading">
    <w:name w:val="index heading"/>
    <w:basedOn w:val="Normal"/>
    <w:next w:val="Index1"/>
    <w:semiHidden/>
    <w:rsid w:val="005A3181"/>
    <w:pPr>
      <w:spacing w:before="120" w:after="120"/>
    </w:pPr>
    <w:rPr>
      <w:rFonts w:ascii="Arial" w:hAnsi="Arial"/>
      <w:b/>
      <w:color w:val="918585"/>
      <w:sz w:val="24"/>
    </w:rPr>
  </w:style>
  <w:style w:type="paragraph" w:styleId="Header">
    <w:name w:val="header"/>
    <w:basedOn w:val="Normal"/>
    <w:link w:val="HeaderChar"/>
    <w:rsid w:val="005A3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181"/>
    <w:rPr>
      <w:rFonts w:ascii="Times New Roman" w:eastAsia="Times New Roman" w:hAnsi="Times New Roman" w:cs="Times New Roman"/>
      <w:sz w:val="16"/>
      <w:szCs w:val="20"/>
      <w:lang w:val="en-GB" w:eastAsia="en-US"/>
    </w:rPr>
  </w:style>
  <w:style w:type="paragraph" w:customStyle="1" w:styleId="Chapter">
    <w:name w:val="Chapter"/>
    <w:basedOn w:val="Normal"/>
    <w:rsid w:val="005A3181"/>
    <w:pPr>
      <w:spacing w:before="240"/>
    </w:pPr>
    <w:rPr>
      <w:rFonts w:ascii="Times New Roman" w:hAnsi="Times New Roman"/>
      <w:smallCaps/>
      <w:spacing w:val="80"/>
      <w:sz w:val="28"/>
    </w:rPr>
  </w:style>
  <w:style w:type="paragraph" w:customStyle="1" w:styleId="InChapter">
    <w:name w:val="InChapter"/>
    <w:basedOn w:val="Heading3"/>
    <w:rsid w:val="005A3181"/>
    <w:pPr>
      <w:spacing w:after="240"/>
      <w:outlineLvl w:val="9"/>
    </w:pPr>
    <w:rPr>
      <w:noProof/>
    </w:rPr>
  </w:style>
  <w:style w:type="paragraph" w:styleId="Index2">
    <w:name w:val="index 2"/>
    <w:basedOn w:val="Normal"/>
    <w:next w:val="Normal"/>
    <w:semiHidden/>
    <w:rsid w:val="005A3181"/>
    <w:pPr>
      <w:tabs>
        <w:tab w:val="right" w:pos="4176"/>
      </w:tabs>
      <w:ind w:left="568" w:hanging="284"/>
    </w:pPr>
    <w:rPr>
      <w:rFonts w:ascii="Garamond" w:hAnsi="Garamond"/>
    </w:rPr>
  </w:style>
  <w:style w:type="paragraph" w:customStyle="1" w:styleId="Byline">
    <w:name w:val="Byline"/>
    <w:rsid w:val="005A3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181"/>
    <w:pPr>
      <w:tabs>
        <w:tab w:val="clear" w:pos="3600"/>
        <w:tab w:val="clear" w:pos="3958"/>
      </w:tabs>
      <w:jc w:val="right"/>
    </w:pPr>
  </w:style>
  <w:style w:type="character" w:styleId="Emphasis">
    <w:name w:val="Emphasis"/>
    <w:basedOn w:val="DefaultParagraphFont"/>
    <w:qFormat/>
    <w:rsid w:val="005A3181"/>
    <w:rPr>
      <w:i/>
    </w:rPr>
  </w:style>
  <w:style w:type="paragraph" w:styleId="Caption">
    <w:name w:val="caption"/>
    <w:basedOn w:val="BodyText"/>
    <w:next w:val="Normal"/>
    <w:qFormat/>
    <w:rsid w:val="005A3181"/>
    <w:pPr>
      <w:framePr w:w="2268" w:hSpace="181" w:vSpace="181" w:wrap="around" w:vAnchor="text" w:hAnchor="page" w:x="1135" w:y="285" w:anchorLock="1"/>
    </w:pPr>
    <w:rPr>
      <w:i/>
    </w:rPr>
  </w:style>
  <w:style w:type="paragraph" w:customStyle="1" w:styleId="MiniTOCTitle">
    <w:name w:val="MiniTOCTitle"/>
    <w:basedOn w:val="Heading4"/>
    <w:rsid w:val="005A3181"/>
    <w:pPr>
      <w:spacing w:before="240"/>
      <w:outlineLvl w:val="9"/>
    </w:pPr>
    <w:rPr>
      <w:noProof/>
      <w:sz w:val="24"/>
    </w:rPr>
  </w:style>
  <w:style w:type="paragraph" w:customStyle="1" w:styleId="MiniTOCItem">
    <w:name w:val="MiniTOCItem"/>
    <w:basedOn w:val="ListBullet"/>
    <w:rsid w:val="005A3181"/>
    <w:pPr>
      <w:numPr>
        <w:numId w:val="0"/>
      </w:numPr>
      <w:tabs>
        <w:tab w:val="right" w:leader="dot" w:pos="6521"/>
      </w:tabs>
      <w:spacing w:before="0" w:after="0"/>
    </w:pPr>
  </w:style>
  <w:style w:type="paragraph" w:customStyle="1" w:styleId="TOFTitle">
    <w:name w:val="TOFTitle"/>
    <w:basedOn w:val="TOCTitle"/>
    <w:rsid w:val="005A3181"/>
  </w:style>
  <w:style w:type="paragraph" w:styleId="TableofFigures">
    <w:name w:val="table of figures"/>
    <w:basedOn w:val="Normal"/>
    <w:next w:val="Normal"/>
    <w:semiHidden/>
    <w:rsid w:val="005A3181"/>
    <w:pPr>
      <w:tabs>
        <w:tab w:val="right" w:leader="dot" w:pos="9072"/>
      </w:tabs>
      <w:ind w:left="970" w:hanging="403"/>
    </w:pPr>
    <w:rPr>
      <w:rFonts w:ascii="Times New Roman" w:hAnsi="Times New Roman"/>
      <w:b/>
    </w:rPr>
  </w:style>
  <w:style w:type="paragraph" w:styleId="ListNumber">
    <w:name w:val="List Number"/>
    <w:basedOn w:val="List"/>
    <w:rsid w:val="005A3181"/>
    <w:pPr>
      <w:numPr>
        <w:numId w:val="16"/>
      </w:numPr>
      <w:tabs>
        <w:tab w:val="clear" w:pos="340"/>
      </w:tabs>
    </w:pPr>
  </w:style>
  <w:style w:type="character" w:customStyle="1" w:styleId="WingdingSymbols">
    <w:name w:val="Wingding Symbols"/>
    <w:rsid w:val="005A3181"/>
    <w:rPr>
      <w:rFonts w:ascii="Wingdings" w:hAnsi="Wingdings"/>
    </w:rPr>
  </w:style>
  <w:style w:type="paragraph" w:customStyle="1" w:styleId="TableHeading">
    <w:name w:val="Table Heading"/>
    <w:basedOn w:val="HeadingBase"/>
    <w:rsid w:val="005A3181"/>
    <w:pPr>
      <w:keepLines/>
      <w:pBdr>
        <w:bottom w:val="single" w:sz="6" w:space="1" w:color="918585"/>
      </w:pBdr>
      <w:spacing w:before="240"/>
    </w:pPr>
  </w:style>
  <w:style w:type="character" w:customStyle="1" w:styleId="HotSpot">
    <w:name w:val="HotSpot"/>
    <w:rsid w:val="005A3181"/>
    <w:rPr>
      <w:color w:val="0033CC"/>
      <w:u w:val="none"/>
    </w:rPr>
  </w:style>
  <w:style w:type="paragraph" w:customStyle="1" w:styleId="BodyTextRight">
    <w:name w:val="Body Text Right"/>
    <w:basedOn w:val="BodyText"/>
    <w:rsid w:val="005A3181"/>
    <w:pPr>
      <w:spacing w:before="0" w:after="0"/>
      <w:jc w:val="right"/>
    </w:pPr>
  </w:style>
  <w:style w:type="paragraph" w:styleId="Index3">
    <w:name w:val="index 3"/>
    <w:basedOn w:val="ListNumber2"/>
    <w:next w:val="Normal"/>
    <w:semiHidden/>
    <w:rsid w:val="005A3181"/>
    <w:pPr>
      <w:numPr>
        <w:numId w:val="0"/>
      </w:numPr>
      <w:tabs>
        <w:tab w:val="right" w:leader="dot" w:pos="4176"/>
      </w:tabs>
    </w:pPr>
  </w:style>
  <w:style w:type="paragraph" w:styleId="ListNumber2">
    <w:name w:val="List Number 2"/>
    <w:basedOn w:val="List2"/>
    <w:rsid w:val="005A3181"/>
    <w:pPr>
      <w:numPr>
        <w:numId w:val="11"/>
      </w:numPr>
      <w:tabs>
        <w:tab w:val="clear" w:pos="1060"/>
      </w:tabs>
    </w:pPr>
  </w:style>
  <w:style w:type="paragraph" w:customStyle="1" w:styleId="MarginNote">
    <w:name w:val="Margin Note"/>
    <w:basedOn w:val="BodyText"/>
    <w:rsid w:val="005A3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181"/>
    <w:rPr>
      <w:sz w:val="32"/>
    </w:rPr>
  </w:style>
  <w:style w:type="paragraph" w:customStyle="1" w:styleId="HeadingProcedure">
    <w:name w:val="Heading Procedure"/>
    <w:basedOn w:val="HeadingBase"/>
    <w:next w:val="Normal"/>
    <w:rsid w:val="005A3181"/>
    <w:pPr>
      <w:tabs>
        <w:tab w:val="left" w:pos="0"/>
      </w:tabs>
      <w:spacing w:before="120" w:after="60"/>
    </w:pPr>
    <w:rPr>
      <w:i/>
      <w:color w:val="918585"/>
      <w:sz w:val="22"/>
    </w:rPr>
  </w:style>
  <w:style w:type="paragraph" w:customStyle="1" w:styleId="TableBodyText">
    <w:name w:val="Table Body Text"/>
    <w:basedOn w:val="BodyText"/>
    <w:rsid w:val="005A3181"/>
    <w:pPr>
      <w:spacing w:before="60" w:after="60"/>
    </w:pPr>
  </w:style>
  <w:style w:type="paragraph" w:styleId="ListContinue">
    <w:name w:val="List Continue"/>
    <w:basedOn w:val="List"/>
    <w:rsid w:val="005A3181"/>
    <w:pPr>
      <w:ind w:firstLine="0"/>
    </w:pPr>
  </w:style>
  <w:style w:type="paragraph" w:customStyle="1" w:styleId="ListNote">
    <w:name w:val="List Note"/>
    <w:basedOn w:val="List"/>
    <w:rsid w:val="005A3181"/>
    <w:pPr>
      <w:pBdr>
        <w:top w:val="single" w:sz="6" w:space="2" w:color="918585"/>
        <w:bottom w:val="single" w:sz="6" w:space="2" w:color="918585"/>
      </w:pBdr>
      <w:tabs>
        <w:tab w:val="left" w:pos="1021"/>
      </w:tabs>
      <w:ind w:firstLine="0"/>
    </w:pPr>
  </w:style>
  <w:style w:type="paragraph" w:customStyle="1" w:styleId="Warning">
    <w:name w:val="Warning"/>
    <w:basedOn w:val="BodyText"/>
    <w:rsid w:val="005A3181"/>
    <w:pPr>
      <w:shd w:val="clear" w:color="auto" w:fill="D9D9D9"/>
      <w:tabs>
        <w:tab w:val="left" w:pos="992"/>
      </w:tabs>
      <w:ind w:left="119" w:right="119"/>
    </w:pPr>
    <w:rPr>
      <w:sz w:val="20"/>
    </w:rPr>
  </w:style>
  <w:style w:type="paragraph" w:customStyle="1" w:styleId="MarginIcons">
    <w:name w:val="Margin Icons"/>
    <w:basedOn w:val="BodyText"/>
    <w:rsid w:val="005A3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181"/>
    <w:rPr>
      <w:rFonts w:ascii="Courier New" w:hAnsi="Courier New"/>
    </w:rPr>
  </w:style>
  <w:style w:type="paragraph" w:customStyle="1" w:styleId="NoteBullet">
    <w:name w:val="Note Bullet"/>
    <w:basedOn w:val="Note"/>
    <w:rsid w:val="005A3181"/>
    <w:pPr>
      <w:tabs>
        <w:tab w:val="clear" w:pos="680"/>
      </w:tabs>
      <w:spacing w:before="60" w:after="60"/>
    </w:pPr>
  </w:style>
  <w:style w:type="paragraph" w:customStyle="1" w:styleId="SubHeading2">
    <w:name w:val="SubHeading2"/>
    <w:basedOn w:val="HeadingBase"/>
    <w:rsid w:val="005A3181"/>
    <w:pPr>
      <w:spacing w:before="240" w:after="60"/>
    </w:pPr>
    <w:rPr>
      <w:sz w:val="20"/>
    </w:rPr>
  </w:style>
  <w:style w:type="paragraph" w:customStyle="1" w:styleId="SubHeading1">
    <w:name w:val="SubHeading1"/>
    <w:basedOn w:val="HeadingBase"/>
    <w:rsid w:val="005A3181"/>
    <w:pPr>
      <w:spacing w:before="240" w:after="60"/>
    </w:pPr>
    <w:rPr>
      <w:color w:val="918585"/>
      <w:sz w:val="22"/>
    </w:rPr>
  </w:style>
  <w:style w:type="paragraph" w:customStyle="1" w:styleId="SideHeading">
    <w:name w:val="Side Heading"/>
    <w:basedOn w:val="HeadingBase"/>
    <w:rsid w:val="005A3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181"/>
    <w:pPr>
      <w:numPr>
        <w:numId w:val="12"/>
      </w:numPr>
    </w:pPr>
  </w:style>
  <w:style w:type="paragraph" w:styleId="PlainText">
    <w:name w:val="Plain Text"/>
    <w:basedOn w:val="Normal"/>
    <w:link w:val="PlainTextChar"/>
    <w:rsid w:val="005A3181"/>
    <w:rPr>
      <w:sz w:val="20"/>
    </w:rPr>
  </w:style>
  <w:style w:type="character" w:customStyle="1" w:styleId="PlainTextChar">
    <w:name w:val="Plain Text Char"/>
    <w:basedOn w:val="DefaultParagraphFont"/>
    <w:link w:val="PlainText"/>
    <w:rsid w:val="005A3181"/>
    <w:rPr>
      <w:rFonts w:ascii="Courier New" w:eastAsia="Times New Roman" w:hAnsi="Courier New" w:cs="Times New Roman"/>
      <w:sz w:val="20"/>
      <w:szCs w:val="20"/>
      <w:lang w:eastAsia="en-US"/>
    </w:rPr>
  </w:style>
  <w:style w:type="character" w:customStyle="1" w:styleId="MenuOption">
    <w:name w:val="Menu Option"/>
    <w:basedOn w:val="DefaultParagraphFont"/>
    <w:rsid w:val="005A3181"/>
    <w:rPr>
      <w:b/>
      <w:smallCaps/>
    </w:rPr>
  </w:style>
  <w:style w:type="paragraph" w:customStyle="1" w:styleId="TableListNumber">
    <w:name w:val="Table List Number"/>
    <w:basedOn w:val="ListNumber"/>
    <w:rsid w:val="005A3181"/>
    <w:pPr>
      <w:numPr>
        <w:numId w:val="0"/>
      </w:numPr>
    </w:pPr>
  </w:style>
  <w:style w:type="paragraph" w:styleId="TOC4">
    <w:name w:val="toc 4"/>
    <w:basedOn w:val="TOCBase"/>
    <w:next w:val="Normal"/>
    <w:semiHidden/>
    <w:rsid w:val="005A3181"/>
    <w:pPr>
      <w:tabs>
        <w:tab w:val="right" w:leader="dot" w:pos="9071"/>
      </w:tabs>
      <w:ind w:left="1701"/>
    </w:pPr>
  </w:style>
  <w:style w:type="paragraph" w:customStyle="1" w:styleId="ListAlpha">
    <w:name w:val="List Alpha"/>
    <w:basedOn w:val="List"/>
    <w:rsid w:val="005A3181"/>
    <w:pPr>
      <w:numPr>
        <w:numId w:val="10"/>
      </w:numPr>
    </w:pPr>
  </w:style>
  <w:style w:type="paragraph" w:customStyle="1" w:styleId="ListAlpha2">
    <w:name w:val="List Alpha 2"/>
    <w:basedOn w:val="List2"/>
    <w:rsid w:val="005A3181"/>
    <w:pPr>
      <w:numPr>
        <w:numId w:val="9"/>
      </w:numPr>
    </w:pPr>
  </w:style>
  <w:style w:type="paragraph" w:styleId="List2">
    <w:name w:val="List 2"/>
    <w:basedOn w:val="BodyText"/>
    <w:rsid w:val="005A3181"/>
    <w:pPr>
      <w:tabs>
        <w:tab w:val="left" w:pos="680"/>
      </w:tabs>
      <w:spacing w:before="60" w:after="60"/>
      <w:ind w:left="680" w:hanging="340"/>
    </w:pPr>
  </w:style>
  <w:style w:type="paragraph" w:styleId="List3">
    <w:name w:val="List 3"/>
    <w:basedOn w:val="BodyText"/>
    <w:rsid w:val="005A3181"/>
    <w:pPr>
      <w:tabs>
        <w:tab w:val="left" w:pos="1021"/>
      </w:tabs>
      <w:spacing w:before="60" w:after="60"/>
      <w:ind w:left="1020" w:hanging="340"/>
    </w:pPr>
  </w:style>
  <w:style w:type="paragraph" w:styleId="List4">
    <w:name w:val="List 4"/>
    <w:basedOn w:val="BodyText"/>
    <w:rsid w:val="005A3181"/>
    <w:pPr>
      <w:tabs>
        <w:tab w:val="left" w:pos="1361"/>
      </w:tabs>
      <w:spacing w:before="60" w:after="60"/>
      <w:ind w:left="1361" w:hanging="340"/>
    </w:pPr>
  </w:style>
  <w:style w:type="paragraph" w:styleId="List5">
    <w:name w:val="List 5"/>
    <w:basedOn w:val="BodyText"/>
    <w:rsid w:val="005A3181"/>
    <w:pPr>
      <w:tabs>
        <w:tab w:val="left" w:pos="1701"/>
      </w:tabs>
      <w:spacing w:before="60" w:after="60"/>
      <w:ind w:left="1701" w:hanging="340"/>
    </w:pPr>
  </w:style>
  <w:style w:type="paragraph" w:styleId="ListBullet4">
    <w:name w:val="List Bullet 4"/>
    <w:basedOn w:val="List4"/>
    <w:rsid w:val="005A3181"/>
    <w:pPr>
      <w:numPr>
        <w:numId w:val="4"/>
      </w:numPr>
      <w:tabs>
        <w:tab w:val="clear" w:pos="1361"/>
      </w:tabs>
    </w:pPr>
  </w:style>
  <w:style w:type="paragraph" w:styleId="ListBullet5">
    <w:name w:val="List Bullet 5"/>
    <w:basedOn w:val="List5"/>
    <w:rsid w:val="005A3181"/>
    <w:pPr>
      <w:numPr>
        <w:numId w:val="5"/>
      </w:numPr>
    </w:pPr>
  </w:style>
  <w:style w:type="paragraph" w:styleId="ListContinue2">
    <w:name w:val="List Continue 2"/>
    <w:basedOn w:val="List2"/>
    <w:rsid w:val="005A3181"/>
    <w:pPr>
      <w:ind w:firstLine="0"/>
    </w:pPr>
  </w:style>
  <w:style w:type="paragraph" w:styleId="ListContinue3">
    <w:name w:val="List Continue 3"/>
    <w:basedOn w:val="List3"/>
    <w:rsid w:val="005A3181"/>
    <w:pPr>
      <w:ind w:left="1021" w:firstLine="0"/>
    </w:pPr>
  </w:style>
  <w:style w:type="paragraph" w:styleId="ListContinue4">
    <w:name w:val="List Continue 4"/>
    <w:basedOn w:val="List4"/>
    <w:rsid w:val="005A3181"/>
    <w:pPr>
      <w:ind w:firstLine="0"/>
    </w:pPr>
  </w:style>
  <w:style w:type="paragraph" w:styleId="ListContinue5">
    <w:name w:val="List Continue 5"/>
    <w:basedOn w:val="List5"/>
    <w:rsid w:val="005A3181"/>
    <w:pPr>
      <w:ind w:firstLine="0"/>
    </w:pPr>
  </w:style>
  <w:style w:type="paragraph" w:styleId="ListNumber3">
    <w:name w:val="List Number 3"/>
    <w:basedOn w:val="List3"/>
    <w:rsid w:val="005A3181"/>
    <w:pPr>
      <w:numPr>
        <w:numId w:val="6"/>
      </w:numPr>
    </w:pPr>
  </w:style>
  <w:style w:type="paragraph" w:styleId="ListNumber4">
    <w:name w:val="List Number 4"/>
    <w:basedOn w:val="List4"/>
    <w:rsid w:val="005A3181"/>
    <w:pPr>
      <w:numPr>
        <w:numId w:val="7"/>
      </w:numPr>
    </w:pPr>
  </w:style>
  <w:style w:type="paragraph" w:styleId="ListNumber5">
    <w:name w:val="List Number 5"/>
    <w:basedOn w:val="List5"/>
    <w:rsid w:val="005A3181"/>
    <w:pPr>
      <w:numPr>
        <w:numId w:val="8"/>
      </w:numPr>
    </w:pPr>
  </w:style>
  <w:style w:type="paragraph" w:styleId="BlockText">
    <w:name w:val="Block Text"/>
    <w:basedOn w:val="Normal"/>
    <w:rsid w:val="005A3181"/>
    <w:pPr>
      <w:spacing w:after="120"/>
      <w:ind w:left="1440" w:right="1440"/>
    </w:pPr>
  </w:style>
  <w:style w:type="character" w:customStyle="1" w:styleId="Subscript">
    <w:name w:val="Subscript"/>
    <w:basedOn w:val="DefaultParagraphFont"/>
    <w:rsid w:val="005A3181"/>
    <w:rPr>
      <w:sz w:val="16"/>
      <w:vertAlign w:val="subscript"/>
    </w:rPr>
  </w:style>
  <w:style w:type="character" w:customStyle="1" w:styleId="Superscript">
    <w:name w:val="Superscript"/>
    <w:basedOn w:val="DefaultParagraphFont"/>
    <w:rsid w:val="005A3181"/>
    <w:rPr>
      <w:sz w:val="16"/>
      <w:vertAlign w:val="superscript"/>
    </w:rPr>
  </w:style>
  <w:style w:type="character" w:customStyle="1" w:styleId="Symbols">
    <w:name w:val="Symbols"/>
    <w:basedOn w:val="DefaultParagraphFont"/>
    <w:rsid w:val="005A3181"/>
    <w:rPr>
      <w:rFonts w:ascii="Symbol" w:hAnsi="Symbol"/>
    </w:rPr>
  </w:style>
  <w:style w:type="character" w:customStyle="1" w:styleId="MenuOptions">
    <w:name w:val="Menu Options"/>
    <w:basedOn w:val="DefaultParagraphFont"/>
    <w:rsid w:val="005A3181"/>
    <w:rPr>
      <w:rFonts w:ascii="Arial Narrow" w:hAnsi="Arial Narrow"/>
      <w:smallCaps/>
    </w:rPr>
  </w:style>
  <w:style w:type="character" w:customStyle="1" w:styleId="Buttons">
    <w:name w:val="Buttons"/>
    <w:basedOn w:val="DefaultParagraphFont"/>
    <w:rsid w:val="005A3181"/>
    <w:rPr>
      <w:b/>
    </w:rPr>
  </w:style>
  <w:style w:type="character" w:customStyle="1" w:styleId="Underlined">
    <w:name w:val="Underlined"/>
    <w:basedOn w:val="DefaultParagraphFont"/>
    <w:rsid w:val="005A3181"/>
    <w:rPr>
      <w:u w:val="single"/>
    </w:rPr>
  </w:style>
  <w:style w:type="paragraph" w:customStyle="1" w:styleId="TableBodyTextRight">
    <w:name w:val="Table Body Text Right"/>
    <w:basedOn w:val="TableBodyText"/>
    <w:rsid w:val="005A3181"/>
    <w:pPr>
      <w:widowControl w:val="0"/>
      <w:autoSpaceDE w:val="0"/>
      <w:autoSpaceDN w:val="0"/>
      <w:adjustRightInd w:val="0"/>
      <w:jc w:val="right"/>
    </w:pPr>
    <w:rPr>
      <w:rFonts w:cs="Arial"/>
      <w:szCs w:val="18"/>
    </w:rPr>
  </w:style>
  <w:style w:type="paragraph" w:customStyle="1" w:styleId="CopyrightText">
    <w:name w:val="Copyright Text"/>
    <w:basedOn w:val="BodyText"/>
    <w:rsid w:val="005A3181"/>
    <w:rPr>
      <w:sz w:val="18"/>
    </w:rPr>
  </w:style>
  <w:style w:type="paragraph" w:customStyle="1" w:styleId="BodySmallRight">
    <w:name w:val="Body Small Right"/>
    <w:basedOn w:val="BodyTextRight"/>
    <w:rsid w:val="005A3181"/>
    <w:rPr>
      <w:sz w:val="18"/>
      <w:szCs w:val="18"/>
    </w:rPr>
  </w:style>
  <w:style w:type="paragraph" w:customStyle="1" w:styleId="MarginEdition">
    <w:name w:val="Margin Edition"/>
    <w:basedOn w:val="MarginNote"/>
    <w:rsid w:val="005A3181"/>
    <w:pPr>
      <w:spacing w:before="0" w:after="0"/>
    </w:pPr>
    <w:rPr>
      <w:rFonts w:ascii="Times New Roman" w:hAnsi="Times New Roman"/>
      <w:color w:val="999999"/>
    </w:rPr>
  </w:style>
  <w:style w:type="paragraph" w:customStyle="1" w:styleId="Spacer">
    <w:name w:val="Spacer"/>
    <w:basedOn w:val="Normal"/>
    <w:rsid w:val="005A3181"/>
    <w:rPr>
      <w:sz w:val="2"/>
      <w:szCs w:val="2"/>
    </w:rPr>
  </w:style>
  <w:style w:type="character" w:customStyle="1" w:styleId="Small">
    <w:name w:val="Small"/>
    <w:basedOn w:val="DefaultParagraphFont"/>
    <w:rsid w:val="005A3181"/>
    <w:rPr>
      <w:sz w:val="16"/>
    </w:rPr>
  </w:style>
  <w:style w:type="paragraph" w:customStyle="1" w:styleId="WideTable">
    <w:name w:val="Wide Table"/>
    <w:basedOn w:val="Normal"/>
    <w:rsid w:val="005A3181"/>
    <w:pPr>
      <w:ind w:left="-1418"/>
    </w:pPr>
    <w:rPr>
      <w:sz w:val="2"/>
      <w:szCs w:val="2"/>
    </w:rPr>
  </w:style>
  <w:style w:type="character" w:styleId="PageNumber">
    <w:name w:val="page number"/>
    <w:basedOn w:val="DefaultParagraphFont"/>
    <w:rsid w:val="005A3181"/>
  </w:style>
  <w:style w:type="paragraph" w:styleId="Quote">
    <w:name w:val="Quote"/>
    <w:basedOn w:val="Heading1"/>
    <w:link w:val="QuoteChar"/>
    <w:qFormat/>
    <w:rsid w:val="005A3181"/>
    <w:rPr>
      <w:b w:val="0"/>
      <w:sz w:val="72"/>
      <w:szCs w:val="72"/>
      <w:lang w:val="en-NZ"/>
    </w:rPr>
  </w:style>
  <w:style w:type="character" w:customStyle="1" w:styleId="QuoteChar">
    <w:name w:val="Quote Char"/>
    <w:basedOn w:val="DefaultParagraphFont"/>
    <w:link w:val="Quote"/>
    <w:rsid w:val="005A3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181"/>
    <w:pPr>
      <w:pageBreakBefore/>
    </w:pPr>
  </w:style>
  <w:style w:type="paragraph" w:customStyle="1" w:styleId="Border">
    <w:name w:val="Border"/>
    <w:basedOn w:val="Normal"/>
    <w:qFormat/>
    <w:rsid w:val="005A3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181"/>
    <w:rPr>
      <w:b/>
      <w:bCs/>
      <w:i/>
      <w:iCs/>
      <w:color w:val="auto"/>
    </w:rPr>
  </w:style>
  <w:style w:type="paragraph" w:styleId="IntenseQuote">
    <w:name w:val="Intense Quote"/>
    <w:basedOn w:val="Normal"/>
    <w:next w:val="Normal"/>
    <w:link w:val="IntenseQuoteChar"/>
    <w:uiPriority w:val="30"/>
    <w:qFormat/>
    <w:rsid w:val="005A3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181"/>
    <w:rPr>
      <w:smallCaps/>
      <w:color w:val="auto"/>
      <w:u w:val="single"/>
    </w:rPr>
  </w:style>
  <w:style w:type="character" w:styleId="IntenseReference">
    <w:name w:val="Intense Reference"/>
    <w:basedOn w:val="DefaultParagraphFont"/>
    <w:uiPriority w:val="32"/>
    <w:qFormat/>
    <w:rsid w:val="005A3181"/>
    <w:rPr>
      <w:b/>
      <w:bCs/>
      <w:smallCaps/>
      <w:color w:val="auto"/>
      <w:spacing w:val="5"/>
      <w:u w:val="single"/>
    </w:rPr>
  </w:style>
  <w:style w:type="paragraph" w:customStyle="1" w:styleId="2ColumnHeading">
    <w:name w:val="2Column Heading"/>
    <w:basedOn w:val="BodyText"/>
    <w:qFormat/>
    <w:rsid w:val="005A3181"/>
    <w:pPr>
      <w:spacing w:after="60"/>
      <w:ind w:left="-2268"/>
    </w:pPr>
    <w:rPr>
      <w:b/>
    </w:rPr>
  </w:style>
  <w:style w:type="paragraph" w:customStyle="1" w:styleId="Heading1TOC">
    <w:name w:val="Heading1 TOC"/>
    <w:basedOn w:val="Normal"/>
    <w:qFormat/>
    <w:rsid w:val="005A3181"/>
    <w:pPr>
      <w:spacing w:before="240" w:after="120"/>
    </w:pPr>
    <w:rPr>
      <w:rFonts w:ascii="Times New Roman" w:hAnsi="Times New Roman"/>
      <w:b/>
      <w:sz w:val="32"/>
    </w:rPr>
  </w:style>
  <w:style w:type="paragraph" w:customStyle="1" w:styleId="Heading2TOC">
    <w:name w:val="Heading2 TOC"/>
    <w:basedOn w:val="Normal"/>
    <w:qFormat/>
    <w:rsid w:val="005A3181"/>
    <w:pPr>
      <w:spacing w:before="240" w:after="60"/>
    </w:pPr>
    <w:rPr>
      <w:rFonts w:ascii="Times New Roman" w:hAnsi="Times New Roman"/>
      <w:b/>
      <w:sz w:val="28"/>
    </w:rPr>
  </w:style>
  <w:style w:type="character" w:customStyle="1" w:styleId="Underline">
    <w:name w:val="Underline"/>
    <w:basedOn w:val="DefaultParagraphFont"/>
    <w:qFormat/>
    <w:rsid w:val="005A3181"/>
    <w:rPr>
      <w:u w:val="single"/>
    </w:rPr>
  </w:style>
  <w:style w:type="character" w:customStyle="1" w:styleId="BoldandItalics">
    <w:name w:val="Bold and Italics"/>
    <w:qFormat/>
    <w:rsid w:val="005A3181"/>
    <w:rPr>
      <w:b/>
      <w:i/>
      <w:u w:val="none"/>
    </w:rPr>
  </w:style>
  <w:style w:type="paragraph" w:styleId="BalloonText">
    <w:name w:val="Balloon Text"/>
    <w:basedOn w:val="Normal"/>
    <w:link w:val="BalloonTextChar"/>
    <w:rsid w:val="005A3181"/>
    <w:rPr>
      <w:rFonts w:ascii="Tahoma" w:hAnsi="Tahoma" w:cs="Tahoma"/>
      <w:sz w:val="16"/>
      <w:szCs w:val="16"/>
    </w:rPr>
  </w:style>
  <w:style w:type="character" w:customStyle="1" w:styleId="BalloonTextChar">
    <w:name w:val="Balloon Text Char"/>
    <w:basedOn w:val="DefaultParagraphFont"/>
    <w:link w:val="BalloonText"/>
    <w:rsid w:val="005A3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1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181"/>
    <w:rPr>
      <w:b/>
      <w:color w:val="660033"/>
      <w:spacing w:val="0"/>
    </w:rPr>
  </w:style>
  <w:style w:type="paragraph" w:customStyle="1" w:styleId="Nameditemlist">
    <w:name w:val="Named item list"/>
    <w:basedOn w:val="BodyText"/>
    <w:qFormat/>
    <w:rsid w:val="005A3181"/>
    <w:pPr>
      <w:tabs>
        <w:tab w:val="left" w:pos="2835"/>
      </w:tabs>
      <w:ind w:left="2835" w:hanging="2835"/>
    </w:pPr>
  </w:style>
  <w:style w:type="paragraph" w:customStyle="1" w:styleId="BodyTextnopadding">
    <w:name w:val="Body Text no padding"/>
    <w:basedOn w:val="BodyText"/>
    <w:qFormat/>
    <w:rsid w:val="005A3181"/>
    <w:pPr>
      <w:spacing w:before="0" w:after="0"/>
    </w:pPr>
  </w:style>
  <w:style w:type="paragraph" w:customStyle="1" w:styleId="BodyTextBold">
    <w:name w:val="Body Text Bold"/>
    <w:basedOn w:val="BodyText"/>
    <w:qFormat/>
    <w:rsid w:val="005A3181"/>
    <w:rPr>
      <w:b/>
    </w:rPr>
  </w:style>
  <w:style w:type="character" w:styleId="Hyperlink">
    <w:name w:val="Hyperlink"/>
    <w:basedOn w:val="DefaultParagraphFont"/>
    <w:uiPriority w:val="99"/>
    <w:unhideWhenUsed/>
    <w:rsid w:val="001E38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1707</Words>
  <Characters>10433</Characters>
  <Application>Microsoft Office Word</Application>
  <DocSecurity>0</DocSecurity>
  <Lines>221</Lines>
  <Paragraphs>168</Paragraphs>
  <ScaleCrop>false</ScaleCrop>
  <Company>Author-it Software Corporation Ltd.</Company>
  <LinksUpToDate>false</LinksUpToDate>
  <CharactersWithSpaces>11972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UEERE0025 Carry out basic repairs to renewable energy (RE)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2022-12-13T06:07:00Z</dcterms:created>
  <dcterms:modified xsi:type="dcterms:W3CDTF">2022-12-13T06:07:00Z</dcterms:modified>
</cp:coreProperties>
</file>