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956" w:rsidP="00E77956">
      <w:pPr>
        <w:pStyle w:val="Title"/>
      </w:pPr>
      <w:r>
        <w:fldChar w:fldCharType="begin"/>
      </w:r>
      <w:r>
        <w:instrText xml:space="preserve"> TITLE   \* MERGEFORMAT </w:instrText>
      </w:r>
      <w:r>
        <w:fldChar w:fldCharType="separate"/>
      </w:r>
      <w:r>
        <w:t>Assessment Requirements for UEERE0020 Promote sustainable energy practices in the community</w:t>
      </w:r>
      <w:r>
        <w:fldChar w:fldCharType="end"/>
      </w:r>
    </w:p>
    <w:p w:rsidR="00E77956" w:rsidP="00E77956">
      <w:pPr>
        <w:pStyle w:val="Version"/>
        <w:sectPr w:rsidSect="006C0A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AE2" w:rsidP="006C0AE2">
      <w:pPr>
        <w:pStyle w:val="SuperHeading"/>
      </w:pPr>
      <w:r w:rsidRPr="006C0AE2">
        <w:t>Assessment Requirements for UEERE0020 Promote sustainable energy practices in the community</w:t>
      </w:r>
    </w:p>
    <w:p w:rsidR="00000000" w:rsidRPr="006C0AE2" w:rsidP="006C0AE2">
      <w:pPr>
        <w:pStyle w:val="Heading1"/>
      </w:pPr>
      <w:bookmarkStart w:id="1" w:name="O_1075889"/>
      <w:bookmarkEnd w:id="1"/>
      <w:r w:rsidRPr="006C0AE2">
        <w:t>Modification History</w:t>
      </w:r>
    </w:p>
    <w:tbl>
      <w:tblPr>
        <w:tblW w:w="9497" w:type="dxa"/>
        <w:tblLayout w:type="fixed"/>
        <w:tblCellMar>
          <w:left w:w="62" w:type="dxa"/>
          <w:right w:w="62" w:type="dxa"/>
        </w:tblCellMar>
        <w:tblLook w:val="0000"/>
      </w:tblPr>
      <w:tblGrid>
        <w:gridCol w:w="9497"/>
      </w:tblGrid>
      <w:tr w:rsidTr="006C0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E2" w:rsidP="006C0AE2">
            <w:pPr>
              <w:pStyle w:val="BodyText"/>
            </w:pPr>
            <w:r w:rsidRPr="006C0AE2">
              <w:t>Release 1. This is the first release of this unit of competency in the UEE Electrotechnology Training Package.</w:t>
            </w:r>
          </w:p>
        </w:tc>
      </w:tr>
    </w:tbl>
    <w:p w:rsidR="00000000" w:rsidRPr="006C0AE2" w:rsidP="006C0AE2">
      <w:pPr>
        <w:pStyle w:val="NoPaddingFontSize1"/>
      </w:pPr>
    </w:p>
    <w:p w:rsidR="00000000" w:rsidRPr="006C0AE2" w:rsidP="006C0AE2">
      <w:pPr>
        <w:pStyle w:val="AllowPageBreak"/>
      </w:pPr>
    </w:p>
    <w:p w:rsidR="00000000" w:rsidRPr="006C0AE2" w:rsidP="006C0AE2">
      <w:pPr>
        <w:pStyle w:val="Heading1"/>
      </w:pPr>
      <w:bookmarkStart w:id="2" w:name="O_1075890"/>
      <w:bookmarkEnd w:id="2"/>
      <w:r w:rsidRPr="006C0AE2">
        <w:t>Performance Evidence</w:t>
      </w:r>
    </w:p>
    <w:tbl>
      <w:tblPr>
        <w:tblW w:w="9497" w:type="dxa"/>
        <w:tblLayout w:type="fixed"/>
        <w:tblCellMar>
          <w:left w:w="62" w:type="dxa"/>
          <w:right w:w="62" w:type="dxa"/>
        </w:tblCellMar>
        <w:tblLook w:val="0000"/>
      </w:tblPr>
      <w:tblGrid>
        <w:gridCol w:w="9497"/>
      </w:tblGrid>
      <w:tr w:rsidTr="006C0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0AE2">
            <w:pPr>
              <w:pStyle w:val="BodyText"/>
              <w:rPr>
                <w:lang w:val="en-NZ"/>
              </w:rPr>
            </w:pPr>
            <w:r w:rsidRPr="006C0AE2">
              <w:t>Evidence required to demonstrate competence in this unit must be relevant to and satisfy all of the requirements of the elements, performance criteria and range of conditions on at least one occasion and include:</w:t>
            </w:r>
          </w:p>
        </w:tc>
      </w:tr>
      <w:tr w:rsidTr="006C0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E2" w:rsidP="006C0AE2">
            <w:pPr>
              <w:pStyle w:val="ListBullet"/>
            </w:pPr>
            <w:r w:rsidRPr="006C0AE2">
              <w:t>applying su</w:t>
            </w:r>
            <w:r w:rsidRPr="006C0AE2">
              <w:t>stainable energy practice in the community</w:t>
            </w:r>
          </w:p>
          <w:p w:rsidR="00000000" w:rsidRPr="006C0AE2" w:rsidP="006C0AE2">
            <w:pPr>
              <w:pStyle w:val="ListBullet"/>
            </w:pPr>
            <w:r w:rsidRPr="006C0AE2">
              <w:t>dealing with unplanned events</w:t>
            </w:r>
          </w:p>
          <w:p w:rsidR="00000000" w:rsidRPr="006C0AE2" w:rsidP="006C0AE2">
            <w:pPr>
              <w:pStyle w:val="ListBullet"/>
            </w:pPr>
            <w:r w:rsidRPr="006C0AE2">
              <w:t>applying relevant work health and safety (WHS)/occupational health and safety (OHS) requirements</w:t>
            </w:r>
          </w:p>
          <w:p w:rsidR="00000000" w:rsidRPr="006C0AE2" w:rsidP="006C0AE2">
            <w:pPr>
              <w:pStyle w:val="ListBullet"/>
            </w:pPr>
            <w:r w:rsidRPr="006C0AE2">
              <w:t>checking work quality</w:t>
            </w:r>
          </w:p>
          <w:p w:rsidR="00000000" w:rsidRPr="006C0AE2" w:rsidP="006C0AE2">
            <w:pPr>
              <w:pStyle w:val="ListBullet"/>
            </w:pPr>
            <w:r w:rsidRPr="006C0AE2">
              <w:t>completing the promotion of sustainable energy</w:t>
            </w:r>
          </w:p>
          <w:p w:rsidR="00000000" w:rsidRPr="006C0AE2" w:rsidP="006C0AE2">
            <w:pPr>
              <w:pStyle w:val="ListBullet"/>
            </w:pPr>
            <w:r w:rsidRPr="006C0AE2">
              <w:t>determining locat</w:t>
            </w:r>
            <w:r w:rsidRPr="006C0AE2">
              <w:t>ion of work activities</w:t>
            </w:r>
          </w:p>
          <w:p w:rsidR="00000000" w:rsidRPr="006C0AE2" w:rsidP="006C0AE2">
            <w:pPr>
              <w:pStyle w:val="ListBullet"/>
            </w:pPr>
            <w:r w:rsidRPr="006C0AE2">
              <w:t>documenting promotional work activities after completion</w:t>
            </w:r>
          </w:p>
          <w:p w:rsidR="00000000" w:rsidRPr="006C0AE2" w:rsidP="006C0AE2">
            <w:pPr>
              <w:pStyle w:val="ListBullet"/>
            </w:pPr>
            <w:r w:rsidRPr="006C0AE2">
              <w:t>identifying and promoting sustainable energy practices</w:t>
            </w:r>
          </w:p>
          <w:p w:rsidR="00000000" w:rsidRPr="006C0AE2" w:rsidP="006C0AE2">
            <w:pPr>
              <w:pStyle w:val="ListBullet"/>
            </w:pPr>
            <w:r w:rsidRPr="006C0AE2">
              <w:t>obtaining and checking materials using sustainable energy practices.</w:t>
            </w:r>
          </w:p>
        </w:tc>
      </w:tr>
    </w:tbl>
    <w:p w:rsidR="00000000" w:rsidRPr="006C0AE2" w:rsidP="006C0AE2">
      <w:pPr>
        <w:pStyle w:val="NoPaddingFontSize1"/>
      </w:pPr>
    </w:p>
    <w:p w:rsidR="00000000" w:rsidRPr="006C0AE2" w:rsidP="006C0AE2">
      <w:pPr>
        <w:pStyle w:val="AllowPageBreak"/>
      </w:pPr>
    </w:p>
    <w:p w:rsidR="00000000" w:rsidRPr="006C0AE2" w:rsidP="006C0AE2">
      <w:pPr>
        <w:pStyle w:val="Heading1"/>
      </w:pPr>
      <w:bookmarkStart w:id="3" w:name="O_1075891"/>
      <w:bookmarkEnd w:id="3"/>
      <w:r w:rsidRPr="006C0AE2">
        <w:t>Knowledge Evidence</w:t>
      </w:r>
    </w:p>
    <w:tbl>
      <w:tblPr>
        <w:tblW w:w="9497" w:type="dxa"/>
        <w:tblLayout w:type="fixed"/>
        <w:tblCellMar>
          <w:left w:w="62" w:type="dxa"/>
          <w:right w:w="62" w:type="dxa"/>
        </w:tblCellMar>
        <w:tblLook w:val="0000"/>
      </w:tblPr>
      <w:tblGrid>
        <w:gridCol w:w="9497"/>
      </w:tblGrid>
      <w:tr w:rsidTr="006C0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0AE2">
            <w:pPr>
              <w:pStyle w:val="BodyText"/>
              <w:rPr>
                <w:lang w:val="en-NZ"/>
              </w:rPr>
            </w:pPr>
            <w:r w:rsidRPr="006C0AE2">
              <w:t>Evidence required to demonstrate competence in this unit must be relevant to and satisfy all of the requirements of the elements, performance criteria and range of conditions and include knowledge of:</w:t>
            </w:r>
          </w:p>
        </w:tc>
      </w:tr>
      <w:tr w:rsidTr="006C0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E2" w:rsidP="006C0AE2">
            <w:pPr>
              <w:pStyle w:val="ListBullet"/>
            </w:pPr>
            <w:r w:rsidRPr="006C0AE2">
              <w:t>greenhouse reduction strategies, including:</w:t>
            </w:r>
          </w:p>
          <w:p w:rsidR="00000000" w:rsidRPr="006C0AE2" w:rsidP="006C0AE2">
            <w:pPr>
              <w:pStyle w:val="ListBullet2"/>
            </w:pPr>
            <w:r w:rsidRPr="006C0AE2">
              <w:t>greenhou</w:t>
            </w:r>
            <w:r w:rsidRPr="006C0AE2">
              <w:t>se gas emissions profile encompassing:</w:t>
            </w:r>
          </w:p>
          <w:p w:rsidR="00000000" w:rsidRPr="006C0AE2" w:rsidP="006C0AE2">
            <w:pPr>
              <w:pStyle w:val="ListBullet3"/>
            </w:pPr>
            <w:r w:rsidRPr="006C0AE2">
              <w:t xml:space="preserve">goals and principles of the National Greenhouse Strategy (NGS) </w:t>
            </w:r>
          </w:p>
          <w:p w:rsidR="00000000" w:rsidRPr="006C0AE2" w:rsidP="006C0AE2">
            <w:pPr>
              <w:pStyle w:val="ListBullet3"/>
            </w:pPr>
            <w:r w:rsidRPr="006C0AE2">
              <w:t>what a greenhouse gas inventory is, why it is required, and the sectors to which it applies</w:t>
            </w:r>
          </w:p>
          <w:p w:rsidR="00000000" w:rsidRPr="006C0AE2" w:rsidP="006C0AE2">
            <w:pPr>
              <w:pStyle w:val="ListBullet3"/>
            </w:pPr>
            <w:r w:rsidRPr="006C0AE2">
              <w:t>uses to which the National Greenhouse Gas Inventory can be applied</w:t>
            </w:r>
          </w:p>
          <w:p w:rsidR="00000000" w:rsidRPr="006C0AE2" w:rsidP="006C0AE2">
            <w:pPr>
              <w:pStyle w:val="ListBullet2"/>
            </w:pPr>
            <w:r w:rsidRPr="006C0AE2">
              <w:t>climate change and its impacts encompassing:</w:t>
            </w:r>
          </w:p>
          <w:p w:rsidR="00000000" w:rsidRPr="006C0AE2" w:rsidP="006C0AE2">
            <w:pPr>
              <w:pStyle w:val="ListBullet3"/>
            </w:pPr>
            <w:r w:rsidRPr="006C0AE2">
              <w:t>the possible impact of climate change in Australia</w:t>
            </w:r>
          </w:p>
          <w:p w:rsidR="00000000" w:rsidRPr="006C0AE2" w:rsidP="006C0AE2">
            <w:pPr>
              <w:pStyle w:val="ListBullet3"/>
            </w:pPr>
            <w:r w:rsidRPr="006C0AE2">
              <w:t>techniques for improving the understanding of climate change</w:t>
            </w:r>
          </w:p>
          <w:p w:rsidR="00000000" w:rsidRPr="006C0AE2" w:rsidP="006C0AE2">
            <w:pPr>
              <w:pStyle w:val="ListBullet3"/>
            </w:pPr>
            <w:r w:rsidRPr="006C0AE2">
              <w:t>techniques for communicating t</w:t>
            </w:r>
            <w:r w:rsidRPr="006C0AE2">
              <w:t>o and educating the general public on greenhouse gas induced climate change</w:t>
            </w:r>
          </w:p>
          <w:p w:rsidR="00000000" w:rsidRPr="006C0AE2" w:rsidP="006C0AE2">
            <w:pPr>
              <w:pStyle w:val="ListBullet2"/>
            </w:pPr>
            <w:r w:rsidRPr="006C0AE2">
              <w:t>partnerships for greenhouse action encompassing:</w:t>
            </w:r>
          </w:p>
          <w:p w:rsidR="00000000" w:rsidRPr="006C0AE2" w:rsidP="006C0AE2">
            <w:pPr>
              <w:pStyle w:val="ListBullet3"/>
            </w:pPr>
            <w:r w:rsidRPr="006C0AE2">
              <w:t>actions achievable by each level of government to implement the NGS</w:t>
            </w:r>
          </w:p>
          <w:p w:rsidR="00000000" w:rsidRPr="006C0AE2" w:rsidP="006C0AE2">
            <w:pPr>
              <w:pStyle w:val="ListBullet3"/>
            </w:pPr>
            <w:r w:rsidRPr="006C0AE2">
              <w:t>methods by which the community activity can be engaged in the</w:t>
            </w:r>
            <w:r w:rsidRPr="006C0AE2">
              <w:t xml:space="preserve"> reduction of greenhouse gas emissions</w:t>
            </w:r>
          </w:p>
          <w:p w:rsidR="00000000" w:rsidRPr="006C0AE2" w:rsidP="006C0AE2">
            <w:pPr>
              <w:pStyle w:val="ListBullet3"/>
            </w:pPr>
            <w:r w:rsidRPr="006C0AE2">
              <w:t>initiatives that can be undertaken by the private sector to reduce greenhouse gas emissions</w:t>
            </w:r>
          </w:p>
          <w:p w:rsidR="00000000" w:rsidRPr="006C0AE2" w:rsidP="006C0AE2">
            <w:pPr>
              <w:pStyle w:val="ListBullet3"/>
            </w:pPr>
            <w:r w:rsidRPr="006C0AE2">
              <w:t>advantages of international partnerships</w:t>
            </w:r>
          </w:p>
          <w:p w:rsidR="00000000" w:rsidRPr="006C0AE2" w:rsidP="006C0AE2">
            <w:pPr>
              <w:pStyle w:val="ListBullet3"/>
            </w:pPr>
            <w:r w:rsidRPr="006C0AE2">
              <w:t>emissions trading system</w:t>
            </w:r>
          </w:p>
          <w:p w:rsidR="00000000" w:rsidRPr="006C0AE2" w:rsidP="006C0AE2">
            <w:pPr>
              <w:pStyle w:val="ListBullet2"/>
            </w:pPr>
            <w:r w:rsidRPr="006C0AE2">
              <w:t>efficient and sustainable energy use and supply encompassing:</w:t>
            </w:r>
          </w:p>
          <w:p w:rsidR="00000000" w:rsidRPr="006C0AE2" w:rsidP="006C0AE2">
            <w:pPr>
              <w:pStyle w:val="ListBullet3"/>
            </w:pPr>
            <w:r w:rsidRPr="006C0AE2">
              <w:t>techniques for reducing the greenhouse intensity of energy supply</w:t>
            </w:r>
          </w:p>
          <w:p w:rsidR="00000000" w:rsidRPr="006C0AE2" w:rsidP="006C0AE2">
            <w:pPr>
              <w:pStyle w:val="ListBullet3"/>
            </w:pPr>
            <w:r w:rsidRPr="006C0AE2">
              <w:t>types of renewable energy (RE) sources suitable for use in Australia</w:t>
            </w:r>
          </w:p>
          <w:p w:rsidR="00000000" w:rsidRPr="006C0AE2" w:rsidP="006C0AE2">
            <w:pPr>
              <w:pStyle w:val="ListBullet3"/>
            </w:pPr>
            <w:r w:rsidRPr="006C0AE2">
              <w:t>methods and technique for improving end-use efficiency</w:t>
            </w:r>
          </w:p>
          <w:p w:rsidR="00000000" w:rsidRPr="006C0AE2" w:rsidP="006C0AE2">
            <w:pPr>
              <w:pStyle w:val="ListBullet2"/>
            </w:pPr>
            <w:r w:rsidRPr="006C0AE2">
              <w:t>ef</w:t>
            </w:r>
            <w:r w:rsidRPr="006C0AE2">
              <w:t>ficient transport and sustainable urban planning encompassing:</w:t>
            </w:r>
          </w:p>
          <w:p w:rsidR="00000000" w:rsidRPr="006C0AE2" w:rsidP="006C0AE2">
            <w:pPr>
              <w:pStyle w:val="ListBullet3"/>
            </w:pPr>
            <w:r w:rsidRPr="006C0AE2">
              <w:t>how integrating land use and transport planning can assist the greenhouse problem</w:t>
            </w:r>
          </w:p>
          <w:p w:rsidR="00000000" w:rsidRPr="006C0AE2" w:rsidP="006C0AE2">
            <w:pPr>
              <w:pStyle w:val="ListBullet3"/>
            </w:pPr>
            <w:r w:rsidRPr="006C0AE2">
              <w:t>how each of the following can be used to mitigate greenhouse gas; travel demand and traffic management strateg</w:t>
            </w:r>
            <w:r w:rsidRPr="006C0AE2">
              <w:t>ies; encouraging greater use of public transport, walking and cycling; freight and logistics systems; improving vehicle fuel efficiency and fuel technologies</w:t>
            </w:r>
          </w:p>
          <w:p w:rsidR="00000000" w:rsidRPr="006C0AE2" w:rsidP="006C0AE2">
            <w:pPr>
              <w:pStyle w:val="ListBullet2"/>
            </w:pPr>
            <w:r w:rsidRPr="006C0AE2">
              <w:t>greenhouse sinks and sustainable land management encompassing:</w:t>
            </w:r>
          </w:p>
          <w:p w:rsidR="00000000" w:rsidRPr="006C0AE2" w:rsidP="006C0AE2">
            <w:pPr>
              <w:pStyle w:val="ListBullet3"/>
            </w:pPr>
            <w:r w:rsidRPr="006C0AE2">
              <w:t>how enhancing greenhouse sinks an</w:t>
            </w:r>
            <w:r w:rsidRPr="006C0AE2">
              <w:t>d encouraging sustainable forestry and vegetation management can complement the AGS</w:t>
            </w:r>
          </w:p>
          <w:p w:rsidR="00000000" w:rsidRPr="006C0AE2" w:rsidP="006C0AE2">
            <w:pPr>
              <w:pStyle w:val="ListBullet3"/>
            </w:pPr>
            <w:r w:rsidRPr="006C0AE2">
              <w:t>how greenhouse gas emissions are obtained from agricultural production and describe techniques to mitigate the emissions</w:t>
            </w:r>
          </w:p>
          <w:p w:rsidR="00000000" w:rsidRPr="006C0AE2" w:rsidP="006C0AE2">
            <w:pPr>
              <w:pStyle w:val="ListBullet2"/>
            </w:pPr>
            <w:r w:rsidRPr="006C0AE2">
              <w:t>models of greenhouse best practice in industrial p</w:t>
            </w:r>
            <w:r w:rsidRPr="006C0AE2">
              <w:t>rocesses and waste management encompassing:</w:t>
            </w:r>
          </w:p>
          <w:p w:rsidR="00000000" w:rsidRPr="006C0AE2" w:rsidP="006C0AE2">
            <w:pPr>
              <w:pStyle w:val="ListBullet3"/>
            </w:pPr>
            <w:r w:rsidRPr="006C0AE2">
              <w:t>types and methods of reducing greenhouse gas emissions from industry</w:t>
            </w:r>
          </w:p>
          <w:p w:rsidR="00000000" w:rsidRPr="006C0AE2" w:rsidP="006C0AE2">
            <w:pPr>
              <w:pStyle w:val="ListBullet3"/>
            </w:pPr>
            <w:r w:rsidRPr="006C0AE2">
              <w:t>methods of reducing methane emissions from waste treatment and disposal</w:t>
            </w:r>
          </w:p>
          <w:p w:rsidR="00000000" w:rsidRPr="006C0AE2" w:rsidP="006C0AE2">
            <w:pPr>
              <w:pStyle w:val="ListBullet2"/>
            </w:pPr>
            <w:r w:rsidRPr="006C0AE2">
              <w:t>adaptation to climate change encompassing:</w:t>
            </w:r>
          </w:p>
          <w:p w:rsidR="00000000" w:rsidRPr="006C0AE2" w:rsidP="006C0AE2">
            <w:pPr>
              <w:pStyle w:val="ListBullet3"/>
            </w:pPr>
            <w:r w:rsidRPr="006C0AE2">
              <w:t>salient points in each of the key sectors that require analysis and the strategies required in the need for adaptation to climate change</w:t>
            </w:r>
          </w:p>
          <w:p w:rsidR="00000000" w:rsidRPr="006C0AE2" w:rsidP="006C0AE2">
            <w:pPr>
              <w:pStyle w:val="ListBullet2"/>
            </w:pPr>
            <w:r w:rsidRPr="006C0AE2">
              <w:t>quality assessments</w:t>
            </w:r>
          </w:p>
          <w:p w:rsidR="00000000" w:rsidRPr="006C0AE2" w:rsidP="006C0AE2">
            <w:pPr>
              <w:pStyle w:val="ListBullet2"/>
            </w:pPr>
            <w:r w:rsidRPr="006C0AE2">
              <w:t>relevant job safety assessments or risk mitigation processes</w:t>
            </w:r>
          </w:p>
          <w:p w:rsidR="00000000" w:rsidRPr="006C0AE2" w:rsidP="006C0AE2">
            <w:pPr>
              <w:pStyle w:val="ListBullet2"/>
            </w:pPr>
            <w:r w:rsidRPr="006C0AE2">
              <w:t>relevant manufacturer specifications</w:t>
            </w:r>
          </w:p>
          <w:p w:rsidR="00000000" w:rsidRPr="006C0AE2" w:rsidP="006C0AE2">
            <w:pPr>
              <w:pStyle w:val="ListBullet2"/>
            </w:pPr>
            <w:r w:rsidRPr="006C0AE2">
              <w:t>relevant promotional materials</w:t>
            </w:r>
          </w:p>
          <w:p w:rsidR="00000000" w:rsidRPr="006C0AE2" w:rsidP="006C0AE2">
            <w:pPr>
              <w:pStyle w:val="ListBullet2"/>
            </w:pPr>
            <w:r w:rsidRPr="006C0AE2">
              <w:t>relevant WHS/OHS legislated requirements</w:t>
            </w:r>
          </w:p>
          <w:p w:rsidR="00000000" w:rsidRPr="006C0AE2" w:rsidP="006C0AE2">
            <w:pPr>
              <w:pStyle w:val="ListBullet2"/>
            </w:pPr>
            <w:r w:rsidRPr="006C0AE2">
              <w:t>relevant workplace documentation</w:t>
            </w:r>
          </w:p>
          <w:p w:rsidR="00000000" w:rsidRPr="006C0AE2" w:rsidP="006C0AE2">
            <w:pPr>
              <w:pStyle w:val="ListBullet2"/>
            </w:pPr>
            <w:r w:rsidRPr="006C0AE2">
              <w:t>relevant workplace policies and procedures</w:t>
            </w:r>
          </w:p>
          <w:p w:rsidR="00000000" w:rsidRPr="006C0AE2" w:rsidP="006C0AE2">
            <w:pPr>
              <w:pStyle w:val="ListBullet2"/>
            </w:pPr>
            <w:r w:rsidRPr="006C0AE2">
              <w:t>sustainable energy principles and practices.</w:t>
            </w:r>
          </w:p>
        </w:tc>
      </w:tr>
    </w:tbl>
    <w:p w:rsidR="00000000" w:rsidRPr="006C0AE2" w:rsidP="006C0AE2">
      <w:pPr>
        <w:pStyle w:val="NoPaddingFontSize1"/>
      </w:pPr>
    </w:p>
    <w:p w:rsidR="00000000" w:rsidRPr="006C0AE2" w:rsidP="006C0AE2">
      <w:pPr>
        <w:pStyle w:val="AllowPageBreak"/>
      </w:pPr>
    </w:p>
    <w:p w:rsidR="00000000" w:rsidRPr="006C0AE2" w:rsidP="006C0AE2">
      <w:pPr>
        <w:pStyle w:val="Heading1"/>
      </w:pPr>
      <w:bookmarkStart w:id="4" w:name="O_1075892"/>
      <w:bookmarkEnd w:id="4"/>
      <w:r w:rsidRPr="006C0AE2">
        <w:t>Assessment Conditions</w:t>
      </w:r>
    </w:p>
    <w:tbl>
      <w:tblPr>
        <w:tblW w:w="9497" w:type="dxa"/>
        <w:tblLayout w:type="fixed"/>
        <w:tblCellMar>
          <w:left w:w="62" w:type="dxa"/>
          <w:right w:w="62" w:type="dxa"/>
        </w:tblCellMar>
        <w:tblLook w:val="0000"/>
      </w:tblPr>
      <w:tblGrid>
        <w:gridCol w:w="9497"/>
      </w:tblGrid>
      <w:tr w:rsidTr="006C0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AE2" w:rsidP="006C0AE2">
            <w:pPr>
              <w:pStyle w:val="BodyText"/>
            </w:pPr>
            <w:r w:rsidRPr="006C0AE2">
              <w:t>Assessors must hold credentials specified within the Standards for Registered Training Organisations current at the time of assessment.</w:t>
            </w:r>
          </w:p>
          <w:p w:rsidR="00000000" w:rsidRPr="006C0AE2" w:rsidP="006C0AE2">
            <w:pPr>
              <w:pStyle w:val="BodyText"/>
            </w:pPr>
            <w:r w:rsidRPr="006C0AE2">
              <w:t>Assessment must satisfy the Principles of Assessment and Rules of Evidence and all regulatory requirements included with</w:t>
            </w:r>
            <w:r w:rsidRPr="006C0AE2">
              <w:t>in the Standards for Registered Training Organisations current at the time of assessment.</w:t>
            </w:r>
          </w:p>
          <w:p w:rsidR="00000000" w:rsidRPr="006C0AE2" w:rsidP="006C0AE2">
            <w:pPr>
              <w:pStyle w:val="BodyText"/>
            </w:pPr>
            <w:r w:rsidRPr="006C0AE2">
              <w:t>Assessment must occur in workplace operational situations where it is appropriate to do so; where this is not appropriate, assessment must occur in simulated workplac</w:t>
            </w:r>
            <w:r w:rsidRPr="006C0AE2">
              <w:t>e operational situations that replicate workplace conditions.</w:t>
            </w:r>
          </w:p>
          <w:p w:rsidR="00000000" w:rsidRPr="006C0AE2" w:rsidP="006C0AE2">
            <w:pPr>
              <w:pStyle w:val="BodyText"/>
            </w:pPr>
            <w:r w:rsidRPr="006C0AE2">
              <w:t>Assessment processes and techniques must be appropriate to the language, literacy and numeracy requirements of the work being performed and the needs of the candidate.</w:t>
            </w:r>
          </w:p>
          <w:p w:rsidR="00000000" w:rsidRPr="006C0AE2" w:rsidP="006C0AE2">
            <w:pPr>
              <w:pStyle w:val="BodyText"/>
            </w:pPr>
            <w:r w:rsidRPr="006C0AE2">
              <w:t>Resources for assessment m</w:t>
            </w:r>
            <w:r w:rsidRPr="006C0AE2">
              <w:t>ust include access to:</w:t>
            </w:r>
          </w:p>
          <w:p w:rsidR="00000000" w:rsidRPr="006C0AE2" w:rsidP="006C0AE2">
            <w:pPr>
              <w:pStyle w:val="ListBullet"/>
            </w:pPr>
            <w:r w:rsidRPr="006C0AE2">
              <w:t>a range of relevant exercises, case studies and/or other simulations</w:t>
            </w:r>
          </w:p>
          <w:p w:rsidR="00000000" w:rsidRPr="006C0AE2" w:rsidP="006C0AE2">
            <w:pPr>
              <w:pStyle w:val="ListBullet"/>
            </w:pPr>
            <w:r w:rsidRPr="006C0AE2">
              <w:t>relevant and appropriate materials, tools, equipment and personal protective equipment (PPE) currently used in industry</w:t>
            </w:r>
          </w:p>
          <w:p w:rsidR="00000000" w:rsidRPr="006C0AE2" w:rsidP="006C0AE2">
            <w:pPr>
              <w:pStyle w:val="ListBullet"/>
            </w:pPr>
            <w:r w:rsidRPr="006C0AE2">
              <w:t>applicable documentation, including workpla</w:t>
            </w:r>
            <w:r w:rsidRPr="006C0AE2">
              <w:t>ce procedures, equipment specifications, regulations, codes of practice and operation manuals.</w:t>
            </w:r>
          </w:p>
        </w:tc>
      </w:tr>
    </w:tbl>
    <w:p w:rsidR="00000000" w:rsidRPr="006C0AE2" w:rsidP="006C0AE2">
      <w:pPr>
        <w:pStyle w:val="NoPaddingFontSize1"/>
      </w:pPr>
    </w:p>
    <w:p w:rsidR="00000000" w:rsidRPr="006C0AE2" w:rsidP="006C0AE2">
      <w:pPr>
        <w:pStyle w:val="AllowPageBreak"/>
      </w:pPr>
    </w:p>
    <w:p w:rsidR="00000000" w:rsidRPr="006C0AE2" w:rsidP="006C0AE2">
      <w:pPr>
        <w:pStyle w:val="Heading1"/>
      </w:pPr>
      <w:bookmarkStart w:id="5" w:name="O_1075895"/>
      <w:bookmarkEnd w:id="5"/>
      <w:r w:rsidRPr="006C0AE2">
        <w:t>Links</w:t>
      </w:r>
    </w:p>
    <w:p w:rsidR="00000000" w:rsidRPr="006C0AE2" w:rsidP="00E77956">
      <w:pPr>
        <w:pStyle w:val="BodyText"/>
      </w:pPr>
      <w:r w:rsidRPr="006C0AE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B5E91">
        <w:rPr>
          <w:rStyle w:val="Hyperlink"/>
        </w:rPr>
        <w:t>https://vetnet.gov.au/Pages/TrainingDocs.aspx?q=b8a8f136-5421-4ce1-92e0-2b50341431b6</w:t>
      </w:r>
      <w:r>
        <w:fldChar w:fldCharType="end"/>
      </w:r>
    </w:p>
    <w:p w:rsidR="00000000" w:rsidRPr="006C0AE2" w:rsidP="006C0AE2"/>
    <w:sectPr w:rsidSect="006C0A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E2" w:rsidRPr="00E77956" w:rsidP="00E779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56" w:rsidP="006C0A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956" w:rsidP="006C0AE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77956" w:rsidP="006C0A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0AE2" w:rsidRPr="00E77956" w:rsidP="00E779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56" w:rsidRPr="002D2AF8" w:rsidP="006C0AE2">
    <w:pPr>
      <w:pStyle w:val="Header"/>
      <w:framePr w:wrap="around"/>
    </w:pPr>
    <w:r>
      <w:fldChar w:fldCharType="begin"/>
    </w:r>
    <w:r>
      <w:instrText xml:space="preserve"> TITLE   \* MERGEFORMAT </w:instrText>
    </w:r>
    <w:r>
      <w:fldChar w:fldCharType="separate"/>
    </w:r>
    <w:r>
      <w:t>Assessment Requirements for UEERE0020 Promote sustainable energy practices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77956" w:rsidP="006C0A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E0D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12C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34C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A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0AE2"/>
    <w:pPr>
      <w:spacing w:before="360" w:after="60"/>
      <w:outlineLvl w:val="0"/>
    </w:pPr>
    <w:rPr>
      <w:sz w:val="32"/>
    </w:rPr>
  </w:style>
  <w:style w:type="paragraph" w:styleId="Heading2">
    <w:name w:val="heading 2"/>
    <w:basedOn w:val="HeadingBase"/>
    <w:next w:val="BodyText"/>
    <w:link w:val="Heading2Char"/>
    <w:qFormat/>
    <w:rsid w:val="006C0AE2"/>
    <w:pPr>
      <w:keepLines/>
      <w:spacing w:before="240" w:after="120"/>
      <w:outlineLvl w:val="1"/>
    </w:pPr>
    <w:rPr>
      <w:sz w:val="28"/>
      <w:szCs w:val="40"/>
    </w:rPr>
  </w:style>
  <w:style w:type="paragraph" w:styleId="Heading3">
    <w:name w:val="heading 3"/>
    <w:basedOn w:val="HeadingBase"/>
    <w:next w:val="BodyText"/>
    <w:link w:val="Heading3Char"/>
    <w:qFormat/>
    <w:rsid w:val="006C0AE2"/>
    <w:pPr>
      <w:spacing w:before="180" w:after="120"/>
      <w:outlineLvl w:val="2"/>
    </w:pPr>
    <w:rPr>
      <w:spacing w:val="-10"/>
      <w:kern w:val="32"/>
    </w:rPr>
  </w:style>
  <w:style w:type="paragraph" w:styleId="Heading4">
    <w:name w:val="heading 4"/>
    <w:basedOn w:val="HeadingBase"/>
    <w:next w:val="BodyText"/>
    <w:link w:val="Heading4Char"/>
    <w:qFormat/>
    <w:rsid w:val="006C0AE2"/>
    <w:pPr>
      <w:spacing w:before="160" w:after="120"/>
      <w:outlineLvl w:val="3"/>
    </w:pPr>
    <w:rPr>
      <w:sz w:val="22"/>
    </w:rPr>
  </w:style>
  <w:style w:type="paragraph" w:styleId="Heading5">
    <w:name w:val="heading 5"/>
    <w:basedOn w:val="HeadingBase"/>
    <w:next w:val="Normal"/>
    <w:link w:val="Heading5Char"/>
    <w:qFormat/>
    <w:rsid w:val="006C0AE2"/>
    <w:pPr>
      <w:spacing w:before="80"/>
      <w:outlineLvl w:val="4"/>
    </w:pPr>
    <w:rPr>
      <w:color w:val="918585"/>
      <w:sz w:val="20"/>
    </w:rPr>
  </w:style>
  <w:style w:type="paragraph" w:styleId="Heading6">
    <w:name w:val="heading 6"/>
    <w:basedOn w:val="HeadingBase"/>
    <w:next w:val="Normal"/>
    <w:link w:val="Heading6Char"/>
    <w:qFormat/>
    <w:rsid w:val="006C0AE2"/>
    <w:pPr>
      <w:spacing w:before="60"/>
      <w:outlineLvl w:val="5"/>
    </w:pPr>
    <w:rPr>
      <w:color w:val="918585"/>
      <w:sz w:val="20"/>
    </w:rPr>
  </w:style>
  <w:style w:type="paragraph" w:styleId="Heading7">
    <w:name w:val="heading 7"/>
    <w:basedOn w:val="Normal"/>
    <w:next w:val="Normal"/>
    <w:link w:val="Heading7Char"/>
    <w:qFormat/>
    <w:rsid w:val="006C0AE2"/>
    <w:pPr>
      <w:ind w:left="720"/>
      <w:outlineLvl w:val="6"/>
    </w:pPr>
    <w:rPr>
      <w:i/>
    </w:rPr>
  </w:style>
  <w:style w:type="paragraph" w:styleId="Heading8">
    <w:name w:val="heading 8"/>
    <w:basedOn w:val="Normal"/>
    <w:next w:val="Normal"/>
    <w:link w:val="Heading8Char"/>
    <w:qFormat/>
    <w:rsid w:val="006C0AE2"/>
    <w:pPr>
      <w:ind w:left="720"/>
      <w:outlineLvl w:val="7"/>
    </w:pPr>
    <w:rPr>
      <w:i/>
    </w:rPr>
  </w:style>
  <w:style w:type="paragraph" w:styleId="Heading9">
    <w:name w:val="heading 9"/>
    <w:basedOn w:val="Normal"/>
    <w:next w:val="Normal"/>
    <w:link w:val="Heading9Char"/>
    <w:qFormat/>
    <w:rsid w:val="006C0AE2"/>
    <w:pPr>
      <w:ind w:left="720"/>
      <w:outlineLvl w:val="8"/>
    </w:pPr>
    <w:rPr>
      <w:i/>
    </w:rPr>
  </w:style>
  <w:style w:type="character" w:default="1" w:styleId="DefaultParagraphFont">
    <w:name w:val="Default Paragraph Font"/>
    <w:uiPriority w:val="1"/>
    <w:unhideWhenUsed/>
    <w:rsid w:val="006C0A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AE2"/>
  </w:style>
  <w:style w:type="character" w:customStyle="1" w:styleId="Heading1Char">
    <w:name w:val="Heading 1 Char"/>
    <w:basedOn w:val="DefaultParagraphFont"/>
    <w:link w:val="Heading1"/>
    <w:rsid w:val="006C0AE2"/>
    <w:rPr>
      <w:rFonts w:ascii="Times New Roman" w:eastAsia="Times New Roman" w:hAnsi="Times New Roman" w:cs="Times New Roman"/>
      <w:b/>
      <w:sz w:val="32"/>
      <w:szCs w:val="20"/>
      <w:lang w:eastAsia="en-US"/>
    </w:rPr>
  </w:style>
  <w:style w:type="paragraph" w:styleId="BodyText">
    <w:name w:val="Body Text"/>
    <w:basedOn w:val="Normal"/>
    <w:link w:val="BodyTextChar"/>
    <w:rsid w:val="006C0A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0AE2"/>
    <w:rPr>
      <w:rFonts w:ascii="Times New Roman" w:eastAsia="Times New Roman" w:hAnsi="Times New Roman" w:cs="Times New Roman"/>
      <w:sz w:val="24"/>
      <w:lang w:eastAsia="en-US"/>
    </w:rPr>
  </w:style>
  <w:style w:type="paragraph" w:styleId="ListBullet">
    <w:name w:val="List Bullet"/>
    <w:basedOn w:val="List"/>
    <w:rsid w:val="006C0AE2"/>
    <w:pPr>
      <w:numPr>
        <w:numId w:val="13"/>
      </w:numPr>
      <w:tabs>
        <w:tab w:val="clear" w:pos="340"/>
      </w:tabs>
      <w:spacing w:before="40" w:after="40"/>
    </w:pPr>
  </w:style>
  <w:style w:type="paragraph" w:styleId="ListBullet2">
    <w:name w:val="List Bullet 2"/>
    <w:basedOn w:val="List2"/>
    <w:rsid w:val="006C0AE2"/>
    <w:pPr>
      <w:numPr>
        <w:numId w:val="14"/>
      </w:numPr>
      <w:tabs>
        <w:tab w:val="clear" w:pos="680"/>
      </w:tabs>
    </w:pPr>
  </w:style>
  <w:style w:type="paragraph" w:customStyle="1" w:styleId="SuperHeading">
    <w:name w:val="SuperHeading"/>
    <w:basedOn w:val="Normal"/>
    <w:rsid w:val="006C0AE2"/>
    <w:pPr>
      <w:spacing w:before="240" w:after="120"/>
      <w:outlineLvl w:val="0"/>
    </w:pPr>
    <w:rPr>
      <w:rFonts w:ascii="Times New Roman" w:hAnsi="Times New Roman"/>
      <w:b/>
      <w:sz w:val="32"/>
    </w:rPr>
  </w:style>
  <w:style w:type="paragraph" w:customStyle="1" w:styleId="AllowPageBreak">
    <w:name w:val="AllowPageBreak"/>
    <w:rsid w:val="006C0A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0AE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0A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A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A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A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A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A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0A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0AE2"/>
    <w:rPr>
      <w:rFonts w:ascii="Courier New" w:eastAsia="Times New Roman" w:hAnsi="Courier New" w:cs="Times New Roman"/>
      <w:i/>
      <w:szCs w:val="20"/>
      <w:lang w:eastAsia="en-US"/>
    </w:rPr>
  </w:style>
  <w:style w:type="paragraph" w:customStyle="1" w:styleId="HeadingBase">
    <w:name w:val="Heading Base"/>
    <w:rsid w:val="006C0A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AE2"/>
    <w:pPr>
      <w:tabs>
        <w:tab w:val="right" w:leader="dot" w:pos="9072"/>
      </w:tabs>
      <w:ind w:left="567"/>
    </w:pPr>
    <w:rPr>
      <w:szCs w:val="22"/>
    </w:rPr>
  </w:style>
  <w:style w:type="paragraph" w:customStyle="1" w:styleId="TOCBase">
    <w:name w:val="TOC Base"/>
    <w:rsid w:val="006C0A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AE2"/>
    <w:pPr>
      <w:tabs>
        <w:tab w:val="right" w:leader="dot" w:pos="9072"/>
      </w:tabs>
      <w:spacing w:before="40" w:after="40"/>
      <w:ind w:left="284"/>
    </w:pPr>
    <w:rPr>
      <w:rFonts w:ascii="Times New Roman" w:hAnsi="Times New Roman"/>
    </w:rPr>
  </w:style>
  <w:style w:type="paragraph" w:styleId="TOC1">
    <w:name w:val="toc 1"/>
    <w:basedOn w:val="TOCBase"/>
    <w:next w:val="Normal"/>
    <w:rsid w:val="006C0A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0A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AE2"/>
    <w:rPr>
      <w:rFonts w:ascii="Times New Roman" w:eastAsia="Times New Roman" w:hAnsi="Times New Roman" w:cs="Times New Roman"/>
      <w:sz w:val="16"/>
      <w:lang w:eastAsia="en-US"/>
    </w:rPr>
  </w:style>
  <w:style w:type="paragraph" w:styleId="Title">
    <w:name w:val="Title"/>
    <w:basedOn w:val="HeadingBase"/>
    <w:link w:val="TitleChar"/>
    <w:qFormat/>
    <w:rsid w:val="006C0AE2"/>
    <w:pPr>
      <w:spacing w:before="5040"/>
      <w:jc w:val="center"/>
    </w:pPr>
    <w:rPr>
      <w:sz w:val="48"/>
      <w:szCs w:val="72"/>
      <w:lang w:val="en-US"/>
    </w:rPr>
  </w:style>
  <w:style w:type="character" w:customStyle="1" w:styleId="TitleChar">
    <w:name w:val="Title Char"/>
    <w:basedOn w:val="DefaultParagraphFont"/>
    <w:link w:val="Title"/>
    <w:rsid w:val="006C0A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AE2"/>
    <w:pPr>
      <w:tabs>
        <w:tab w:val="left" w:pos="3600"/>
        <w:tab w:val="left" w:pos="3958"/>
      </w:tabs>
    </w:pPr>
  </w:style>
  <w:style w:type="paragraph" w:styleId="List">
    <w:name w:val="List"/>
    <w:basedOn w:val="BodyText"/>
    <w:next w:val="BodyText"/>
    <w:rsid w:val="006C0AE2"/>
    <w:pPr>
      <w:tabs>
        <w:tab w:val="left" w:pos="340"/>
      </w:tabs>
      <w:spacing w:before="60" w:after="60"/>
      <w:ind w:left="340" w:hanging="340"/>
    </w:pPr>
  </w:style>
  <w:style w:type="paragraph" w:customStyle="1" w:styleId="Note">
    <w:name w:val="Note"/>
    <w:basedOn w:val="BodyText"/>
    <w:rsid w:val="006C0A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0AE2"/>
    <w:rPr>
      <w:b/>
      <w:spacing w:val="0"/>
    </w:rPr>
  </w:style>
  <w:style w:type="paragraph" w:customStyle="1" w:styleId="SuperTitle">
    <w:name w:val="SuperTitle"/>
    <w:basedOn w:val="Title"/>
    <w:rsid w:val="006C0AE2"/>
    <w:pPr>
      <w:framePr w:wrap="auto" w:hAnchor="text" w:y="6049"/>
    </w:pPr>
    <w:rPr>
      <w:color w:val="000000"/>
      <w:sz w:val="40"/>
    </w:rPr>
  </w:style>
  <w:style w:type="paragraph" w:customStyle="1" w:styleId="TOCTitle">
    <w:name w:val="TOCTitle"/>
    <w:basedOn w:val="Heading1"/>
    <w:rsid w:val="006C0AE2"/>
    <w:pPr>
      <w:spacing w:after="240"/>
      <w:jc w:val="center"/>
      <w:outlineLvl w:val="9"/>
    </w:pPr>
    <w:rPr>
      <w:caps/>
    </w:rPr>
  </w:style>
  <w:style w:type="paragraph" w:customStyle="1" w:styleId="Version">
    <w:name w:val="Version"/>
    <w:rsid w:val="006C0A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AE2"/>
    <w:pPr>
      <w:keepNext w:val="0"/>
      <w:tabs>
        <w:tab w:val="right" w:pos="4176"/>
      </w:tabs>
      <w:ind w:left="198" w:hanging="198"/>
    </w:pPr>
    <w:rPr>
      <w:rFonts w:ascii="Garamond" w:hAnsi="Garamond"/>
    </w:rPr>
  </w:style>
  <w:style w:type="paragraph" w:styleId="IndexHeading">
    <w:name w:val="index heading"/>
    <w:basedOn w:val="Normal"/>
    <w:next w:val="Index1"/>
    <w:semiHidden/>
    <w:rsid w:val="006C0AE2"/>
    <w:pPr>
      <w:spacing w:before="120" w:after="120"/>
    </w:pPr>
    <w:rPr>
      <w:rFonts w:ascii="Arial" w:hAnsi="Arial"/>
      <w:b/>
      <w:color w:val="918585"/>
      <w:sz w:val="24"/>
    </w:rPr>
  </w:style>
  <w:style w:type="paragraph" w:styleId="Header">
    <w:name w:val="header"/>
    <w:basedOn w:val="Normal"/>
    <w:link w:val="HeaderChar"/>
    <w:rsid w:val="006C0A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AE2"/>
    <w:rPr>
      <w:rFonts w:ascii="Times New Roman" w:eastAsia="Times New Roman" w:hAnsi="Times New Roman" w:cs="Times New Roman"/>
      <w:sz w:val="16"/>
      <w:szCs w:val="20"/>
      <w:lang w:val="en-GB" w:eastAsia="en-US"/>
    </w:rPr>
  </w:style>
  <w:style w:type="paragraph" w:customStyle="1" w:styleId="Chapter">
    <w:name w:val="Chapter"/>
    <w:basedOn w:val="Normal"/>
    <w:rsid w:val="006C0AE2"/>
    <w:pPr>
      <w:spacing w:before="240"/>
    </w:pPr>
    <w:rPr>
      <w:rFonts w:ascii="Times New Roman" w:hAnsi="Times New Roman"/>
      <w:smallCaps/>
      <w:spacing w:val="80"/>
      <w:sz w:val="28"/>
    </w:rPr>
  </w:style>
  <w:style w:type="paragraph" w:customStyle="1" w:styleId="InChapter">
    <w:name w:val="InChapter"/>
    <w:basedOn w:val="Heading3"/>
    <w:rsid w:val="006C0AE2"/>
    <w:pPr>
      <w:spacing w:after="240"/>
      <w:outlineLvl w:val="9"/>
    </w:pPr>
    <w:rPr>
      <w:noProof/>
    </w:rPr>
  </w:style>
  <w:style w:type="paragraph" w:styleId="Index2">
    <w:name w:val="index 2"/>
    <w:basedOn w:val="Normal"/>
    <w:next w:val="Normal"/>
    <w:semiHidden/>
    <w:rsid w:val="006C0AE2"/>
    <w:pPr>
      <w:tabs>
        <w:tab w:val="right" w:pos="4176"/>
      </w:tabs>
      <w:ind w:left="568" w:hanging="284"/>
    </w:pPr>
    <w:rPr>
      <w:rFonts w:ascii="Garamond" w:hAnsi="Garamond"/>
    </w:rPr>
  </w:style>
  <w:style w:type="paragraph" w:customStyle="1" w:styleId="Byline">
    <w:name w:val="Byline"/>
    <w:rsid w:val="006C0A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AE2"/>
    <w:pPr>
      <w:tabs>
        <w:tab w:val="clear" w:pos="3600"/>
        <w:tab w:val="clear" w:pos="3958"/>
      </w:tabs>
      <w:jc w:val="right"/>
    </w:pPr>
  </w:style>
  <w:style w:type="character" w:styleId="Emphasis">
    <w:name w:val="Emphasis"/>
    <w:basedOn w:val="DefaultParagraphFont"/>
    <w:qFormat/>
    <w:rsid w:val="006C0AE2"/>
    <w:rPr>
      <w:i/>
    </w:rPr>
  </w:style>
  <w:style w:type="paragraph" w:styleId="Caption">
    <w:name w:val="caption"/>
    <w:basedOn w:val="BodyText"/>
    <w:next w:val="Normal"/>
    <w:qFormat/>
    <w:rsid w:val="006C0AE2"/>
    <w:pPr>
      <w:framePr w:w="2268" w:hSpace="181" w:vSpace="181" w:wrap="around" w:vAnchor="text" w:hAnchor="page" w:x="1135" w:y="285" w:anchorLock="1"/>
    </w:pPr>
    <w:rPr>
      <w:i/>
    </w:rPr>
  </w:style>
  <w:style w:type="paragraph" w:customStyle="1" w:styleId="MiniTOCTitle">
    <w:name w:val="MiniTOCTitle"/>
    <w:basedOn w:val="Heading4"/>
    <w:rsid w:val="006C0AE2"/>
    <w:pPr>
      <w:spacing w:before="240"/>
      <w:outlineLvl w:val="9"/>
    </w:pPr>
    <w:rPr>
      <w:noProof/>
      <w:sz w:val="24"/>
    </w:rPr>
  </w:style>
  <w:style w:type="paragraph" w:customStyle="1" w:styleId="MiniTOCItem">
    <w:name w:val="MiniTOCItem"/>
    <w:basedOn w:val="ListBullet"/>
    <w:rsid w:val="006C0AE2"/>
    <w:pPr>
      <w:numPr>
        <w:numId w:val="0"/>
      </w:numPr>
      <w:tabs>
        <w:tab w:val="right" w:leader="dot" w:pos="6521"/>
      </w:tabs>
      <w:spacing w:before="0" w:after="0"/>
    </w:pPr>
  </w:style>
  <w:style w:type="paragraph" w:customStyle="1" w:styleId="TOFTitle">
    <w:name w:val="TOFTitle"/>
    <w:basedOn w:val="TOCTitle"/>
    <w:rsid w:val="006C0AE2"/>
  </w:style>
  <w:style w:type="paragraph" w:styleId="TableofFigures">
    <w:name w:val="table of figures"/>
    <w:basedOn w:val="Normal"/>
    <w:next w:val="Normal"/>
    <w:semiHidden/>
    <w:rsid w:val="006C0AE2"/>
    <w:pPr>
      <w:tabs>
        <w:tab w:val="right" w:leader="dot" w:pos="9072"/>
      </w:tabs>
      <w:ind w:left="970" w:hanging="403"/>
    </w:pPr>
    <w:rPr>
      <w:rFonts w:ascii="Times New Roman" w:hAnsi="Times New Roman"/>
      <w:b/>
    </w:rPr>
  </w:style>
  <w:style w:type="paragraph" w:styleId="ListNumber">
    <w:name w:val="List Number"/>
    <w:basedOn w:val="List"/>
    <w:rsid w:val="006C0AE2"/>
    <w:pPr>
      <w:numPr>
        <w:numId w:val="16"/>
      </w:numPr>
      <w:tabs>
        <w:tab w:val="clear" w:pos="340"/>
      </w:tabs>
    </w:pPr>
  </w:style>
  <w:style w:type="character" w:customStyle="1" w:styleId="WingdingSymbols">
    <w:name w:val="Wingding Symbols"/>
    <w:rsid w:val="006C0AE2"/>
    <w:rPr>
      <w:rFonts w:ascii="Wingdings" w:hAnsi="Wingdings"/>
    </w:rPr>
  </w:style>
  <w:style w:type="paragraph" w:customStyle="1" w:styleId="TableHeading">
    <w:name w:val="Table Heading"/>
    <w:basedOn w:val="HeadingBase"/>
    <w:rsid w:val="006C0AE2"/>
    <w:pPr>
      <w:keepLines/>
      <w:pBdr>
        <w:bottom w:val="single" w:sz="6" w:space="1" w:color="918585"/>
      </w:pBdr>
      <w:spacing w:before="240"/>
    </w:pPr>
  </w:style>
  <w:style w:type="character" w:customStyle="1" w:styleId="HotSpot">
    <w:name w:val="HotSpot"/>
    <w:rsid w:val="006C0AE2"/>
    <w:rPr>
      <w:color w:val="0033CC"/>
      <w:u w:val="none"/>
    </w:rPr>
  </w:style>
  <w:style w:type="paragraph" w:customStyle="1" w:styleId="BodyTextRight">
    <w:name w:val="Body Text Right"/>
    <w:basedOn w:val="BodyText"/>
    <w:rsid w:val="006C0AE2"/>
    <w:pPr>
      <w:spacing w:before="0" w:after="0"/>
      <w:jc w:val="right"/>
    </w:pPr>
  </w:style>
  <w:style w:type="paragraph" w:styleId="Index3">
    <w:name w:val="index 3"/>
    <w:basedOn w:val="ListNumber2"/>
    <w:next w:val="Normal"/>
    <w:semiHidden/>
    <w:rsid w:val="006C0AE2"/>
    <w:pPr>
      <w:numPr>
        <w:numId w:val="0"/>
      </w:numPr>
      <w:tabs>
        <w:tab w:val="right" w:leader="dot" w:pos="4176"/>
      </w:tabs>
    </w:pPr>
  </w:style>
  <w:style w:type="paragraph" w:styleId="ListNumber2">
    <w:name w:val="List Number 2"/>
    <w:basedOn w:val="List2"/>
    <w:rsid w:val="006C0AE2"/>
    <w:pPr>
      <w:numPr>
        <w:numId w:val="11"/>
      </w:numPr>
      <w:tabs>
        <w:tab w:val="clear" w:pos="1060"/>
      </w:tabs>
    </w:pPr>
  </w:style>
  <w:style w:type="paragraph" w:customStyle="1" w:styleId="MarginNote">
    <w:name w:val="Margin Note"/>
    <w:basedOn w:val="BodyText"/>
    <w:rsid w:val="006C0A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A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A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0AE2"/>
    <w:rPr>
      <w:sz w:val="32"/>
    </w:rPr>
  </w:style>
  <w:style w:type="paragraph" w:customStyle="1" w:styleId="HeadingProcedure">
    <w:name w:val="Heading Procedure"/>
    <w:basedOn w:val="HeadingBase"/>
    <w:next w:val="Normal"/>
    <w:rsid w:val="006C0AE2"/>
    <w:pPr>
      <w:tabs>
        <w:tab w:val="left" w:pos="0"/>
      </w:tabs>
      <w:spacing w:before="120" w:after="60"/>
    </w:pPr>
    <w:rPr>
      <w:i/>
      <w:color w:val="918585"/>
      <w:sz w:val="22"/>
    </w:rPr>
  </w:style>
  <w:style w:type="paragraph" w:customStyle="1" w:styleId="TableBodyText">
    <w:name w:val="Table Body Text"/>
    <w:basedOn w:val="BodyText"/>
    <w:rsid w:val="006C0AE2"/>
    <w:pPr>
      <w:spacing w:before="60" w:after="60"/>
    </w:pPr>
  </w:style>
  <w:style w:type="paragraph" w:styleId="ListContinue">
    <w:name w:val="List Continue"/>
    <w:basedOn w:val="List"/>
    <w:rsid w:val="006C0AE2"/>
    <w:pPr>
      <w:ind w:firstLine="0"/>
    </w:pPr>
  </w:style>
  <w:style w:type="paragraph" w:customStyle="1" w:styleId="ListNote">
    <w:name w:val="List Note"/>
    <w:basedOn w:val="List"/>
    <w:rsid w:val="006C0AE2"/>
    <w:pPr>
      <w:pBdr>
        <w:top w:val="single" w:sz="6" w:space="2" w:color="918585"/>
        <w:bottom w:val="single" w:sz="6" w:space="2" w:color="918585"/>
      </w:pBdr>
      <w:tabs>
        <w:tab w:val="left" w:pos="1021"/>
      </w:tabs>
      <w:ind w:firstLine="0"/>
    </w:pPr>
  </w:style>
  <w:style w:type="paragraph" w:customStyle="1" w:styleId="Warning">
    <w:name w:val="Warning"/>
    <w:basedOn w:val="BodyText"/>
    <w:rsid w:val="006C0AE2"/>
    <w:pPr>
      <w:shd w:val="clear" w:color="auto" w:fill="D9D9D9"/>
      <w:tabs>
        <w:tab w:val="left" w:pos="992"/>
      </w:tabs>
      <w:ind w:left="119" w:right="119"/>
    </w:pPr>
    <w:rPr>
      <w:sz w:val="20"/>
    </w:rPr>
  </w:style>
  <w:style w:type="paragraph" w:customStyle="1" w:styleId="MarginIcons">
    <w:name w:val="Margin Icons"/>
    <w:basedOn w:val="BodyText"/>
    <w:rsid w:val="006C0A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AE2"/>
    <w:rPr>
      <w:rFonts w:ascii="Courier New" w:hAnsi="Courier New"/>
    </w:rPr>
  </w:style>
  <w:style w:type="paragraph" w:customStyle="1" w:styleId="NoteBullet">
    <w:name w:val="Note Bullet"/>
    <w:basedOn w:val="Note"/>
    <w:rsid w:val="006C0AE2"/>
    <w:pPr>
      <w:tabs>
        <w:tab w:val="clear" w:pos="680"/>
      </w:tabs>
      <w:spacing w:before="60" w:after="60"/>
    </w:pPr>
  </w:style>
  <w:style w:type="paragraph" w:customStyle="1" w:styleId="SubHeading2">
    <w:name w:val="SubHeading2"/>
    <w:basedOn w:val="HeadingBase"/>
    <w:rsid w:val="006C0AE2"/>
    <w:pPr>
      <w:spacing w:before="240" w:after="60"/>
    </w:pPr>
    <w:rPr>
      <w:sz w:val="20"/>
    </w:rPr>
  </w:style>
  <w:style w:type="paragraph" w:customStyle="1" w:styleId="SubHeading1">
    <w:name w:val="SubHeading1"/>
    <w:basedOn w:val="HeadingBase"/>
    <w:rsid w:val="006C0AE2"/>
    <w:pPr>
      <w:spacing w:before="240" w:after="60"/>
    </w:pPr>
    <w:rPr>
      <w:color w:val="918585"/>
      <w:sz w:val="22"/>
    </w:rPr>
  </w:style>
  <w:style w:type="paragraph" w:customStyle="1" w:styleId="SideHeading">
    <w:name w:val="Side Heading"/>
    <w:basedOn w:val="HeadingBase"/>
    <w:rsid w:val="006C0A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AE2"/>
    <w:pPr>
      <w:numPr>
        <w:numId w:val="12"/>
      </w:numPr>
    </w:pPr>
  </w:style>
  <w:style w:type="paragraph" w:styleId="PlainText">
    <w:name w:val="Plain Text"/>
    <w:basedOn w:val="Normal"/>
    <w:link w:val="PlainTextChar"/>
    <w:rsid w:val="006C0AE2"/>
    <w:rPr>
      <w:sz w:val="20"/>
    </w:rPr>
  </w:style>
  <w:style w:type="character" w:customStyle="1" w:styleId="PlainTextChar">
    <w:name w:val="Plain Text Char"/>
    <w:basedOn w:val="DefaultParagraphFont"/>
    <w:link w:val="PlainText"/>
    <w:rsid w:val="006C0AE2"/>
    <w:rPr>
      <w:rFonts w:ascii="Courier New" w:eastAsia="Times New Roman" w:hAnsi="Courier New" w:cs="Times New Roman"/>
      <w:sz w:val="20"/>
      <w:szCs w:val="20"/>
      <w:lang w:eastAsia="en-US"/>
    </w:rPr>
  </w:style>
  <w:style w:type="character" w:customStyle="1" w:styleId="MenuOption">
    <w:name w:val="Menu Option"/>
    <w:basedOn w:val="DefaultParagraphFont"/>
    <w:rsid w:val="006C0AE2"/>
    <w:rPr>
      <w:b/>
      <w:smallCaps/>
    </w:rPr>
  </w:style>
  <w:style w:type="paragraph" w:customStyle="1" w:styleId="TableListNumber">
    <w:name w:val="Table List Number"/>
    <w:basedOn w:val="ListNumber"/>
    <w:rsid w:val="006C0AE2"/>
    <w:pPr>
      <w:numPr>
        <w:numId w:val="0"/>
      </w:numPr>
    </w:pPr>
  </w:style>
  <w:style w:type="paragraph" w:styleId="TOC4">
    <w:name w:val="toc 4"/>
    <w:basedOn w:val="TOCBase"/>
    <w:next w:val="Normal"/>
    <w:semiHidden/>
    <w:rsid w:val="006C0AE2"/>
    <w:pPr>
      <w:tabs>
        <w:tab w:val="right" w:leader="dot" w:pos="9071"/>
      </w:tabs>
      <w:ind w:left="1701"/>
    </w:pPr>
  </w:style>
  <w:style w:type="paragraph" w:customStyle="1" w:styleId="ListAlpha">
    <w:name w:val="List Alpha"/>
    <w:basedOn w:val="List"/>
    <w:rsid w:val="006C0AE2"/>
    <w:pPr>
      <w:numPr>
        <w:numId w:val="10"/>
      </w:numPr>
    </w:pPr>
  </w:style>
  <w:style w:type="paragraph" w:customStyle="1" w:styleId="ListAlpha2">
    <w:name w:val="List Alpha 2"/>
    <w:basedOn w:val="List2"/>
    <w:rsid w:val="006C0AE2"/>
    <w:pPr>
      <w:numPr>
        <w:numId w:val="9"/>
      </w:numPr>
    </w:pPr>
  </w:style>
  <w:style w:type="paragraph" w:styleId="List2">
    <w:name w:val="List 2"/>
    <w:basedOn w:val="BodyText"/>
    <w:rsid w:val="006C0AE2"/>
    <w:pPr>
      <w:tabs>
        <w:tab w:val="left" w:pos="680"/>
      </w:tabs>
      <w:spacing w:before="60" w:after="60"/>
      <w:ind w:left="680" w:hanging="340"/>
    </w:pPr>
  </w:style>
  <w:style w:type="paragraph" w:styleId="List3">
    <w:name w:val="List 3"/>
    <w:basedOn w:val="BodyText"/>
    <w:rsid w:val="006C0AE2"/>
    <w:pPr>
      <w:tabs>
        <w:tab w:val="left" w:pos="1021"/>
      </w:tabs>
      <w:spacing w:before="60" w:after="60"/>
      <w:ind w:left="1020" w:hanging="340"/>
    </w:pPr>
  </w:style>
  <w:style w:type="paragraph" w:styleId="List4">
    <w:name w:val="List 4"/>
    <w:basedOn w:val="BodyText"/>
    <w:rsid w:val="006C0AE2"/>
    <w:pPr>
      <w:tabs>
        <w:tab w:val="left" w:pos="1361"/>
      </w:tabs>
      <w:spacing w:before="60" w:after="60"/>
      <w:ind w:left="1361" w:hanging="340"/>
    </w:pPr>
  </w:style>
  <w:style w:type="paragraph" w:styleId="List5">
    <w:name w:val="List 5"/>
    <w:basedOn w:val="BodyText"/>
    <w:rsid w:val="006C0AE2"/>
    <w:pPr>
      <w:tabs>
        <w:tab w:val="left" w:pos="1701"/>
      </w:tabs>
      <w:spacing w:before="60" w:after="60"/>
      <w:ind w:left="1701" w:hanging="340"/>
    </w:pPr>
  </w:style>
  <w:style w:type="paragraph" w:styleId="ListBullet4">
    <w:name w:val="List Bullet 4"/>
    <w:basedOn w:val="List4"/>
    <w:rsid w:val="006C0AE2"/>
    <w:pPr>
      <w:numPr>
        <w:numId w:val="4"/>
      </w:numPr>
      <w:tabs>
        <w:tab w:val="clear" w:pos="1361"/>
      </w:tabs>
    </w:pPr>
  </w:style>
  <w:style w:type="paragraph" w:styleId="ListBullet5">
    <w:name w:val="List Bullet 5"/>
    <w:basedOn w:val="List5"/>
    <w:rsid w:val="006C0AE2"/>
    <w:pPr>
      <w:numPr>
        <w:numId w:val="5"/>
      </w:numPr>
    </w:pPr>
  </w:style>
  <w:style w:type="paragraph" w:styleId="ListContinue2">
    <w:name w:val="List Continue 2"/>
    <w:basedOn w:val="List2"/>
    <w:rsid w:val="006C0AE2"/>
    <w:pPr>
      <w:ind w:firstLine="0"/>
    </w:pPr>
  </w:style>
  <w:style w:type="paragraph" w:styleId="ListContinue3">
    <w:name w:val="List Continue 3"/>
    <w:basedOn w:val="List3"/>
    <w:rsid w:val="006C0AE2"/>
    <w:pPr>
      <w:ind w:left="1021" w:firstLine="0"/>
    </w:pPr>
  </w:style>
  <w:style w:type="paragraph" w:styleId="ListContinue4">
    <w:name w:val="List Continue 4"/>
    <w:basedOn w:val="List4"/>
    <w:rsid w:val="006C0AE2"/>
    <w:pPr>
      <w:ind w:firstLine="0"/>
    </w:pPr>
  </w:style>
  <w:style w:type="paragraph" w:styleId="ListContinue5">
    <w:name w:val="List Continue 5"/>
    <w:basedOn w:val="List5"/>
    <w:rsid w:val="006C0AE2"/>
    <w:pPr>
      <w:ind w:firstLine="0"/>
    </w:pPr>
  </w:style>
  <w:style w:type="paragraph" w:styleId="ListNumber3">
    <w:name w:val="List Number 3"/>
    <w:basedOn w:val="List3"/>
    <w:rsid w:val="006C0AE2"/>
    <w:pPr>
      <w:numPr>
        <w:numId w:val="6"/>
      </w:numPr>
    </w:pPr>
  </w:style>
  <w:style w:type="paragraph" w:styleId="ListNumber4">
    <w:name w:val="List Number 4"/>
    <w:basedOn w:val="List4"/>
    <w:rsid w:val="006C0AE2"/>
    <w:pPr>
      <w:numPr>
        <w:numId w:val="7"/>
      </w:numPr>
    </w:pPr>
  </w:style>
  <w:style w:type="paragraph" w:styleId="ListNumber5">
    <w:name w:val="List Number 5"/>
    <w:basedOn w:val="List5"/>
    <w:rsid w:val="006C0AE2"/>
    <w:pPr>
      <w:numPr>
        <w:numId w:val="8"/>
      </w:numPr>
    </w:pPr>
  </w:style>
  <w:style w:type="paragraph" w:styleId="BlockText">
    <w:name w:val="Block Text"/>
    <w:basedOn w:val="Normal"/>
    <w:rsid w:val="006C0AE2"/>
    <w:pPr>
      <w:spacing w:after="120"/>
      <w:ind w:left="1440" w:right="1440"/>
    </w:pPr>
  </w:style>
  <w:style w:type="character" w:customStyle="1" w:styleId="Subscript">
    <w:name w:val="Subscript"/>
    <w:basedOn w:val="DefaultParagraphFont"/>
    <w:rsid w:val="006C0AE2"/>
    <w:rPr>
      <w:sz w:val="16"/>
      <w:vertAlign w:val="subscript"/>
    </w:rPr>
  </w:style>
  <w:style w:type="character" w:customStyle="1" w:styleId="Superscript">
    <w:name w:val="Superscript"/>
    <w:basedOn w:val="DefaultParagraphFont"/>
    <w:rsid w:val="006C0AE2"/>
    <w:rPr>
      <w:sz w:val="16"/>
      <w:vertAlign w:val="superscript"/>
    </w:rPr>
  </w:style>
  <w:style w:type="character" w:customStyle="1" w:styleId="Symbols">
    <w:name w:val="Symbols"/>
    <w:basedOn w:val="DefaultParagraphFont"/>
    <w:rsid w:val="006C0AE2"/>
    <w:rPr>
      <w:rFonts w:ascii="Symbol" w:hAnsi="Symbol"/>
    </w:rPr>
  </w:style>
  <w:style w:type="character" w:customStyle="1" w:styleId="MenuOptions">
    <w:name w:val="Menu Options"/>
    <w:basedOn w:val="DefaultParagraphFont"/>
    <w:rsid w:val="006C0AE2"/>
    <w:rPr>
      <w:rFonts w:ascii="Arial Narrow" w:hAnsi="Arial Narrow"/>
      <w:smallCaps/>
    </w:rPr>
  </w:style>
  <w:style w:type="character" w:customStyle="1" w:styleId="Buttons">
    <w:name w:val="Buttons"/>
    <w:basedOn w:val="DefaultParagraphFont"/>
    <w:rsid w:val="006C0AE2"/>
    <w:rPr>
      <w:b/>
    </w:rPr>
  </w:style>
  <w:style w:type="character" w:customStyle="1" w:styleId="Underlined">
    <w:name w:val="Underlined"/>
    <w:basedOn w:val="DefaultParagraphFont"/>
    <w:rsid w:val="006C0AE2"/>
    <w:rPr>
      <w:u w:val="single"/>
    </w:rPr>
  </w:style>
  <w:style w:type="paragraph" w:customStyle="1" w:styleId="TableBodyTextRight">
    <w:name w:val="Table Body Text Right"/>
    <w:basedOn w:val="TableBodyText"/>
    <w:rsid w:val="006C0AE2"/>
    <w:pPr>
      <w:widowControl w:val="0"/>
      <w:autoSpaceDE w:val="0"/>
      <w:autoSpaceDN w:val="0"/>
      <w:adjustRightInd w:val="0"/>
      <w:jc w:val="right"/>
    </w:pPr>
    <w:rPr>
      <w:rFonts w:cs="Arial"/>
      <w:szCs w:val="18"/>
    </w:rPr>
  </w:style>
  <w:style w:type="paragraph" w:customStyle="1" w:styleId="CopyrightText">
    <w:name w:val="Copyright Text"/>
    <w:basedOn w:val="BodyText"/>
    <w:rsid w:val="006C0AE2"/>
    <w:rPr>
      <w:sz w:val="18"/>
    </w:rPr>
  </w:style>
  <w:style w:type="paragraph" w:customStyle="1" w:styleId="BodySmallRight">
    <w:name w:val="Body Small Right"/>
    <w:basedOn w:val="BodyTextRight"/>
    <w:rsid w:val="006C0AE2"/>
    <w:rPr>
      <w:sz w:val="18"/>
      <w:szCs w:val="18"/>
    </w:rPr>
  </w:style>
  <w:style w:type="paragraph" w:customStyle="1" w:styleId="MarginEdition">
    <w:name w:val="Margin Edition"/>
    <w:basedOn w:val="MarginNote"/>
    <w:rsid w:val="006C0AE2"/>
    <w:pPr>
      <w:spacing w:before="0" w:after="0"/>
    </w:pPr>
    <w:rPr>
      <w:rFonts w:ascii="Times New Roman" w:hAnsi="Times New Roman"/>
      <w:color w:val="999999"/>
    </w:rPr>
  </w:style>
  <w:style w:type="paragraph" w:customStyle="1" w:styleId="Spacer">
    <w:name w:val="Spacer"/>
    <w:basedOn w:val="Normal"/>
    <w:rsid w:val="006C0AE2"/>
    <w:rPr>
      <w:sz w:val="2"/>
      <w:szCs w:val="2"/>
    </w:rPr>
  </w:style>
  <w:style w:type="character" w:customStyle="1" w:styleId="Small">
    <w:name w:val="Small"/>
    <w:basedOn w:val="DefaultParagraphFont"/>
    <w:rsid w:val="006C0AE2"/>
    <w:rPr>
      <w:sz w:val="16"/>
    </w:rPr>
  </w:style>
  <w:style w:type="paragraph" w:customStyle="1" w:styleId="WideTable">
    <w:name w:val="Wide Table"/>
    <w:basedOn w:val="Normal"/>
    <w:rsid w:val="006C0AE2"/>
    <w:pPr>
      <w:ind w:left="-1418"/>
    </w:pPr>
    <w:rPr>
      <w:sz w:val="2"/>
      <w:szCs w:val="2"/>
    </w:rPr>
  </w:style>
  <w:style w:type="character" w:styleId="PageNumber">
    <w:name w:val="page number"/>
    <w:basedOn w:val="DefaultParagraphFont"/>
    <w:rsid w:val="006C0AE2"/>
  </w:style>
  <w:style w:type="paragraph" w:styleId="Quote">
    <w:name w:val="Quote"/>
    <w:basedOn w:val="Heading1"/>
    <w:link w:val="QuoteChar"/>
    <w:qFormat/>
    <w:rsid w:val="006C0AE2"/>
    <w:rPr>
      <w:b w:val="0"/>
      <w:sz w:val="72"/>
      <w:szCs w:val="72"/>
      <w:lang w:val="en-NZ"/>
    </w:rPr>
  </w:style>
  <w:style w:type="character" w:customStyle="1" w:styleId="QuoteChar">
    <w:name w:val="Quote Char"/>
    <w:basedOn w:val="DefaultParagraphFont"/>
    <w:link w:val="Quote"/>
    <w:rsid w:val="006C0A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AE2"/>
    <w:pPr>
      <w:pageBreakBefore/>
    </w:pPr>
  </w:style>
  <w:style w:type="paragraph" w:customStyle="1" w:styleId="Border">
    <w:name w:val="Border"/>
    <w:basedOn w:val="Normal"/>
    <w:qFormat/>
    <w:rsid w:val="006C0A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AE2"/>
    <w:rPr>
      <w:b/>
      <w:bCs/>
      <w:i/>
      <w:iCs/>
      <w:color w:val="auto"/>
    </w:rPr>
  </w:style>
  <w:style w:type="paragraph" w:styleId="IntenseQuote">
    <w:name w:val="Intense Quote"/>
    <w:basedOn w:val="Normal"/>
    <w:next w:val="Normal"/>
    <w:link w:val="IntenseQuoteChar"/>
    <w:uiPriority w:val="30"/>
    <w:qFormat/>
    <w:rsid w:val="006C0A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A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0AE2"/>
    <w:rPr>
      <w:smallCaps/>
      <w:color w:val="auto"/>
      <w:u w:val="single"/>
    </w:rPr>
  </w:style>
  <w:style w:type="character" w:styleId="IntenseReference">
    <w:name w:val="Intense Reference"/>
    <w:basedOn w:val="DefaultParagraphFont"/>
    <w:uiPriority w:val="32"/>
    <w:qFormat/>
    <w:rsid w:val="006C0AE2"/>
    <w:rPr>
      <w:b/>
      <w:bCs/>
      <w:smallCaps/>
      <w:color w:val="auto"/>
      <w:spacing w:val="5"/>
      <w:u w:val="single"/>
    </w:rPr>
  </w:style>
  <w:style w:type="paragraph" w:customStyle="1" w:styleId="2ColumnHeading">
    <w:name w:val="2Column Heading"/>
    <w:basedOn w:val="BodyText"/>
    <w:qFormat/>
    <w:rsid w:val="006C0AE2"/>
    <w:pPr>
      <w:spacing w:after="60"/>
      <w:ind w:left="-2268"/>
    </w:pPr>
    <w:rPr>
      <w:b/>
    </w:rPr>
  </w:style>
  <w:style w:type="paragraph" w:customStyle="1" w:styleId="Heading1TOC">
    <w:name w:val="Heading1 TOC"/>
    <w:basedOn w:val="Normal"/>
    <w:qFormat/>
    <w:rsid w:val="006C0AE2"/>
    <w:pPr>
      <w:spacing w:before="240" w:after="120"/>
    </w:pPr>
    <w:rPr>
      <w:rFonts w:ascii="Times New Roman" w:hAnsi="Times New Roman"/>
      <w:b/>
      <w:sz w:val="32"/>
    </w:rPr>
  </w:style>
  <w:style w:type="paragraph" w:customStyle="1" w:styleId="Heading2TOC">
    <w:name w:val="Heading2 TOC"/>
    <w:basedOn w:val="Normal"/>
    <w:qFormat/>
    <w:rsid w:val="006C0AE2"/>
    <w:pPr>
      <w:spacing w:before="240" w:after="60"/>
    </w:pPr>
    <w:rPr>
      <w:rFonts w:ascii="Times New Roman" w:hAnsi="Times New Roman"/>
      <w:b/>
      <w:sz w:val="28"/>
    </w:rPr>
  </w:style>
  <w:style w:type="character" w:customStyle="1" w:styleId="Underline">
    <w:name w:val="Underline"/>
    <w:basedOn w:val="DefaultParagraphFont"/>
    <w:qFormat/>
    <w:rsid w:val="006C0AE2"/>
    <w:rPr>
      <w:u w:val="single"/>
    </w:rPr>
  </w:style>
  <w:style w:type="character" w:customStyle="1" w:styleId="BoldandItalics">
    <w:name w:val="Bold and Italics"/>
    <w:qFormat/>
    <w:rsid w:val="006C0AE2"/>
    <w:rPr>
      <w:b/>
      <w:i/>
      <w:u w:val="none"/>
    </w:rPr>
  </w:style>
  <w:style w:type="paragraph" w:styleId="BalloonText">
    <w:name w:val="Balloon Text"/>
    <w:basedOn w:val="Normal"/>
    <w:link w:val="BalloonTextChar"/>
    <w:rsid w:val="006C0AE2"/>
    <w:rPr>
      <w:rFonts w:ascii="Tahoma" w:hAnsi="Tahoma" w:cs="Tahoma"/>
      <w:sz w:val="16"/>
      <w:szCs w:val="16"/>
    </w:rPr>
  </w:style>
  <w:style w:type="character" w:customStyle="1" w:styleId="BalloonTextChar">
    <w:name w:val="Balloon Text Char"/>
    <w:basedOn w:val="DefaultParagraphFont"/>
    <w:link w:val="BalloonText"/>
    <w:rsid w:val="006C0A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0A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0A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0AE2"/>
    <w:rPr>
      <w:b/>
      <w:color w:val="660033"/>
      <w:spacing w:val="0"/>
    </w:rPr>
  </w:style>
  <w:style w:type="paragraph" w:customStyle="1" w:styleId="Nameditemlist">
    <w:name w:val="Named item list"/>
    <w:basedOn w:val="BodyText"/>
    <w:qFormat/>
    <w:rsid w:val="006C0AE2"/>
    <w:pPr>
      <w:tabs>
        <w:tab w:val="left" w:pos="2835"/>
      </w:tabs>
      <w:ind w:left="2835" w:hanging="2835"/>
    </w:pPr>
  </w:style>
  <w:style w:type="paragraph" w:customStyle="1" w:styleId="BodyTextnopadding">
    <w:name w:val="Body Text no padding"/>
    <w:basedOn w:val="BodyText"/>
    <w:qFormat/>
    <w:rsid w:val="006C0AE2"/>
    <w:pPr>
      <w:spacing w:before="0" w:after="0"/>
    </w:pPr>
  </w:style>
  <w:style w:type="paragraph" w:customStyle="1" w:styleId="BodyTextBold">
    <w:name w:val="Body Text Bold"/>
    <w:basedOn w:val="BodyText"/>
    <w:qFormat/>
    <w:rsid w:val="006C0AE2"/>
    <w:rPr>
      <w:b/>
    </w:rPr>
  </w:style>
  <w:style w:type="character" w:styleId="Hyperlink">
    <w:name w:val="Hyperlink"/>
    <w:basedOn w:val="DefaultParagraphFont"/>
    <w:uiPriority w:val="99"/>
    <w:unhideWhenUsed/>
    <w:rsid w:val="00E779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Words>
  <Characters>4667</Characters>
  <Application>Microsoft Office Word</Application>
  <DocSecurity>0</DocSecurity>
  <Lines>108</Lines>
  <Paragraphs>79</Paragraphs>
  <ScaleCrop>false</ScaleCrop>
  <Company>Author-it Software Corporation Ltd.</Company>
  <LinksUpToDate>false</LinksUpToDate>
  <CharactersWithSpaces>5298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UEERE0020 Promote sustainable energy practices in the community</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2024-11-29T01:14:00Z</dcterms:created>
  <dcterms:modified xsi:type="dcterms:W3CDTF">2024-11-29T01:14:00Z</dcterms:modified>
</cp:coreProperties>
</file>