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F12" w:rsidP="003F0F12">
      <w:pPr>
        <w:pStyle w:val="Title"/>
      </w:pPr>
      <w:r>
        <w:fldChar w:fldCharType="begin"/>
      </w:r>
      <w:r>
        <w:instrText xml:space="preserve"> TITLE   \* MERGEFORMAT </w:instrText>
      </w:r>
      <w:r>
        <w:fldChar w:fldCharType="separate"/>
      </w:r>
      <w:r>
        <w:t>UEERE0003 Assess energy loads and uses for energy efficiency in commercial facilities</w:t>
      </w:r>
      <w:r>
        <w:fldChar w:fldCharType="end"/>
      </w:r>
    </w:p>
    <w:p w:rsidR="003F0F12" w:rsidP="003F0F12">
      <w:pPr>
        <w:pStyle w:val="Version"/>
        <w:sectPr w:rsidSect="003F2F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F69" w:rsidP="003F2F69">
      <w:pPr>
        <w:pStyle w:val="SuperHeading"/>
      </w:pPr>
      <w:r w:rsidRPr="003F2F69">
        <w:t>UEERE0003 Assess energy loads and uses for energy efficiency in commercial facilities</w:t>
      </w:r>
    </w:p>
    <w:p w:rsidR="00000000" w:rsidRPr="003F2F69" w:rsidP="003F2F69">
      <w:pPr>
        <w:pStyle w:val="Heading1"/>
      </w:pPr>
      <w:bookmarkStart w:id="1" w:name="O_1076696"/>
      <w:bookmarkEnd w:id="1"/>
      <w:r w:rsidRPr="003F2F69">
        <w:t>Modification History</w:t>
      </w:r>
    </w:p>
    <w:tbl>
      <w:tblPr>
        <w:tblW w:w="9497" w:type="dxa"/>
        <w:tblLayout w:type="fixed"/>
        <w:tblCellMar>
          <w:left w:w="62" w:type="dxa"/>
          <w:right w:w="62" w:type="dxa"/>
        </w:tblCellMar>
        <w:tblLook w:val="0000"/>
      </w:tblPr>
      <w:tblGrid>
        <w:gridCol w:w="9497"/>
      </w:tblGrid>
      <w:tr w:rsidTr="003F2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t>Release 1. This is the first release of this unit of competency in the UEE Electrotechnology Training Package.</w:t>
            </w:r>
          </w:p>
        </w:tc>
      </w:tr>
    </w:tbl>
    <w:p w:rsidR="00000000" w:rsidRPr="003F2F69" w:rsidP="003F2F69">
      <w:pPr>
        <w:pStyle w:val="NoPaddingFontSize1"/>
      </w:pPr>
    </w:p>
    <w:p w:rsidR="00000000" w:rsidRPr="003F2F69" w:rsidP="003F2F69">
      <w:pPr>
        <w:pStyle w:val="AllowPageBreak"/>
      </w:pPr>
    </w:p>
    <w:p w:rsidR="00000000" w:rsidRPr="003F2F69" w:rsidP="003F2F69">
      <w:pPr>
        <w:pStyle w:val="Heading1"/>
      </w:pPr>
      <w:bookmarkStart w:id="2" w:name="O_1076697"/>
      <w:bookmarkEnd w:id="2"/>
      <w:r w:rsidRPr="003F2F69">
        <w:t>Application</w:t>
      </w:r>
    </w:p>
    <w:tbl>
      <w:tblPr>
        <w:tblW w:w="9497" w:type="dxa"/>
        <w:tblLayout w:type="fixed"/>
        <w:tblCellMar>
          <w:left w:w="62" w:type="dxa"/>
          <w:right w:w="62" w:type="dxa"/>
        </w:tblCellMar>
        <w:tblLook w:val="0000"/>
      </w:tblPr>
      <w:tblGrid>
        <w:gridCol w:w="9497"/>
      </w:tblGrid>
      <w:tr w:rsidTr="003F2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t>This unit involves the skills and knowledge required to undertake energy audits to assess energy loads of commercial facilities, evaluate the energy efficiency of the facilities and to make recommendations on design implementations.</w:t>
            </w:r>
          </w:p>
          <w:p w:rsidR="00000000" w:rsidRPr="003F2F69" w:rsidP="003F2F69">
            <w:pPr>
              <w:pStyle w:val="BodyText"/>
            </w:pPr>
            <w:r w:rsidRPr="003F2F69">
              <w:t>It</w:t>
            </w:r>
            <w:r w:rsidRPr="003F2F69">
              <w:t xml:space="preserve"> includes working safely, applying extensive knowledge of commercial electrical installations and components and their operating parameters, gathering and analysing data, applying problem-solving techniques, and developing and documenting engineering solut</w:t>
            </w:r>
            <w:r w:rsidRPr="003F2F69">
              <w:t>ions.</w:t>
            </w:r>
          </w:p>
          <w:p w:rsidR="00000000" w:rsidRPr="003F2F69" w:rsidP="003F2F69">
            <w:pPr>
              <w:pStyle w:val="BodyText"/>
            </w:pPr>
            <w:r w:rsidRPr="003F2F69">
              <w:t>No licensing, legislative or certification requirements apply to this unit at the time of publication.</w:t>
            </w:r>
          </w:p>
        </w:tc>
      </w:tr>
    </w:tbl>
    <w:p w:rsidR="00000000" w:rsidRPr="003F2F69" w:rsidP="003F2F69">
      <w:pPr>
        <w:pStyle w:val="NoPaddingFontSize1"/>
      </w:pPr>
    </w:p>
    <w:p w:rsidR="00000000" w:rsidRPr="003F2F69" w:rsidP="003F2F69">
      <w:pPr>
        <w:pStyle w:val="AllowPageBreak"/>
      </w:pPr>
    </w:p>
    <w:p w:rsidR="00000000" w:rsidRPr="003F2F69" w:rsidP="003F2F69">
      <w:pPr>
        <w:pStyle w:val="Heading1"/>
      </w:pPr>
      <w:bookmarkStart w:id="3" w:name="O_1076698"/>
      <w:bookmarkEnd w:id="3"/>
      <w:r w:rsidRPr="003F2F69">
        <w:t>Pre-requisite Unit</w:t>
      </w:r>
    </w:p>
    <w:tbl>
      <w:tblPr>
        <w:tblW w:w="9497" w:type="dxa"/>
        <w:tblLayout w:type="fixed"/>
        <w:tblCellMar>
          <w:left w:w="62" w:type="dxa"/>
          <w:right w:w="62" w:type="dxa"/>
        </w:tblCellMar>
        <w:tblLook w:val="0000"/>
      </w:tblPr>
      <w:tblGrid>
        <w:gridCol w:w="9497"/>
      </w:tblGrid>
      <w:tr w:rsidTr="003F2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t>UEERE0005 Assess energy loads and uses for energy efficiency in residential, office and retail premises</w:t>
            </w:r>
          </w:p>
        </w:tc>
      </w:tr>
    </w:tbl>
    <w:p w:rsidR="00000000" w:rsidRPr="003F2F69" w:rsidP="003F2F69">
      <w:pPr>
        <w:pStyle w:val="NoPaddingFontSize1"/>
      </w:pPr>
    </w:p>
    <w:p w:rsidR="00000000" w:rsidRPr="003F2F69" w:rsidP="003F2F69">
      <w:pPr>
        <w:pStyle w:val="AllowPageBreak"/>
      </w:pPr>
    </w:p>
    <w:p w:rsidR="00000000" w:rsidRPr="003F2F69" w:rsidP="003F2F69">
      <w:pPr>
        <w:pStyle w:val="Heading1"/>
      </w:pPr>
      <w:bookmarkStart w:id="4" w:name="O_1076699"/>
      <w:bookmarkEnd w:id="4"/>
      <w:r w:rsidRPr="003F2F69">
        <w:t>Competency Field</w:t>
      </w:r>
    </w:p>
    <w:tbl>
      <w:tblPr>
        <w:tblW w:w="9497" w:type="dxa"/>
        <w:tblLayout w:type="fixed"/>
        <w:tblCellMar>
          <w:left w:w="62" w:type="dxa"/>
          <w:right w:w="62" w:type="dxa"/>
        </w:tblCellMar>
        <w:tblLook w:val="0000"/>
      </w:tblPr>
      <w:tblGrid>
        <w:gridCol w:w="9497"/>
      </w:tblGrid>
      <w:tr w:rsidTr="003F2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t>Renewable Energy</w:t>
            </w:r>
          </w:p>
        </w:tc>
      </w:tr>
    </w:tbl>
    <w:p w:rsidR="00000000" w:rsidRPr="003F2F69" w:rsidP="003F2F69">
      <w:pPr>
        <w:pStyle w:val="NoPaddingFontSize1"/>
      </w:pPr>
    </w:p>
    <w:p w:rsidR="00000000" w:rsidRPr="003F2F69" w:rsidP="003F2F69">
      <w:pPr>
        <w:pStyle w:val="AllowPageBreak"/>
      </w:pPr>
    </w:p>
    <w:p w:rsidR="00000000" w:rsidRPr="003F2F69" w:rsidP="003F2F69">
      <w:pPr>
        <w:pStyle w:val="Heading1"/>
      </w:pPr>
      <w:bookmarkStart w:id="5" w:name="O_1076700"/>
      <w:bookmarkEnd w:id="5"/>
      <w:r w:rsidRPr="003F2F69">
        <w:t>Unit Sector</w:t>
      </w:r>
    </w:p>
    <w:tbl>
      <w:tblPr>
        <w:tblW w:w="9497" w:type="dxa"/>
        <w:tblLayout w:type="fixed"/>
        <w:tblCellMar>
          <w:left w:w="62" w:type="dxa"/>
          <w:right w:w="62" w:type="dxa"/>
        </w:tblCellMar>
        <w:tblLook w:val="0000"/>
      </w:tblPr>
      <w:tblGrid>
        <w:gridCol w:w="9497"/>
      </w:tblGrid>
      <w:tr w:rsidTr="003F2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t>Electrotechnology</w:t>
            </w:r>
          </w:p>
        </w:tc>
      </w:tr>
    </w:tbl>
    <w:p w:rsidR="00000000" w:rsidRPr="003F2F69" w:rsidP="003F2F69">
      <w:pPr>
        <w:pStyle w:val="NoPaddingFontSize1"/>
      </w:pPr>
    </w:p>
    <w:p w:rsidR="00000000" w:rsidRPr="003F2F69" w:rsidP="003F2F69">
      <w:pPr>
        <w:pStyle w:val="AllowPageBreak"/>
      </w:pPr>
    </w:p>
    <w:p w:rsidR="00000000" w:rsidRPr="003F2F69" w:rsidP="003F2F69">
      <w:pPr>
        <w:pStyle w:val="Heading1"/>
      </w:pPr>
      <w:bookmarkStart w:id="6" w:name="O_1076701"/>
      <w:bookmarkEnd w:id="6"/>
      <w:r w:rsidRPr="003F2F6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F2F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PERFORMANCE CRITERIA</w:t>
            </w:r>
          </w:p>
        </w:tc>
      </w:tr>
      <w:tr w:rsidTr="003F2F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Performance criteria describe the performance needed to demonstrate achievement of the element.</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rPr>
                <w:rStyle w:val="SpecialBold"/>
              </w:rPr>
              <w:t xml:space="preserve">Prepare to assess commercial facility for energy efficiency </w:t>
            </w:r>
            <w:r w:rsidRPr="003F2F69">
              <w:rPr>
                <w:rStyle w:val="SpecialBold"/>
              </w:rPr>
              <w:t>evaluation</w:t>
            </w: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 xml:space="preserve">Work health and safety (WHS)/occupational health and safety (OHS) requirements and workplace processes and procedures for relevant work area are identified, </w:t>
            </w:r>
            <w:r w:rsidRPr="003F2F69">
              <w:t>obtained and applied</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2F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Hazards are assessed, risks are assessed and control measures implement</w:t>
            </w:r>
            <w:r w:rsidRPr="003F2F69">
              <w:t>ed</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2F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Extent of the energy assessment is determined from analysis of facilities, orientation and floor plans, building structure plans, energy accounts and situation reports in consultation with relevant person/s and in accordance with workplace proced</w:t>
            </w:r>
            <w:r w:rsidRPr="003F2F69">
              <w:t>ures</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2F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Energy assessment activities/audits are planned to meet scheduled timelines in consultation with others involved in the work</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2F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Strategies are determined to ensure energy efficient solutions are developed and implementation is carried out in accordance with workplace procedures</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rPr>
                <w:rStyle w:val="SpecialBold"/>
              </w:rPr>
              <w:t>Assess commercial facility for energy efficiency evaluation</w:t>
            </w: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WHS/OHS risk control work measures and</w:t>
            </w:r>
            <w:r w:rsidRPr="003F2F69">
              <w:t xml:space="preserve"> procedures are followed</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2F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Energy loads are considered when developing energy efficient strategies to address and minimise energy use</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2F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Parameters, specifications and performance requirements in relation to energy use are set in accordance with workplace procedures</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2F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Approaches/strategies to resolving and minimising energy use are analysed to provide the most effective solutions in ac</w:t>
            </w:r>
            <w:r w:rsidRPr="003F2F69">
              <w:t>cordance with workplace procedures</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2F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Unplanned events are dealt with safely, efficiently and consistently in accordance with regulatory requirements and workplace procedures</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2F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Quality and energy efficiency of the audit are monitored against perso</w:t>
            </w:r>
            <w:r w:rsidRPr="003F2F69">
              <w:t>nal performance agreement and/or workplace procedures and industry standards</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rPr>
                <w:rStyle w:val="SpecialBold"/>
              </w:rPr>
              <w:t>Document assessment of commercial facility for energy efficiency</w:t>
            </w: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Proposed solutions/strategies to minimise energy use are tested to determine their effectiveness and modified, as required, in accordance with workplace procedures</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2F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Adopted solutions are documented in accordance with workplace procedures, including i</w:t>
            </w:r>
            <w:r w:rsidRPr="003F2F69">
              <w:t xml:space="preserve">nstructions for implementation that incorporate the risk control </w:t>
            </w:r>
            <w:r w:rsidRPr="003F2F69">
              <w:t>measures to be followed</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2F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Authorised person/s required to implement solutions for energy use is coordinated in accordance with regulatory requirements and workplace procedures</w:t>
            </w:r>
          </w:p>
        </w:tc>
      </w:tr>
      <w:tr w:rsidTr="003F2F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2F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t>Jus</w:t>
            </w:r>
            <w:r w:rsidRPr="003F2F69">
              <w:t>tification for strategies used to minimise energy use is documented for inclusion in work/project development records in accordance with professional standards and workplace procedures</w:t>
            </w:r>
          </w:p>
        </w:tc>
      </w:tr>
    </w:tbl>
    <w:p w:rsidR="00000000" w:rsidRPr="003F2F69" w:rsidP="003F2F69">
      <w:pPr>
        <w:pStyle w:val="NoPaddingFontSize1"/>
      </w:pPr>
    </w:p>
    <w:p w:rsidR="00000000" w:rsidRPr="003F2F69" w:rsidP="003F2F69">
      <w:pPr>
        <w:pStyle w:val="AllowPageBreak"/>
      </w:pPr>
    </w:p>
    <w:p w:rsidR="00000000" w:rsidRPr="003F2F69" w:rsidP="003F2F69">
      <w:pPr>
        <w:pStyle w:val="Heading1"/>
      </w:pPr>
      <w:bookmarkStart w:id="7" w:name="O_1076702"/>
      <w:bookmarkEnd w:id="7"/>
      <w:r w:rsidRPr="003F2F69">
        <w:t>Foundation Skills</w:t>
      </w:r>
    </w:p>
    <w:tbl>
      <w:tblPr>
        <w:tblW w:w="9497" w:type="dxa"/>
        <w:tblLayout w:type="fixed"/>
        <w:tblCellMar>
          <w:left w:w="62" w:type="dxa"/>
          <w:right w:w="62" w:type="dxa"/>
        </w:tblCellMar>
        <w:tblLook w:val="0000"/>
      </w:tblPr>
      <w:tblGrid>
        <w:gridCol w:w="9497"/>
      </w:tblGrid>
      <w:tr w:rsidTr="003F2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t>Foundation skills essential to p</w:t>
            </w:r>
            <w:r w:rsidRPr="003F2F69">
              <w:t>erformance are explicit in the performance criteria of this unit of competency.</w:t>
            </w:r>
          </w:p>
        </w:tc>
      </w:tr>
    </w:tbl>
    <w:p w:rsidR="00000000" w:rsidRPr="003F2F69" w:rsidP="003F2F69">
      <w:pPr>
        <w:pStyle w:val="NoPaddingFontSize1"/>
      </w:pPr>
    </w:p>
    <w:p w:rsidR="00000000" w:rsidRPr="003F2F69" w:rsidP="003F2F69">
      <w:pPr>
        <w:pStyle w:val="AllowPageBreak"/>
      </w:pPr>
    </w:p>
    <w:p w:rsidR="00000000" w:rsidRPr="003F2F69" w:rsidP="003F2F69">
      <w:pPr>
        <w:pStyle w:val="Heading1"/>
      </w:pPr>
      <w:bookmarkStart w:id="8" w:name="O_1076703"/>
      <w:bookmarkEnd w:id="8"/>
      <w:r w:rsidRPr="003F2F69">
        <w:t>Range of Conditions</w:t>
      </w:r>
    </w:p>
    <w:tbl>
      <w:tblPr>
        <w:tblW w:w="9497" w:type="dxa"/>
        <w:tblLayout w:type="fixed"/>
        <w:tblCellMar>
          <w:left w:w="62" w:type="dxa"/>
          <w:right w:w="62" w:type="dxa"/>
        </w:tblCellMar>
        <w:tblLook w:val="0000"/>
      </w:tblPr>
      <w:tblGrid>
        <w:gridCol w:w="4623"/>
        <w:gridCol w:w="4874"/>
      </w:tblGrid>
      <w:tr w:rsidTr="003F2F6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t>Range is restricted to essential operating conditions and any other variables essential to the work environment.</w:t>
            </w:r>
          </w:p>
          <w:p w:rsidR="00000000" w:rsidP="003F2F69">
            <w:pPr>
              <w:pStyle w:val="BodyText"/>
              <w:rPr>
                <w:lang w:val="en-NZ"/>
              </w:rPr>
            </w:pPr>
            <w:r w:rsidRPr="003F2F69">
              <w:t>Non-essential conditions may be found in the UEE Electrotechnology Training Package Companion Volume Implementation Guide.</w:t>
            </w:r>
          </w:p>
        </w:tc>
      </w:tr>
      <w:tr w:rsidTr="003F2F69">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3F2F69">
            <w:pPr>
              <w:pStyle w:val="BodyText"/>
              <w:rPr>
                <w:lang w:val="en-NZ"/>
              </w:rPr>
            </w:pPr>
            <w:r w:rsidRPr="003F2F69">
              <w:t>Carrying out energy assessments and documenting energy efficiency strategies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3F2F69" w:rsidP="003F2F69">
            <w:pPr>
              <w:pStyle w:val="ListBullet"/>
            </w:pPr>
            <w:r w:rsidRPr="003F2F69">
              <w:t>two commercial f</w:t>
            </w:r>
            <w:r w:rsidRPr="003F2F69">
              <w:t>acilities</w:t>
            </w:r>
          </w:p>
        </w:tc>
      </w:tr>
    </w:tbl>
    <w:p w:rsidR="00000000" w:rsidRPr="003F2F69" w:rsidP="003F2F69">
      <w:pPr>
        <w:pStyle w:val="NoPaddingFontSize1"/>
      </w:pPr>
    </w:p>
    <w:p w:rsidR="00000000" w:rsidRPr="003F2F69" w:rsidP="003F2F69">
      <w:pPr>
        <w:pStyle w:val="AllowPageBreak"/>
      </w:pPr>
    </w:p>
    <w:p w:rsidR="00000000" w:rsidRPr="003F2F69" w:rsidP="003F2F69">
      <w:pPr>
        <w:pStyle w:val="Heading1"/>
      </w:pPr>
      <w:bookmarkStart w:id="9" w:name="O_1076704"/>
      <w:bookmarkEnd w:id="9"/>
      <w:r w:rsidRPr="003F2F69">
        <w:t>Unit Mapping Information</w:t>
      </w:r>
    </w:p>
    <w:tbl>
      <w:tblPr>
        <w:tblW w:w="9497" w:type="dxa"/>
        <w:tblLayout w:type="fixed"/>
        <w:tblCellMar>
          <w:left w:w="62" w:type="dxa"/>
          <w:right w:w="62" w:type="dxa"/>
        </w:tblCellMar>
        <w:tblLook w:val="0000"/>
      </w:tblPr>
      <w:tblGrid>
        <w:gridCol w:w="9497"/>
      </w:tblGrid>
      <w:tr w:rsidTr="003F2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F69" w:rsidP="003F2F69">
            <w:pPr>
              <w:pStyle w:val="BodyText"/>
            </w:pPr>
            <w:r w:rsidRPr="003F2F69">
              <w:t>This unit replaces and is equivalent to UEENEEK154A Assess energy loads and uses for energy efficiency in commercial facilities.</w:t>
            </w:r>
          </w:p>
        </w:tc>
      </w:tr>
    </w:tbl>
    <w:p w:rsidR="00000000" w:rsidRPr="003F2F69" w:rsidP="003F2F69">
      <w:pPr>
        <w:pStyle w:val="NoPaddingFontSize1"/>
      </w:pPr>
    </w:p>
    <w:p w:rsidR="00000000" w:rsidRPr="003F2F69" w:rsidP="003F2F69">
      <w:pPr>
        <w:pStyle w:val="AllowPageBreak"/>
      </w:pPr>
    </w:p>
    <w:p w:rsidR="00000000" w:rsidRPr="003F2F69" w:rsidP="003F2F69">
      <w:pPr>
        <w:pStyle w:val="Heading1"/>
      </w:pPr>
      <w:bookmarkStart w:id="10" w:name="O_1076711"/>
      <w:bookmarkEnd w:id="10"/>
      <w:r w:rsidRPr="003F2F69">
        <w:t>Links</w:t>
      </w:r>
    </w:p>
    <w:p w:rsidR="00000000" w:rsidRPr="003F2F69" w:rsidP="003F0F12">
      <w:pPr>
        <w:pStyle w:val="BodyText"/>
      </w:pPr>
      <w:r w:rsidRPr="003F2F6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2799E">
        <w:rPr>
          <w:rStyle w:val="Hyperlink"/>
        </w:rPr>
        <w:t>https://vetnet.gov.au/Pages/TrainingDocs.aspx?q=b8a8f136-5421-4ce1-92e0-2b50341431b6</w:t>
      </w:r>
      <w:r>
        <w:fldChar w:fldCharType="end"/>
      </w:r>
    </w:p>
    <w:p w:rsidR="00000000" w:rsidRPr="003F2F69" w:rsidP="003F2F69"/>
    <w:sectPr w:rsidSect="003F2F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69" w:rsidRPr="003F0F12" w:rsidP="003F0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12" w:rsidP="003F2F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0F12" w:rsidP="003F2F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0F12" w:rsidP="003F2F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F69" w:rsidRPr="003F0F12" w:rsidP="003F0F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12" w:rsidRPr="002D2AF8" w:rsidP="003F2F69">
    <w:pPr>
      <w:pStyle w:val="Header"/>
      <w:framePr w:wrap="around"/>
    </w:pPr>
    <w:r>
      <w:fldChar w:fldCharType="begin"/>
    </w:r>
    <w:r>
      <w:instrText xml:space="preserve"> TITLE   \* MERGEFORMAT </w:instrText>
    </w:r>
    <w:r>
      <w:fldChar w:fldCharType="separate"/>
    </w:r>
    <w:r>
      <w:t>UEERE0003 Assess energy loads and uses for energy efficiency in commercial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3F0F12" w:rsidP="003F2F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5867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DCAF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F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F69"/>
    <w:pPr>
      <w:spacing w:before="360" w:after="60"/>
      <w:outlineLvl w:val="0"/>
    </w:pPr>
    <w:rPr>
      <w:sz w:val="32"/>
    </w:rPr>
  </w:style>
  <w:style w:type="paragraph" w:styleId="Heading2">
    <w:name w:val="heading 2"/>
    <w:basedOn w:val="HeadingBase"/>
    <w:next w:val="BodyText"/>
    <w:link w:val="Heading2Char"/>
    <w:qFormat/>
    <w:rsid w:val="003F2F69"/>
    <w:pPr>
      <w:keepLines/>
      <w:spacing w:before="240" w:after="120"/>
      <w:outlineLvl w:val="1"/>
    </w:pPr>
    <w:rPr>
      <w:sz w:val="28"/>
      <w:szCs w:val="40"/>
    </w:rPr>
  </w:style>
  <w:style w:type="paragraph" w:styleId="Heading3">
    <w:name w:val="heading 3"/>
    <w:basedOn w:val="HeadingBase"/>
    <w:next w:val="BodyText"/>
    <w:link w:val="Heading3Char"/>
    <w:qFormat/>
    <w:rsid w:val="003F2F69"/>
    <w:pPr>
      <w:spacing w:before="180" w:after="120"/>
      <w:outlineLvl w:val="2"/>
    </w:pPr>
    <w:rPr>
      <w:spacing w:val="-10"/>
      <w:kern w:val="32"/>
    </w:rPr>
  </w:style>
  <w:style w:type="paragraph" w:styleId="Heading4">
    <w:name w:val="heading 4"/>
    <w:basedOn w:val="HeadingBase"/>
    <w:next w:val="BodyText"/>
    <w:link w:val="Heading4Char"/>
    <w:qFormat/>
    <w:rsid w:val="003F2F69"/>
    <w:pPr>
      <w:spacing w:before="160" w:after="120"/>
      <w:outlineLvl w:val="3"/>
    </w:pPr>
    <w:rPr>
      <w:sz w:val="22"/>
    </w:rPr>
  </w:style>
  <w:style w:type="paragraph" w:styleId="Heading5">
    <w:name w:val="heading 5"/>
    <w:basedOn w:val="HeadingBase"/>
    <w:next w:val="Normal"/>
    <w:link w:val="Heading5Char"/>
    <w:qFormat/>
    <w:rsid w:val="003F2F69"/>
    <w:pPr>
      <w:spacing w:before="80"/>
      <w:outlineLvl w:val="4"/>
    </w:pPr>
    <w:rPr>
      <w:color w:val="918585"/>
      <w:sz w:val="20"/>
    </w:rPr>
  </w:style>
  <w:style w:type="paragraph" w:styleId="Heading6">
    <w:name w:val="heading 6"/>
    <w:basedOn w:val="HeadingBase"/>
    <w:next w:val="Normal"/>
    <w:link w:val="Heading6Char"/>
    <w:qFormat/>
    <w:rsid w:val="003F2F69"/>
    <w:pPr>
      <w:spacing w:before="60"/>
      <w:outlineLvl w:val="5"/>
    </w:pPr>
    <w:rPr>
      <w:color w:val="918585"/>
      <w:sz w:val="20"/>
    </w:rPr>
  </w:style>
  <w:style w:type="paragraph" w:styleId="Heading7">
    <w:name w:val="heading 7"/>
    <w:basedOn w:val="Normal"/>
    <w:next w:val="Normal"/>
    <w:link w:val="Heading7Char"/>
    <w:qFormat/>
    <w:rsid w:val="003F2F69"/>
    <w:pPr>
      <w:ind w:left="720"/>
      <w:outlineLvl w:val="6"/>
    </w:pPr>
    <w:rPr>
      <w:i/>
    </w:rPr>
  </w:style>
  <w:style w:type="paragraph" w:styleId="Heading8">
    <w:name w:val="heading 8"/>
    <w:basedOn w:val="Normal"/>
    <w:next w:val="Normal"/>
    <w:link w:val="Heading8Char"/>
    <w:qFormat/>
    <w:rsid w:val="003F2F69"/>
    <w:pPr>
      <w:ind w:left="720"/>
      <w:outlineLvl w:val="7"/>
    </w:pPr>
    <w:rPr>
      <w:i/>
    </w:rPr>
  </w:style>
  <w:style w:type="paragraph" w:styleId="Heading9">
    <w:name w:val="heading 9"/>
    <w:basedOn w:val="Normal"/>
    <w:next w:val="Normal"/>
    <w:link w:val="Heading9Char"/>
    <w:qFormat/>
    <w:rsid w:val="003F2F69"/>
    <w:pPr>
      <w:ind w:left="720"/>
      <w:outlineLvl w:val="8"/>
    </w:pPr>
    <w:rPr>
      <w:i/>
    </w:rPr>
  </w:style>
  <w:style w:type="character" w:default="1" w:styleId="DefaultParagraphFont">
    <w:name w:val="Default Paragraph Font"/>
    <w:uiPriority w:val="1"/>
    <w:unhideWhenUsed/>
    <w:rsid w:val="003F2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F69"/>
  </w:style>
  <w:style w:type="character" w:customStyle="1" w:styleId="Heading1Char">
    <w:name w:val="Heading 1 Char"/>
    <w:basedOn w:val="DefaultParagraphFont"/>
    <w:link w:val="Heading1"/>
    <w:rsid w:val="003F2F69"/>
    <w:rPr>
      <w:rFonts w:ascii="Times New Roman" w:eastAsia="Times New Roman" w:hAnsi="Times New Roman" w:cs="Times New Roman"/>
      <w:b/>
      <w:sz w:val="32"/>
      <w:szCs w:val="20"/>
      <w:lang w:eastAsia="en-US"/>
    </w:rPr>
  </w:style>
  <w:style w:type="paragraph" w:styleId="BodyText">
    <w:name w:val="Body Text"/>
    <w:basedOn w:val="Normal"/>
    <w:link w:val="BodyTextChar"/>
    <w:rsid w:val="003F2F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F69"/>
    <w:rPr>
      <w:rFonts w:ascii="Times New Roman" w:eastAsia="Times New Roman" w:hAnsi="Times New Roman" w:cs="Times New Roman"/>
      <w:sz w:val="24"/>
      <w:lang w:eastAsia="en-US"/>
    </w:rPr>
  </w:style>
  <w:style w:type="paragraph" w:styleId="ListBullet">
    <w:name w:val="List Bullet"/>
    <w:basedOn w:val="List"/>
    <w:rsid w:val="003F2F69"/>
    <w:pPr>
      <w:numPr>
        <w:numId w:val="11"/>
      </w:numPr>
      <w:tabs>
        <w:tab w:val="clear" w:pos="340"/>
      </w:tabs>
      <w:spacing w:before="40" w:after="40"/>
    </w:pPr>
  </w:style>
  <w:style w:type="character" w:customStyle="1" w:styleId="SpecialBold">
    <w:name w:val="Special Bold"/>
    <w:basedOn w:val="DefaultParagraphFont"/>
    <w:rsid w:val="003F2F69"/>
    <w:rPr>
      <w:b/>
      <w:spacing w:val="0"/>
    </w:rPr>
  </w:style>
  <w:style w:type="paragraph" w:customStyle="1" w:styleId="SuperHeading">
    <w:name w:val="SuperHeading"/>
    <w:basedOn w:val="Normal"/>
    <w:rsid w:val="003F2F69"/>
    <w:pPr>
      <w:spacing w:before="240" w:after="120"/>
      <w:outlineLvl w:val="0"/>
    </w:pPr>
    <w:rPr>
      <w:rFonts w:ascii="Times New Roman" w:hAnsi="Times New Roman"/>
      <w:b/>
      <w:sz w:val="32"/>
    </w:rPr>
  </w:style>
  <w:style w:type="paragraph" w:customStyle="1" w:styleId="AllowPageBreak">
    <w:name w:val="AllowPageBreak"/>
    <w:rsid w:val="003F2F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2F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F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F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F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F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F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F69"/>
    <w:rPr>
      <w:rFonts w:ascii="Courier New" w:eastAsia="Times New Roman" w:hAnsi="Courier New" w:cs="Times New Roman"/>
      <w:i/>
      <w:szCs w:val="20"/>
      <w:lang w:eastAsia="en-US"/>
    </w:rPr>
  </w:style>
  <w:style w:type="paragraph" w:customStyle="1" w:styleId="HeadingBase">
    <w:name w:val="Heading Base"/>
    <w:rsid w:val="003F2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F69"/>
    <w:pPr>
      <w:tabs>
        <w:tab w:val="right" w:leader="dot" w:pos="9072"/>
      </w:tabs>
      <w:ind w:left="567"/>
    </w:pPr>
    <w:rPr>
      <w:szCs w:val="22"/>
    </w:rPr>
  </w:style>
  <w:style w:type="paragraph" w:customStyle="1" w:styleId="TOCBase">
    <w:name w:val="TOC Base"/>
    <w:rsid w:val="003F2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F69"/>
    <w:pPr>
      <w:tabs>
        <w:tab w:val="right" w:leader="dot" w:pos="9072"/>
      </w:tabs>
      <w:spacing w:before="40" w:after="40"/>
      <w:ind w:left="284"/>
    </w:pPr>
    <w:rPr>
      <w:rFonts w:ascii="Times New Roman" w:hAnsi="Times New Roman"/>
    </w:rPr>
  </w:style>
  <w:style w:type="paragraph" w:styleId="TOC1">
    <w:name w:val="toc 1"/>
    <w:basedOn w:val="TOCBase"/>
    <w:next w:val="Normal"/>
    <w:rsid w:val="003F2F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F69"/>
    <w:rPr>
      <w:rFonts w:ascii="Times New Roman" w:eastAsia="Times New Roman" w:hAnsi="Times New Roman" w:cs="Times New Roman"/>
      <w:sz w:val="16"/>
      <w:lang w:eastAsia="en-US"/>
    </w:rPr>
  </w:style>
  <w:style w:type="paragraph" w:styleId="Title">
    <w:name w:val="Title"/>
    <w:basedOn w:val="HeadingBase"/>
    <w:link w:val="TitleChar"/>
    <w:qFormat/>
    <w:rsid w:val="003F2F69"/>
    <w:pPr>
      <w:spacing w:before="5040"/>
      <w:jc w:val="center"/>
    </w:pPr>
    <w:rPr>
      <w:sz w:val="48"/>
      <w:szCs w:val="72"/>
      <w:lang w:val="en-US"/>
    </w:rPr>
  </w:style>
  <w:style w:type="character" w:customStyle="1" w:styleId="TitleChar">
    <w:name w:val="Title Char"/>
    <w:basedOn w:val="DefaultParagraphFont"/>
    <w:link w:val="Title"/>
    <w:rsid w:val="003F2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F69"/>
    <w:pPr>
      <w:tabs>
        <w:tab w:val="left" w:pos="3600"/>
        <w:tab w:val="left" w:pos="3958"/>
      </w:tabs>
    </w:pPr>
  </w:style>
  <w:style w:type="paragraph" w:styleId="List">
    <w:name w:val="List"/>
    <w:basedOn w:val="BodyText"/>
    <w:next w:val="BodyText"/>
    <w:rsid w:val="003F2F69"/>
    <w:pPr>
      <w:tabs>
        <w:tab w:val="left" w:pos="340"/>
      </w:tabs>
      <w:spacing w:before="60" w:after="60"/>
      <w:ind w:left="340" w:hanging="340"/>
    </w:pPr>
  </w:style>
  <w:style w:type="paragraph" w:customStyle="1" w:styleId="Note">
    <w:name w:val="Note"/>
    <w:basedOn w:val="BodyText"/>
    <w:rsid w:val="003F2F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F69"/>
    <w:pPr>
      <w:framePr w:wrap="auto" w:hAnchor="text" w:y="6049"/>
    </w:pPr>
    <w:rPr>
      <w:color w:val="000000"/>
      <w:sz w:val="40"/>
    </w:rPr>
  </w:style>
  <w:style w:type="paragraph" w:customStyle="1" w:styleId="TOCTitle">
    <w:name w:val="TOCTitle"/>
    <w:basedOn w:val="Heading1"/>
    <w:rsid w:val="003F2F69"/>
    <w:pPr>
      <w:spacing w:after="240"/>
      <w:jc w:val="center"/>
      <w:outlineLvl w:val="9"/>
    </w:pPr>
    <w:rPr>
      <w:caps/>
    </w:rPr>
  </w:style>
  <w:style w:type="paragraph" w:customStyle="1" w:styleId="Version">
    <w:name w:val="Version"/>
    <w:rsid w:val="003F2F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F69"/>
    <w:pPr>
      <w:numPr>
        <w:numId w:val="12"/>
      </w:numPr>
      <w:tabs>
        <w:tab w:val="clear" w:pos="680"/>
      </w:tabs>
    </w:pPr>
  </w:style>
  <w:style w:type="paragraph" w:styleId="Index1">
    <w:name w:val="index 1"/>
    <w:basedOn w:val="Normal"/>
    <w:next w:val="Normal"/>
    <w:semiHidden/>
    <w:rsid w:val="003F2F69"/>
    <w:pPr>
      <w:keepNext w:val="0"/>
      <w:tabs>
        <w:tab w:val="right" w:pos="4176"/>
      </w:tabs>
      <w:ind w:left="198" w:hanging="198"/>
    </w:pPr>
    <w:rPr>
      <w:rFonts w:ascii="Garamond" w:hAnsi="Garamond"/>
    </w:rPr>
  </w:style>
  <w:style w:type="paragraph" w:styleId="IndexHeading">
    <w:name w:val="index heading"/>
    <w:basedOn w:val="Normal"/>
    <w:next w:val="Index1"/>
    <w:semiHidden/>
    <w:rsid w:val="003F2F69"/>
    <w:pPr>
      <w:spacing w:before="120" w:after="120"/>
    </w:pPr>
    <w:rPr>
      <w:rFonts w:ascii="Arial" w:hAnsi="Arial"/>
      <w:b/>
      <w:color w:val="918585"/>
      <w:sz w:val="24"/>
    </w:rPr>
  </w:style>
  <w:style w:type="paragraph" w:styleId="Header">
    <w:name w:val="header"/>
    <w:basedOn w:val="Normal"/>
    <w:link w:val="HeaderChar"/>
    <w:rsid w:val="003F2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F69"/>
    <w:rPr>
      <w:rFonts w:ascii="Times New Roman" w:eastAsia="Times New Roman" w:hAnsi="Times New Roman" w:cs="Times New Roman"/>
      <w:sz w:val="16"/>
      <w:szCs w:val="20"/>
      <w:lang w:val="en-GB" w:eastAsia="en-US"/>
    </w:rPr>
  </w:style>
  <w:style w:type="paragraph" w:customStyle="1" w:styleId="Chapter">
    <w:name w:val="Chapter"/>
    <w:basedOn w:val="Normal"/>
    <w:rsid w:val="003F2F69"/>
    <w:pPr>
      <w:spacing w:before="240"/>
    </w:pPr>
    <w:rPr>
      <w:rFonts w:ascii="Times New Roman" w:hAnsi="Times New Roman"/>
      <w:smallCaps/>
      <w:spacing w:val="80"/>
      <w:sz w:val="28"/>
    </w:rPr>
  </w:style>
  <w:style w:type="paragraph" w:customStyle="1" w:styleId="InChapter">
    <w:name w:val="InChapter"/>
    <w:basedOn w:val="Heading3"/>
    <w:rsid w:val="003F2F69"/>
    <w:pPr>
      <w:spacing w:after="240"/>
      <w:outlineLvl w:val="9"/>
    </w:pPr>
    <w:rPr>
      <w:noProof/>
    </w:rPr>
  </w:style>
  <w:style w:type="paragraph" w:styleId="Index2">
    <w:name w:val="index 2"/>
    <w:basedOn w:val="Normal"/>
    <w:next w:val="Normal"/>
    <w:semiHidden/>
    <w:rsid w:val="003F2F69"/>
    <w:pPr>
      <w:tabs>
        <w:tab w:val="right" w:pos="4176"/>
      </w:tabs>
      <w:ind w:left="568" w:hanging="284"/>
    </w:pPr>
    <w:rPr>
      <w:rFonts w:ascii="Garamond" w:hAnsi="Garamond"/>
    </w:rPr>
  </w:style>
  <w:style w:type="paragraph" w:customStyle="1" w:styleId="Byline">
    <w:name w:val="Byline"/>
    <w:rsid w:val="003F2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F69"/>
    <w:pPr>
      <w:tabs>
        <w:tab w:val="clear" w:pos="3600"/>
        <w:tab w:val="clear" w:pos="3958"/>
      </w:tabs>
      <w:jc w:val="right"/>
    </w:pPr>
  </w:style>
  <w:style w:type="character" w:styleId="Emphasis">
    <w:name w:val="Emphasis"/>
    <w:basedOn w:val="DefaultParagraphFont"/>
    <w:qFormat/>
    <w:rsid w:val="003F2F69"/>
    <w:rPr>
      <w:i/>
    </w:rPr>
  </w:style>
  <w:style w:type="paragraph" w:styleId="Caption">
    <w:name w:val="caption"/>
    <w:basedOn w:val="BodyText"/>
    <w:next w:val="Normal"/>
    <w:qFormat/>
    <w:rsid w:val="003F2F69"/>
    <w:pPr>
      <w:framePr w:w="2268" w:hSpace="181" w:vSpace="181" w:wrap="around" w:vAnchor="text" w:hAnchor="page" w:x="1135" w:y="285" w:anchorLock="1"/>
    </w:pPr>
    <w:rPr>
      <w:i/>
    </w:rPr>
  </w:style>
  <w:style w:type="paragraph" w:customStyle="1" w:styleId="MiniTOCTitle">
    <w:name w:val="MiniTOCTitle"/>
    <w:basedOn w:val="Heading4"/>
    <w:rsid w:val="003F2F69"/>
    <w:pPr>
      <w:spacing w:before="240"/>
      <w:outlineLvl w:val="9"/>
    </w:pPr>
    <w:rPr>
      <w:noProof/>
      <w:sz w:val="24"/>
    </w:rPr>
  </w:style>
  <w:style w:type="paragraph" w:customStyle="1" w:styleId="MiniTOCItem">
    <w:name w:val="MiniTOCItem"/>
    <w:basedOn w:val="ListBullet"/>
    <w:rsid w:val="003F2F69"/>
    <w:pPr>
      <w:numPr>
        <w:numId w:val="0"/>
      </w:numPr>
      <w:tabs>
        <w:tab w:val="right" w:leader="dot" w:pos="6521"/>
      </w:tabs>
      <w:spacing w:before="0" w:after="0"/>
    </w:pPr>
  </w:style>
  <w:style w:type="paragraph" w:customStyle="1" w:styleId="TOFTitle">
    <w:name w:val="TOFTitle"/>
    <w:basedOn w:val="TOCTitle"/>
    <w:rsid w:val="003F2F69"/>
  </w:style>
  <w:style w:type="paragraph" w:styleId="TableofFigures">
    <w:name w:val="table of figures"/>
    <w:basedOn w:val="Normal"/>
    <w:next w:val="Normal"/>
    <w:semiHidden/>
    <w:rsid w:val="003F2F69"/>
    <w:pPr>
      <w:tabs>
        <w:tab w:val="right" w:leader="dot" w:pos="9072"/>
      </w:tabs>
      <w:ind w:left="970" w:hanging="403"/>
    </w:pPr>
    <w:rPr>
      <w:rFonts w:ascii="Times New Roman" w:hAnsi="Times New Roman"/>
      <w:b/>
    </w:rPr>
  </w:style>
  <w:style w:type="paragraph" w:styleId="ListNumber">
    <w:name w:val="List Number"/>
    <w:basedOn w:val="List"/>
    <w:rsid w:val="003F2F69"/>
    <w:pPr>
      <w:numPr>
        <w:numId w:val="14"/>
      </w:numPr>
      <w:tabs>
        <w:tab w:val="clear" w:pos="340"/>
      </w:tabs>
    </w:pPr>
  </w:style>
  <w:style w:type="character" w:customStyle="1" w:styleId="WingdingSymbols">
    <w:name w:val="Wingding Symbols"/>
    <w:rsid w:val="003F2F69"/>
    <w:rPr>
      <w:rFonts w:ascii="Wingdings" w:hAnsi="Wingdings"/>
    </w:rPr>
  </w:style>
  <w:style w:type="paragraph" w:customStyle="1" w:styleId="TableHeading">
    <w:name w:val="Table Heading"/>
    <w:basedOn w:val="HeadingBase"/>
    <w:rsid w:val="003F2F69"/>
    <w:pPr>
      <w:keepLines/>
      <w:pBdr>
        <w:bottom w:val="single" w:sz="6" w:space="1" w:color="918585"/>
      </w:pBdr>
      <w:spacing w:before="240"/>
    </w:pPr>
  </w:style>
  <w:style w:type="character" w:customStyle="1" w:styleId="HotSpot">
    <w:name w:val="HotSpot"/>
    <w:rsid w:val="003F2F69"/>
    <w:rPr>
      <w:color w:val="0033CC"/>
      <w:u w:val="none"/>
    </w:rPr>
  </w:style>
  <w:style w:type="paragraph" w:customStyle="1" w:styleId="BodyTextRight">
    <w:name w:val="Body Text Right"/>
    <w:basedOn w:val="BodyText"/>
    <w:rsid w:val="003F2F69"/>
    <w:pPr>
      <w:spacing w:before="0" w:after="0"/>
      <w:jc w:val="right"/>
    </w:pPr>
  </w:style>
  <w:style w:type="paragraph" w:styleId="Index3">
    <w:name w:val="index 3"/>
    <w:basedOn w:val="ListNumber2"/>
    <w:next w:val="Normal"/>
    <w:semiHidden/>
    <w:rsid w:val="003F2F69"/>
    <w:pPr>
      <w:numPr>
        <w:numId w:val="0"/>
      </w:numPr>
      <w:tabs>
        <w:tab w:val="right" w:leader="dot" w:pos="4176"/>
      </w:tabs>
    </w:pPr>
  </w:style>
  <w:style w:type="paragraph" w:styleId="ListNumber2">
    <w:name w:val="List Number 2"/>
    <w:basedOn w:val="List2"/>
    <w:rsid w:val="003F2F69"/>
    <w:pPr>
      <w:numPr>
        <w:numId w:val="9"/>
      </w:numPr>
      <w:tabs>
        <w:tab w:val="clear" w:pos="1060"/>
      </w:tabs>
    </w:pPr>
  </w:style>
  <w:style w:type="paragraph" w:customStyle="1" w:styleId="MarginNote">
    <w:name w:val="Margin Note"/>
    <w:basedOn w:val="BodyText"/>
    <w:rsid w:val="003F2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F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F69"/>
    <w:rPr>
      <w:sz w:val="32"/>
    </w:rPr>
  </w:style>
  <w:style w:type="paragraph" w:customStyle="1" w:styleId="HeadingProcedure">
    <w:name w:val="Heading Procedure"/>
    <w:basedOn w:val="HeadingBase"/>
    <w:next w:val="Normal"/>
    <w:rsid w:val="003F2F69"/>
    <w:pPr>
      <w:tabs>
        <w:tab w:val="left" w:pos="0"/>
      </w:tabs>
      <w:spacing w:before="120" w:after="60"/>
    </w:pPr>
    <w:rPr>
      <w:i/>
      <w:color w:val="918585"/>
      <w:sz w:val="22"/>
    </w:rPr>
  </w:style>
  <w:style w:type="paragraph" w:customStyle="1" w:styleId="TableBodyText">
    <w:name w:val="Table Body Text"/>
    <w:basedOn w:val="BodyText"/>
    <w:rsid w:val="003F2F69"/>
    <w:pPr>
      <w:spacing w:before="60" w:after="60"/>
    </w:pPr>
  </w:style>
  <w:style w:type="paragraph" w:styleId="ListContinue">
    <w:name w:val="List Continue"/>
    <w:basedOn w:val="List"/>
    <w:rsid w:val="003F2F69"/>
    <w:pPr>
      <w:ind w:firstLine="0"/>
    </w:pPr>
  </w:style>
  <w:style w:type="paragraph" w:customStyle="1" w:styleId="ListNote">
    <w:name w:val="List Note"/>
    <w:basedOn w:val="List"/>
    <w:rsid w:val="003F2F69"/>
    <w:pPr>
      <w:pBdr>
        <w:top w:val="single" w:sz="6" w:space="2" w:color="918585"/>
        <w:bottom w:val="single" w:sz="6" w:space="2" w:color="918585"/>
      </w:pBdr>
      <w:tabs>
        <w:tab w:val="left" w:pos="1021"/>
      </w:tabs>
      <w:ind w:firstLine="0"/>
    </w:pPr>
  </w:style>
  <w:style w:type="paragraph" w:customStyle="1" w:styleId="Warning">
    <w:name w:val="Warning"/>
    <w:basedOn w:val="BodyText"/>
    <w:rsid w:val="003F2F69"/>
    <w:pPr>
      <w:shd w:val="clear" w:color="auto" w:fill="D9D9D9"/>
      <w:tabs>
        <w:tab w:val="left" w:pos="992"/>
      </w:tabs>
      <w:ind w:left="119" w:right="119"/>
    </w:pPr>
    <w:rPr>
      <w:sz w:val="20"/>
    </w:rPr>
  </w:style>
  <w:style w:type="paragraph" w:customStyle="1" w:styleId="MarginIcons">
    <w:name w:val="Margin Icons"/>
    <w:basedOn w:val="BodyText"/>
    <w:rsid w:val="003F2F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F69"/>
    <w:rPr>
      <w:rFonts w:ascii="Courier New" w:hAnsi="Courier New"/>
    </w:rPr>
  </w:style>
  <w:style w:type="paragraph" w:customStyle="1" w:styleId="NoteBullet">
    <w:name w:val="Note Bullet"/>
    <w:basedOn w:val="Note"/>
    <w:rsid w:val="003F2F69"/>
    <w:pPr>
      <w:tabs>
        <w:tab w:val="clear" w:pos="680"/>
      </w:tabs>
      <w:spacing w:before="60" w:after="60"/>
    </w:pPr>
  </w:style>
  <w:style w:type="paragraph" w:customStyle="1" w:styleId="SubHeading2">
    <w:name w:val="SubHeading2"/>
    <w:basedOn w:val="HeadingBase"/>
    <w:rsid w:val="003F2F69"/>
    <w:pPr>
      <w:spacing w:before="240" w:after="60"/>
    </w:pPr>
    <w:rPr>
      <w:sz w:val="20"/>
    </w:rPr>
  </w:style>
  <w:style w:type="paragraph" w:customStyle="1" w:styleId="SubHeading1">
    <w:name w:val="SubHeading1"/>
    <w:basedOn w:val="HeadingBase"/>
    <w:rsid w:val="003F2F69"/>
    <w:pPr>
      <w:spacing w:before="240" w:after="60"/>
    </w:pPr>
    <w:rPr>
      <w:color w:val="918585"/>
      <w:sz w:val="22"/>
    </w:rPr>
  </w:style>
  <w:style w:type="paragraph" w:customStyle="1" w:styleId="SideHeading">
    <w:name w:val="Side Heading"/>
    <w:basedOn w:val="HeadingBase"/>
    <w:rsid w:val="003F2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F69"/>
    <w:pPr>
      <w:numPr>
        <w:numId w:val="10"/>
      </w:numPr>
    </w:pPr>
  </w:style>
  <w:style w:type="paragraph" w:styleId="PlainText">
    <w:name w:val="Plain Text"/>
    <w:basedOn w:val="Normal"/>
    <w:link w:val="PlainTextChar"/>
    <w:rsid w:val="003F2F69"/>
    <w:rPr>
      <w:sz w:val="20"/>
    </w:rPr>
  </w:style>
  <w:style w:type="character" w:customStyle="1" w:styleId="PlainTextChar">
    <w:name w:val="Plain Text Char"/>
    <w:basedOn w:val="DefaultParagraphFont"/>
    <w:link w:val="PlainText"/>
    <w:rsid w:val="003F2F69"/>
    <w:rPr>
      <w:rFonts w:ascii="Courier New" w:eastAsia="Times New Roman" w:hAnsi="Courier New" w:cs="Times New Roman"/>
      <w:sz w:val="20"/>
      <w:szCs w:val="20"/>
      <w:lang w:eastAsia="en-US"/>
    </w:rPr>
  </w:style>
  <w:style w:type="character" w:customStyle="1" w:styleId="MenuOption">
    <w:name w:val="Menu Option"/>
    <w:basedOn w:val="DefaultParagraphFont"/>
    <w:rsid w:val="003F2F69"/>
    <w:rPr>
      <w:b/>
      <w:smallCaps/>
    </w:rPr>
  </w:style>
  <w:style w:type="paragraph" w:customStyle="1" w:styleId="TableListNumber">
    <w:name w:val="Table List Number"/>
    <w:basedOn w:val="ListNumber"/>
    <w:rsid w:val="003F2F69"/>
    <w:pPr>
      <w:numPr>
        <w:numId w:val="0"/>
      </w:numPr>
    </w:pPr>
  </w:style>
  <w:style w:type="paragraph" w:styleId="TOC4">
    <w:name w:val="toc 4"/>
    <w:basedOn w:val="TOCBase"/>
    <w:next w:val="Normal"/>
    <w:semiHidden/>
    <w:rsid w:val="003F2F69"/>
    <w:pPr>
      <w:tabs>
        <w:tab w:val="right" w:leader="dot" w:pos="9071"/>
      </w:tabs>
      <w:ind w:left="1701"/>
    </w:pPr>
  </w:style>
  <w:style w:type="paragraph" w:customStyle="1" w:styleId="ListAlpha">
    <w:name w:val="List Alpha"/>
    <w:basedOn w:val="List"/>
    <w:rsid w:val="003F2F69"/>
    <w:pPr>
      <w:numPr>
        <w:numId w:val="8"/>
      </w:numPr>
    </w:pPr>
  </w:style>
  <w:style w:type="paragraph" w:customStyle="1" w:styleId="ListAlpha2">
    <w:name w:val="List Alpha 2"/>
    <w:basedOn w:val="List2"/>
    <w:rsid w:val="003F2F69"/>
    <w:pPr>
      <w:numPr>
        <w:numId w:val="7"/>
      </w:numPr>
    </w:pPr>
  </w:style>
  <w:style w:type="paragraph" w:styleId="List2">
    <w:name w:val="List 2"/>
    <w:basedOn w:val="BodyText"/>
    <w:rsid w:val="003F2F69"/>
    <w:pPr>
      <w:tabs>
        <w:tab w:val="left" w:pos="680"/>
      </w:tabs>
      <w:spacing w:before="60" w:after="60"/>
      <w:ind w:left="680" w:hanging="340"/>
    </w:pPr>
  </w:style>
  <w:style w:type="paragraph" w:styleId="List3">
    <w:name w:val="List 3"/>
    <w:basedOn w:val="BodyText"/>
    <w:rsid w:val="003F2F69"/>
    <w:pPr>
      <w:tabs>
        <w:tab w:val="left" w:pos="1021"/>
      </w:tabs>
      <w:spacing w:before="60" w:after="60"/>
      <w:ind w:left="1020" w:hanging="340"/>
    </w:pPr>
  </w:style>
  <w:style w:type="paragraph" w:styleId="List4">
    <w:name w:val="List 4"/>
    <w:basedOn w:val="BodyText"/>
    <w:rsid w:val="003F2F69"/>
    <w:pPr>
      <w:tabs>
        <w:tab w:val="left" w:pos="1361"/>
      </w:tabs>
      <w:spacing w:before="60" w:after="60"/>
      <w:ind w:left="1361" w:hanging="340"/>
    </w:pPr>
  </w:style>
  <w:style w:type="paragraph" w:styleId="List5">
    <w:name w:val="List 5"/>
    <w:basedOn w:val="BodyText"/>
    <w:rsid w:val="003F2F69"/>
    <w:pPr>
      <w:tabs>
        <w:tab w:val="left" w:pos="1701"/>
      </w:tabs>
      <w:spacing w:before="60" w:after="60"/>
      <w:ind w:left="1701" w:hanging="340"/>
    </w:pPr>
  </w:style>
  <w:style w:type="paragraph" w:styleId="ListBullet3">
    <w:name w:val="List Bullet 3"/>
    <w:basedOn w:val="List3"/>
    <w:rsid w:val="003F2F69"/>
    <w:pPr>
      <w:numPr>
        <w:numId w:val="13"/>
      </w:numPr>
      <w:tabs>
        <w:tab w:val="clear" w:pos="1021"/>
      </w:tabs>
      <w:ind w:left="1037" w:hanging="357"/>
    </w:pPr>
  </w:style>
  <w:style w:type="paragraph" w:styleId="ListBullet4">
    <w:name w:val="List Bullet 4"/>
    <w:basedOn w:val="List4"/>
    <w:rsid w:val="003F2F69"/>
    <w:pPr>
      <w:numPr>
        <w:numId w:val="2"/>
      </w:numPr>
      <w:tabs>
        <w:tab w:val="clear" w:pos="1361"/>
      </w:tabs>
    </w:pPr>
  </w:style>
  <w:style w:type="paragraph" w:styleId="ListBullet5">
    <w:name w:val="List Bullet 5"/>
    <w:basedOn w:val="List5"/>
    <w:rsid w:val="003F2F69"/>
    <w:pPr>
      <w:numPr>
        <w:numId w:val="3"/>
      </w:numPr>
    </w:pPr>
  </w:style>
  <w:style w:type="paragraph" w:styleId="ListContinue2">
    <w:name w:val="List Continue 2"/>
    <w:basedOn w:val="List2"/>
    <w:rsid w:val="003F2F69"/>
    <w:pPr>
      <w:ind w:firstLine="0"/>
    </w:pPr>
  </w:style>
  <w:style w:type="paragraph" w:styleId="ListContinue3">
    <w:name w:val="List Continue 3"/>
    <w:basedOn w:val="List3"/>
    <w:rsid w:val="003F2F69"/>
    <w:pPr>
      <w:ind w:left="1021" w:firstLine="0"/>
    </w:pPr>
  </w:style>
  <w:style w:type="paragraph" w:styleId="ListContinue4">
    <w:name w:val="List Continue 4"/>
    <w:basedOn w:val="List4"/>
    <w:rsid w:val="003F2F69"/>
    <w:pPr>
      <w:ind w:firstLine="0"/>
    </w:pPr>
  </w:style>
  <w:style w:type="paragraph" w:styleId="ListContinue5">
    <w:name w:val="List Continue 5"/>
    <w:basedOn w:val="List5"/>
    <w:rsid w:val="003F2F69"/>
    <w:pPr>
      <w:ind w:firstLine="0"/>
    </w:pPr>
  </w:style>
  <w:style w:type="paragraph" w:styleId="ListNumber3">
    <w:name w:val="List Number 3"/>
    <w:basedOn w:val="List3"/>
    <w:rsid w:val="003F2F69"/>
    <w:pPr>
      <w:numPr>
        <w:numId w:val="4"/>
      </w:numPr>
    </w:pPr>
  </w:style>
  <w:style w:type="paragraph" w:styleId="ListNumber4">
    <w:name w:val="List Number 4"/>
    <w:basedOn w:val="List4"/>
    <w:rsid w:val="003F2F69"/>
    <w:pPr>
      <w:numPr>
        <w:numId w:val="5"/>
      </w:numPr>
    </w:pPr>
  </w:style>
  <w:style w:type="paragraph" w:styleId="ListNumber5">
    <w:name w:val="List Number 5"/>
    <w:basedOn w:val="List5"/>
    <w:rsid w:val="003F2F69"/>
    <w:pPr>
      <w:numPr>
        <w:numId w:val="6"/>
      </w:numPr>
    </w:pPr>
  </w:style>
  <w:style w:type="paragraph" w:styleId="BlockText">
    <w:name w:val="Block Text"/>
    <w:basedOn w:val="Normal"/>
    <w:rsid w:val="003F2F69"/>
    <w:pPr>
      <w:spacing w:after="120"/>
      <w:ind w:left="1440" w:right="1440"/>
    </w:pPr>
  </w:style>
  <w:style w:type="character" w:customStyle="1" w:styleId="Subscript">
    <w:name w:val="Subscript"/>
    <w:basedOn w:val="DefaultParagraphFont"/>
    <w:rsid w:val="003F2F69"/>
    <w:rPr>
      <w:sz w:val="16"/>
      <w:vertAlign w:val="subscript"/>
    </w:rPr>
  </w:style>
  <w:style w:type="character" w:customStyle="1" w:styleId="Superscript">
    <w:name w:val="Superscript"/>
    <w:basedOn w:val="DefaultParagraphFont"/>
    <w:rsid w:val="003F2F69"/>
    <w:rPr>
      <w:sz w:val="16"/>
      <w:vertAlign w:val="superscript"/>
    </w:rPr>
  </w:style>
  <w:style w:type="character" w:customStyle="1" w:styleId="Symbols">
    <w:name w:val="Symbols"/>
    <w:basedOn w:val="DefaultParagraphFont"/>
    <w:rsid w:val="003F2F69"/>
    <w:rPr>
      <w:rFonts w:ascii="Symbol" w:hAnsi="Symbol"/>
    </w:rPr>
  </w:style>
  <w:style w:type="character" w:customStyle="1" w:styleId="MenuOptions">
    <w:name w:val="Menu Options"/>
    <w:basedOn w:val="DefaultParagraphFont"/>
    <w:rsid w:val="003F2F69"/>
    <w:rPr>
      <w:rFonts w:ascii="Arial Narrow" w:hAnsi="Arial Narrow"/>
      <w:smallCaps/>
    </w:rPr>
  </w:style>
  <w:style w:type="character" w:customStyle="1" w:styleId="Buttons">
    <w:name w:val="Buttons"/>
    <w:basedOn w:val="DefaultParagraphFont"/>
    <w:rsid w:val="003F2F69"/>
    <w:rPr>
      <w:b/>
    </w:rPr>
  </w:style>
  <w:style w:type="character" w:customStyle="1" w:styleId="Underlined">
    <w:name w:val="Underlined"/>
    <w:basedOn w:val="DefaultParagraphFont"/>
    <w:rsid w:val="003F2F69"/>
    <w:rPr>
      <w:u w:val="single"/>
    </w:rPr>
  </w:style>
  <w:style w:type="paragraph" w:customStyle="1" w:styleId="TableBodyTextRight">
    <w:name w:val="Table Body Text Right"/>
    <w:basedOn w:val="TableBodyText"/>
    <w:rsid w:val="003F2F69"/>
    <w:pPr>
      <w:widowControl w:val="0"/>
      <w:autoSpaceDE w:val="0"/>
      <w:autoSpaceDN w:val="0"/>
      <w:adjustRightInd w:val="0"/>
      <w:jc w:val="right"/>
    </w:pPr>
    <w:rPr>
      <w:rFonts w:cs="Arial"/>
      <w:szCs w:val="18"/>
    </w:rPr>
  </w:style>
  <w:style w:type="paragraph" w:customStyle="1" w:styleId="CopyrightText">
    <w:name w:val="Copyright Text"/>
    <w:basedOn w:val="BodyText"/>
    <w:rsid w:val="003F2F69"/>
    <w:rPr>
      <w:sz w:val="18"/>
    </w:rPr>
  </w:style>
  <w:style w:type="paragraph" w:customStyle="1" w:styleId="BodySmallRight">
    <w:name w:val="Body Small Right"/>
    <w:basedOn w:val="BodyTextRight"/>
    <w:rsid w:val="003F2F69"/>
    <w:rPr>
      <w:sz w:val="18"/>
      <w:szCs w:val="18"/>
    </w:rPr>
  </w:style>
  <w:style w:type="paragraph" w:customStyle="1" w:styleId="MarginEdition">
    <w:name w:val="Margin Edition"/>
    <w:basedOn w:val="MarginNote"/>
    <w:rsid w:val="003F2F69"/>
    <w:pPr>
      <w:spacing w:before="0" w:after="0"/>
    </w:pPr>
    <w:rPr>
      <w:rFonts w:ascii="Times New Roman" w:hAnsi="Times New Roman"/>
      <w:color w:val="999999"/>
    </w:rPr>
  </w:style>
  <w:style w:type="paragraph" w:customStyle="1" w:styleId="Spacer">
    <w:name w:val="Spacer"/>
    <w:basedOn w:val="Normal"/>
    <w:rsid w:val="003F2F69"/>
    <w:rPr>
      <w:sz w:val="2"/>
      <w:szCs w:val="2"/>
    </w:rPr>
  </w:style>
  <w:style w:type="character" w:customStyle="1" w:styleId="Small">
    <w:name w:val="Small"/>
    <w:basedOn w:val="DefaultParagraphFont"/>
    <w:rsid w:val="003F2F69"/>
    <w:rPr>
      <w:sz w:val="16"/>
    </w:rPr>
  </w:style>
  <w:style w:type="paragraph" w:customStyle="1" w:styleId="WideTable">
    <w:name w:val="Wide Table"/>
    <w:basedOn w:val="Normal"/>
    <w:rsid w:val="003F2F69"/>
    <w:pPr>
      <w:ind w:left="-1418"/>
    </w:pPr>
    <w:rPr>
      <w:sz w:val="2"/>
      <w:szCs w:val="2"/>
    </w:rPr>
  </w:style>
  <w:style w:type="character" w:styleId="PageNumber">
    <w:name w:val="page number"/>
    <w:basedOn w:val="DefaultParagraphFont"/>
    <w:rsid w:val="003F2F69"/>
  </w:style>
  <w:style w:type="paragraph" w:styleId="Quote">
    <w:name w:val="Quote"/>
    <w:basedOn w:val="Heading1"/>
    <w:link w:val="QuoteChar"/>
    <w:qFormat/>
    <w:rsid w:val="003F2F69"/>
    <w:rPr>
      <w:b w:val="0"/>
      <w:sz w:val="72"/>
      <w:szCs w:val="72"/>
      <w:lang w:val="en-NZ"/>
    </w:rPr>
  </w:style>
  <w:style w:type="character" w:customStyle="1" w:styleId="QuoteChar">
    <w:name w:val="Quote Char"/>
    <w:basedOn w:val="DefaultParagraphFont"/>
    <w:link w:val="Quote"/>
    <w:rsid w:val="003F2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F69"/>
    <w:pPr>
      <w:pageBreakBefore/>
    </w:pPr>
  </w:style>
  <w:style w:type="paragraph" w:customStyle="1" w:styleId="Border">
    <w:name w:val="Border"/>
    <w:basedOn w:val="Normal"/>
    <w:qFormat/>
    <w:rsid w:val="003F2F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F69"/>
    <w:rPr>
      <w:b/>
      <w:bCs/>
      <w:i/>
      <w:iCs/>
      <w:color w:val="auto"/>
    </w:rPr>
  </w:style>
  <w:style w:type="paragraph" w:styleId="IntenseQuote">
    <w:name w:val="Intense Quote"/>
    <w:basedOn w:val="Normal"/>
    <w:next w:val="Normal"/>
    <w:link w:val="IntenseQuoteChar"/>
    <w:uiPriority w:val="30"/>
    <w:qFormat/>
    <w:rsid w:val="003F2F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F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F69"/>
    <w:rPr>
      <w:smallCaps/>
      <w:color w:val="auto"/>
      <w:u w:val="single"/>
    </w:rPr>
  </w:style>
  <w:style w:type="character" w:styleId="IntenseReference">
    <w:name w:val="Intense Reference"/>
    <w:basedOn w:val="DefaultParagraphFont"/>
    <w:uiPriority w:val="32"/>
    <w:qFormat/>
    <w:rsid w:val="003F2F69"/>
    <w:rPr>
      <w:b/>
      <w:bCs/>
      <w:smallCaps/>
      <w:color w:val="auto"/>
      <w:spacing w:val="5"/>
      <w:u w:val="single"/>
    </w:rPr>
  </w:style>
  <w:style w:type="paragraph" w:customStyle="1" w:styleId="2ColumnHeading">
    <w:name w:val="2Column Heading"/>
    <w:basedOn w:val="BodyText"/>
    <w:qFormat/>
    <w:rsid w:val="003F2F69"/>
    <w:pPr>
      <w:spacing w:after="60"/>
      <w:ind w:left="-2268"/>
    </w:pPr>
    <w:rPr>
      <w:b/>
    </w:rPr>
  </w:style>
  <w:style w:type="paragraph" w:customStyle="1" w:styleId="Heading1TOC">
    <w:name w:val="Heading1 TOC"/>
    <w:basedOn w:val="Normal"/>
    <w:qFormat/>
    <w:rsid w:val="003F2F69"/>
    <w:pPr>
      <w:spacing w:before="240" w:after="120"/>
    </w:pPr>
    <w:rPr>
      <w:rFonts w:ascii="Times New Roman" w:hAnsi="Times New Roman"/>
      <w:b/>
      <w:sz w:val="32"/>
    </w:rPr>
  </w:style>
  <w:style w:type="paragraph" w:customStyle="1" w:styleId="Heading2TOC">
    <w:name w:val="Heading2 TOC"/>
    <w:basedOn w:val="Normal"/>
    <w:qFormat/>
    <w:rsid w:val="003F2F69"/>
    <w:pPr>
      <w:spacing w:before="240" w:after="60"/>
    </w:pPr>
    <w:rPr>
      <w:rFonts w:ascii="Times New Roman" w:hAnsi="Times New Roman"/>
      <w:b/>
      <w:sz w:val="28"/>
    </w:rPr>
  </w:style>
  <w:style w:type="character" w:customStyle="1" w:styleId="Underline">
    <w:name w:val="Underline"/>
    <w:basedOn w:val="DefaultParagraphFont"/>
    <w:qFormat/>
    <w:rsid w:val="003F2F69"/>
    <w:rPr>
      <w:u w:val="single"/>
    </w:rPr>
  </w:style>
  <w:style w:type="character" w:customStyle="1" w:styleId="BoldandItalics">
    <w:name w:val="Bold and Italics"/>
    <w:qFormat/>
    <w:rsid w:val="003F2F69"/>
    <w:rPr>
      <w:b/>
      <w:i/>
      <w:u w:val="none"/>
    </w:rPr>
  </w:style>
  <w:style w:type="paragraph" w:styleId="BalloonText">
    <w:name w:val="Balloon Text"/>
    <w:basedOn w:val="Normal"/>
    <w:link w:val="BalloonTextChar"/>
    <w:rsid w:val="003F2F69"/>
    <w:rPr>
      <w:rFonts w:ascii="Tahoma" w:hAnsi="Tahoma" w:cs="Tahoma"/>
      <w:sz w:val="16"/>
      <w:szCs w:val="16"/>
    </w:rPr>
  </w:style>
  <w:style w:type="character" w:customStyle="1" w:styleId="BalloonTextChar">
    <w:name w:val="Balloon Text Char"/>
    <w:basedOn w:val="DefaultParagraphFont"/>
    <w:link w:val="BalloonText"/>
    <w:rsid w:val="003F2F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F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F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F69"/>
    <w:rPr>
      <w:b/>
      <w:color w:val="660033"/>
      <w:spacing w:val="0"/>
    </w:rPr>
  </w:style>
  <w:style w:type="paragraph" w:customStyle="1" w:styleId="Nameditemlist">
    <w:name w:val="Named item list"/>
    <w:basedOn w:val="BodyText"/>
    <w:qFormat/>
    <w:rsid w:val="003F2F69"/>
    <w:pPr>
      <w:tabs>
        <w:tab w:val="left" w:pos="2835"/>
      </w:tabs>
      <w:ind w:left="2835" w:hanging="2835"/>
    </w:pPr>
  </w:style>
  <w:style w:type="paragraph" w:customStyle="1" w:styleId="BodyTextnopadding">
    <w:name w:val="Body Text no padding"/>
    <w:basedOn w:val="BodyText"/>
    <w:qFormat/>
    <w:rsid w:val="003F2F69"/>
    <w:pPr>
      <w:spacing w:before="0" w:after="0"/>
    </w:pPr>
  </w:style>
  <w:style w:type="paragraph" w:customStyle="1" w:styleId="BodyTextBold">
    <w:name w:val="Body Text Bold"/>
    <w:basedOn w:val="BodyText"/>
    <w:qFormat/>
    <w:rsid w:val="003F2F69"/>
    <w:rPr>
      <w:b/>
    </w:rPr>
  </w:style>
  <w:style w:type="character" w:styleId="Hyperlink">
    <w:name w:val="Hyperlink"/>
    <w:basedOn w:val="DefaultParagraphFont"/>
    <w:uiPriority w:val="99"/>
    <w:unhideWhenUsed/>
    <w:rsid w:val="003F0F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4206</Characters>
  <Application>Microsoft Office Word</Application>
  <DocSecurity>0</DocSecurity>
  <Lines>175</Lines>
  <Paragraphs>80</Paragraphs>
  <ScaleCrop>false</ScaleCrop>
  <Company>Author-it Software Corporation Ltd.</Company>
  <LinksUpToDate>false</LinksUpToDate>
  <CharactersWithSpaces>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UEERE0003 Assess energy loads and uses for energy efficiency in commercial facilities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2022-10-24T03:43:00Z</dcterms:created>
  <dcterms:modified xsi:type="dcterms:W3CDTF">2022-10-24T03:43:00Z</dcterms:modified>
</cp:coreProperties>
</file>