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73FE" w:rsidP="00DD73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UEERE0002 Assemble and connect remote area power supplies</w:t>
      </w:r>
      <w:r>
        <w:fldChar w:fldCharType="end"/>
      </w:r>
    </w:p>
    <w:p w:rsidR="00DD73FE" w:rsidP="00DD73FE">
      <w:pPr>
        <w:pStyle w:val="Version"/>
        <w:sectPr w:rsidSect="00D364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36413" w:rsidP="00D36413">
      <w:pPr>
        <w:pStyle w:val="SuperHeading"/>
      </w:pPr>
      <w:r w:rsidRPr="00D36413">
        <w:t>UEERE0002 Assemble and connect remote area power supplies</w:t>
      </w:r>
    </w:p>
    <w:p w:rsidR="00000000" w:rsidRPr="00D36413" w:rsidP="00D36413">
      <w:pPr>
        <w:pStyle w:val="Heading1"/>
      </w:pPr>
      <w:bookmarkStart w:id="1" w:name="O_1185430"/>
      <w:bookmarkEnd w:id="1"/>
      <w:r w:rsidRPr="00D3641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 w:rsidP="00D36413">
            <w:pPr>
              <w:pStyle w:val="BodyText"/>
            </w:pPr>
            <w:r w:rsidRPr="00D36413">
              <w:t>Release 2.  This minor update is the second release of this unit of competency in the UEE Electrotechnology Training Package.</w:t>
            </w:r>
          </w:p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t>Typographic error in prerequisite option requirements fixed.</w:t>
            </w:r>
          </w:p>
        </w:tc>
      </w:tr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 w:rsidP="00D36413">
            <w:pPr>
              <w:pStyle w:val="BodyText"/>
            </w:pPr>
            <w:r w:rsidRPr="00D36413">
              <w:t>Release 1.  This is the first</w:t>
            </w:r>
            <w:r w:rsidRPr="00D36413">
              <w:t xml:space="preserve"> release of this unit of competency in the UEE Electrotechnology Training Package.</w:t>
            </w:r>
          </w:p>
        </w:tc>
      </w:tr>
    </w:tbl>
    <w:p w:rsidR="00000000" w:rsidRPr="00D36413" w:rsidP="00D36413">
      <w:pPr>
        <w:pStyle w:val="NoPaddingFontSize1"/>
      </w:pPr>
    </w:p>
    <w:p w:rsidR="00000000" w:rsidRPr="00D36413" w:rsidP="00D36413">
      <w:pPr>
        <w:pStyle w:val="AllowPageBreak"/>
      </w:pPr>
    </w:p>
    <w:p w:rsidR="00000000" w:rsidRPr="00D36413" w:rsidP="00D36413">
      <w:pPr>
        <w:pStyle w:val="Heading1"/>
      </w:pPr>
      <w:bookmarkStart w:id="2" w:name="O_1185429"/>
      <w:bookmarkEnd w:id="2"/>
      <w:r w:rsidRPr="00D3641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 w:rsidP="00D36413">
            <w:pPr>
              <w:pStyle w:val="BodyText"/>
            </w:pPr>
            <w:r w:rsidRPr="00D36413">
              <w:t>This unit involves the skills and knowledge required to assemble and connect remote area power supply (RAPS) systems where the exposed volta</w:t>
            </w:r>
            <w:r w:rsidRPr="00D36413">
              <w:t>ge is not greater than 50 volt (V) alternating current (a.c.) or 120 V direct current (d.c).</w:t>
            </w:r>
          </w:p>
          <w:p w:rsidR="00000000" w:rsidRPr="00D36413" w:rsidP="00D36413">
            <w:pPr>
              <w:pStyle w:val="BodyText"/>
            </w:pPr>
            <w:r w:rsidRPr="00D36413">
              <w:t>It includes preparing to install RAPS, installing RAPS and completing maintenance work on battery banks and reporting.</w:t>
            </w:r>
          </w:p>
          <w:p w:rsidR="00000000" w:rsidRPr="00D36413" w:rsidP="00D36413">
            <w:pPr>
              <w:pStyle w:val="BodyText"/>
            </w:pPr>
            <w:r w:rsidRPr="00D36413">
              <w:t>No licensing, legislative or certification r</w:t>
            </w:r>
            <w:r w:rsidRPr="00D36413">
              <w:t>equirements apply to this unit at the time of publication.</w:t>
            </w:r>
          </w:p>
        </w:tc>
      </w:tr>
    </w:tbl>
    <w:p w:rsidR="00000000" w:rsidRPr="00D36413" w:rsidP="00D36413">
      <w:pPr>
        <w:pStyle w:val="NoPaddingFontSize1"/>
      </w:pPr>
    </w:p>
    <w:p w:rsidR="00000000" w:rsidRPr="00D36413" w:rsidP="00D36413">
      <w:pPr>
        <w:pStyle w:val="AllowPageBreak"/>
      </w:pPr>
    </w:p>
    <w:p w:rsidR="00000000" w:rsidRPr="00D36413" w:rsidP="00D36413">
      <w:pPr>
        <w:pStyle w:val="Heading1"/>
      </w:pPr>
      <w:bookmarkStart w:id="3" w:name="O_1185428"/>
      <w:bookmarkEnd w:id="3"/>
      <w:r w:rsidRPr="00D3641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 w:rsidP="00D36413">
            <w:pPr>
              <w:pStyle w:val="BodyText"/>
            </w:pPr>
            <w:r w:rsidRPr="00D36413">
              <w:t>UEECD0007 Apply work health and safety regulations, codes and practices in the workplace</w:t>
            </w:r>
          </w:p>
          <w:p w:rsidR="00000000" w:rsidRPr="00D36413" w:rsidP="00D36413">
            <w:pPr>
              <w:pStyle w:val="BodyText"/>
            </w:pPr>
            <w:r w:rsidRPr="00D36413">
              <w:t>UEECD0019 Fabricate, assemble and dismantle utilities industry compo</w:t>
            </w:r>
            <w:r w:rsidRPr="00D36413">
              <w:t>nents</w:t>
            </w:r>
          </w:p>
          <w:p w:rsidR="00000000" w:rsidRPr="00D36413" w:rsidP="00D36413">
            <w:pPr>
              <w:pStyle w:val="BodyText"/>
            </w:pPr>
            <w:r w:rsidRPr="00D36413">
              <w:t>UEECD0051 Use drawings, diagrams, schedules, standards, codes and specifications</w:t>
            </w:r>
          </w:p>
          <w:p w:rsidR="00000000" w:rsidRPr="00D36413" w:rsidP="00D36413">
            <w:pPr>
              <w:pStyle w:val="BodyText"/>
            </w:pPr>
            <w:r w:rsidRPr="00D36413">
              <w:t>UEECD0025 Lay wiring/cabling and terminate accessories for extra-low voltage (ELV) circuits</w:t>
            </w:r>
          </w:p>
          <w:p w:rsidR="00000000" w:rsidRPr="00D36413" w:rsidP="00D36413">
            <w:pPr>
              <w:pStyle w:val="BodyText"/>
            </w:pPr>
            <w:r w:rsidRPr="00D36413">
              <w:t>and</w:t>
            </w:r>
          </w:p>
          <w:p w:rsidR="00000000" w:rsidRPr="00D36413" w:rsidP="00D36413">
            <w:pPr>
              <w:pStyle w:val="BodyText"/>
            </w:pPr>
            <w:r w:rsidRPr="00D36413">
              <w:t>UEECD0043 Solve problems in direct current circuits</w:t>
            </w:r>
          </w:p>
          <w:p w:rsidR="00000000" w:rsidRPr="00D36413" w:rsidP="00D36413">
            <w:pPr>
              <w:pStyle w:val="BodyText"/>
            </w:pPr>
            <w:r w:rsidRPr="00D36413">
              <w:t>or</w:t>
            </w:r>
          </w:p>
          <w:p w:rsidR="00000000" w:rsidRPr="00D36413" w:rsidP="00D36413">
            <w:pPr>
              <w:pStyle w:val="BodyText"/>
            </w:pPr>
            <w:r w:rsidRPr="00D36413">
              <w:t>UEECD0044 Solve problems in multiple path circuits</w:t>
            </w:r>
          </w:p>
          <w:p w:rsidR="00000000" w:rsidRPr="00D36413" w:rsidP="00D36413">
            <w:pPr>
              <w:pStyle w:val="BodyText"/>
            </w:pPr>
            <w:r w:rsidRPr="00D36413">
              <w:t>UEECD0046 Solve problems in single path circuits</w:t>
            </w:r>
          </w:p>
        </w:tc>
      </w:tr>
    </w:tbl>
    <w:p w:rsidR="00000000" w:rsidRPr="00D36413" w:rsidP="00D36413">
      <w:pPr>
        <w:pStyle w:val="NoPaddingFontSize1"/>
      </w:pPr>
    </w:p>
    <w:p w:rsidR="00000000" w:rsidRPr="00D36413" w:rsidP="00D36413">
      <w:pPr>
        <w:pStyle w:val="AllowPageBreak"/>
      </w:pPr>
    </w:p>
    <w:p w:rsidR="00000000" w:rsidRPr="00D36413" w:rsidP="00D36413">
      <w:pPr>
        <w:pStyle w:val="Heading1"/>
      </w:pPr>
      <w:bookmarkStart w:id="4" w:name="O_1185427"/>
      <w:bookmarkEnd w:id="4"/>
      <w:r w:rsidRPr="00D3641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 w:rsidP="00D36413">
            <w:pPr>
              <w:pStyle w:val="BodyText"/>
            </w:pPr>
            <w:r w:rsidRPr="00D36413">
              <w:t>Renewable Energy</w:t>
            </w:r>
          </w:p>
        </w:tc>
      </w:tr>
    </w:tbl>
    <w:p w:rsidR="00000000" w:rsidRPr="00D36413" w:rsidP="00D36413">
      <w:pPr>
        <w:pStyle w:val="NoPaddingFontSize1"/>
      </w:pPr>
    </w:p>
    <w:p w:rsidR="00000000" w:rsidRPr="00D36413" w:rsidP="00D36413">
      <w:pPr>
        <w:pStyle w:val="AllowPageBreak"/>
      </w:pPr>
    </w:p>
    <w:p w:rsidR="00000000" w:rsidRPr="00D36413" w:rsidP="00D36413">
      <w:pPr>
        <w:pStyle w:val="Heading1"/>
      </w:pPr>
      <w:bookmarkStart w:id="5" w:name="O_1185426"/>
      <w:bookmarkEnd w:id="5"/>
      <w:r w:rsidRPr="00D3641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 w:rsidP="00D36413">
            <w:pPr>
              <w:pStyle w:val="BodyText"/>
            </w:pPr>
            <w:r w:rsidRPr="00D36413">
              <w:t>Electrotechnology</w:t>
            </w:r>
          </w:p>
        </w:tc>
      </w:tr>
    </w:tbl>
    <w:p w:rsidR="00000000" w:rsidRPr="00D36413" w:rsidP="00D36413">
      <w:pPr>
        <w:pStyle w:val="NoPaddingFontSize1"/>
      </w:pPr>
    </w:p>
    <w:p w:rsidR="00000000" w:rsidRPr="00D36413" w:rsidP="00D36413">
      <w:pPr>
        <w:pStyle w:val="AllowPageBreak"/>
      </w:pPr>
    </w:p>
    <w:p w:rsidR="00000000" w:rsidRPr="00D36413" w:rsidP="00D36413">
      <w:pPr>
        <w:pStyle w:val="Heading1"/>
      </w:pPr>
      <w:bookmarkStart w:id="6" w:name="O_1185425"/>
      <w:bookmarkEnd w:id="6"/>
      <w:r w:rsidRPr="00D36413">
        <w:t>Elements and Performance Crit</w:t>
      </w:r>
      <w:r w:rsidRPr="00D36413">
        <w:t>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 w:rsidP="00D36413">
            <w:pPr>
              <w:pStyle w:val="BodyText"/>
            </w:pPr>
            <w:r w:rsidRPr="00D36413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rPr>
                <w:rStyle w:val="SpecialBold"/>
              </w:rPr>
              <w:t>PERFORMANCE CRITERIA</w:t>
            </w:r>
          </w:p>
        </w:tc>
      </w:tr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t>Performance criteria describe the performance needed to demonstrate achievement of the element.</w:t>
            </w:r>
          </w:p>
        </w:tc>
      </w:tr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 w:rsidP="00D36413">
            <w:pPr>
              <w:pStyle w:val="BodyText"/>
            </w:pPr>
            <w:r w:rsidRPr="00D36413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 w:rsidP="00D36413">
            <w:pPr>
              <w:pStyle w:val="BodyText"/>
            </w:pPr>
            <w:r w:rsidRPr="00D36413">
              <w:rPr>
                <w:rStyle w:val="SpecialBold"/>
              </w:rPr>
              <w:t>Prepare to install RAPS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t>Work health and safety (WHS)/occupational health and safety (OHS) requirements for relevant work area are identified and applied in accordance with workplace procedures</w:t>
            </w:r>
          </w:p>
        </w:tc>
      </w:tr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t>Risks are identified, assessed and control measures applied in accordance with w</w:t>
            </w:r>
            <w:r w:rsidRPr="00D36413">
              <w:t>orkplace procedures prior to commencing work</w:t>
            </w:r>
          </w:p>
        </w:tc>
      </w:tr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t>Risks/hazards are identified, assessed, reported to relevant person/s and control measures implemented</w:t>
            </w:r>
          </w:p>
        </w:tc>
      </w:tr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t>Installation of apparatus is prepared in consultation with relevant person/s and sequenced accordingly</w:t>
            </w:r>
          </w:p>
        </w:tc>
      </w:tr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t>Nature and location of the work is determined from documentation or relevant person/s to determine the scope of work</w:t>
            </w:r>
          </w:p>
        </w:tc>
      </w:tr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t>Location/s of apparatu</w:t>
            </w:r>
            <w:r w:rsidRPr="00D36413">
              <w:t>s and associated equipment is planned within constraints of the building structure and regulations</w:t>
            </w:r>
          </w:p>
        </w:tc>
      </w:tr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t>Advice on coordinating work with others is obtained from relevant person/s and applied</w:t>
            </w:r>
          </w:p>
        </w:tc>
      </w:tr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t>Material needed for installation work is obtained in accordance with workplace procedures and checked against job requirements</w:t>
            </w:r>
          </w:p>
        </w:tc>
      </w:tr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t>Tools, equipment and testing devices required for the installation work are obtained in accordance with workplace procedur</w:t>
            </w:r>
            <w:r w:rsidRPr="00D36413">
              <w:t>es and checked for correct operation and safety</w:t>
            </w:r>
          </w:p>
        </w:tc>
      </w:tr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t>Preparatory work is checked to ensure no damage has occurred and it complies with requirements</w:t>
            </w:r>
          </w:p>
        </w:tc>
      </w:tr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 w:rsidP="00D36413">
            <w:pPr>
              <w:pStyle w:val="BodyText"/>
            </w:pPr>
            <w:r w:rsidRPr="00D3641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 w:rsidP="00D36413">
            <w:pPr>
              <w:pStyle w:val="BodyText"/>
            </w:pPr>
            <w:r w:rsidRPr="00D36413">
              <w:rPr>
                <w:rStyle w:val="SpecialBold"/>
              </w:rPr>
              <w:t>Install RAPS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t>Workplace risk control measures and procedures are applied</w:t>
            </w:r>
          </w:p>
        </w:tc>
      </w:tr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t>Need to test or measure live electrical work is determined in accordance with WHS/OHS requirements and conducted within workplace safety procedures</w:t>
            </w:r>
          </w:p>
        </w:tc>
      </w:tr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t>Circuits/machines/plant are isolated in accordance with WHS/OHS requirements and workplace procedures</w:t>
            </w:r>
          </w:p>
        </w:tc>
      </w:tr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t>Apparatus and associated equipment are installed in compliance with industry technical standards, job specifications and requirements, and with sufficient access to not impact terminations, adjustments and maintenance</w:t>
            </w:r>
          </w:p>
        </w:tc>
      </w:tr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t>Wiring is terminated at</w:t>
            </w:r>
            <w:r w:rsidRPr="00D36413">
              <w:t xml:space="preserve"> apparatus and associated equipment in accordance with manufacturer specifications, functional and regulatory requirements</w:t>
            </w:r>
          </w:p>
        </w:tc>
      </w:tr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t>Methods for dealing with unexpected events are discussed with appropriate person/s and documented in accordance with workplace procedures</w:t>
            </w:r>
          </w:p>
        </w:tc>
      </w:tr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t>Unexpected events are dealt with safely and with approval of authorised person/s</w:t>
            </w:r>
          </w:p>
        </w:tc>
      </w:tr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t>Quality checks of insta</w:t>
            </w:r>
            <w:r w:rsidRPr="00D36413">
              <w:t>lled apparatus are conducted in accordance with workplace procedures</w:t>
            </w:r>
          </w:p>
        </w:tc>
      </w:tr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t>Apparatus installation is conducted minimising waste of materials, damage to apparatus, circuits, the surrounding environment and services using sustainable energy principles</w:t>
            </w:r>
          </w:p>
        </w:tc>
      </w:tr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 w:rsidP="00D36413">
            <w:pPr>
              <w:pStyle w:val="BodyText"/>
            </w:pPr>
            <w:r w:rsidRPr="00D3641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 w:rsidP="00D36413">
            <w:pPr>
              <w:pStyle w:val="BodyText"/>
            </w:pPr>
            <w:r w:rsidRPr="00D36413">
              <w:rPr>
                <w:rStyle w:val="SpecialBold"/>
              </w:rPr>
              <w:t>Co</w:t>
            </w:r>
            <w:r w:rsidRPr="00D36413">
              <w:rPr>
                <w:rStyle w:val="SpecialBold"/>
              </w:rPr>
              <w:t>mplete work on RAPS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t>Workplace risk control measures and procedures are applied</w:t>
            </w:r>
          </w:p>
        </w:tc>
      </w:tr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t>Worksite is cleaned and made safe in accordance with workplace procedures</w:t>
            </w:r>
          </w:p>
        </w:tc>
      </w:tr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t>Final checks that the installed apparatus conforms to requirements are conducted</w:t>
            </w:r>
          </w:p>
        </w:tc>
      </w:tr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 w:rsidP="00D36413">
            <w:pPr>
              <w:pStyle w:val="BodyText"/>
            </w:pPr>
            <w:r w:rsidRPr="00D36413">
              <w:t>‘As-installed’ apparatus and associated equipment are documented and appropriate person/s notified in accordance with workplace procedures</w:t>
            </w:r>
          </w:p>
        </w:tc>
      </w:tr>
    </w:tbl>
    <w:p w:rsidR="00000000" w:rsidRPr="00D36413" w:rsidP="00D36413">
      <w:pPr>
        <w:pStyle w:val="NoPaddingFontSize1"/>
      </w:pPr>
    </w:p>
    <w:p w:rsidR="00000000" w:rsidRPr="00D36413" w:rsidP="00D36413">
      <w:pPr>
        <w:pStyle w:val="AllowPageBreak"/>
      </w:pPr>
    </w:p>
    <w:p w:rsidR="00000000" w:rsidRPr="00D36413" w:rsidP="00D36413">
      <w:pPr>
        <w:pStyle w:val="Heading1"/>
      </w:pPr>
      <w:bookmarkStart w:id="7" w:name="O_1185424"/>
      <w:bookmarkEnd w:id="7"/>
      <w:r w:rsidRPr="00D3641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 w:rsidP="00D36413">
            <w:pPr>
              <w:pStyle w:val="BodyText"/>
            </w:pPr>
            <w:r w:rsidRPr="00D36413">
              <w:t>Foundation skills essential to performance are explicit in the performance</w:t>
            </w:r>
            <w:r w:rsidRPr="00D36413">
              <w:t xml:space="preserve"> criteria of this unit of competency.</w:t>
            </w:r>
          </w:p>
        </w:tc>
      </w:tr>
    </w:tbl>
    <w:p w:rsidR="00000000" w:rsidRPr="00D36413" w:rsidP="00D36413">
      <w:pPr>
        <w:pStyle w:val="NoPaddingFontSize1"/>
      </w:pPr>
    </w:p>
    <w:p w:rsidR="00000000" w:rsidRPr="00D36413" w:rsidP="00D36413">
      <w:pPr>
        <w:pStyle w:val="AllowPageBreak"/>
      </w:pPr>
    </w:p>
    <w:p w:rsidR="00000000" w:rsidRPr="00D36413" w:rsidP="00D36413">
      <w:pPr>
        <w:pStyle w:val="Heading1"/>
      </w:pPr>
      <w:bookmarkStart w:id="8" w:name="O_1185423"/>
      <w:bookmarkEnd w:id="8"/>
      <w:r w:rsidRPr="00D3641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5"/>
        <w:gridCol w:w="5592"/>
      </w:tblGrid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 w:rsidP="00D36413">
            <w:pPr>
              <w:pStyle w:val="BodyText"/>
            </w:pPr>
            <w:r w:rsidRPr="00D36413">
              <w:t>Range is restricted to essential operating conditions and any other variables essential to the work environment.</w:t>
            </w:r>
          </w:p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t>Non-esse</w:t>
            </w:r>
            <w:r w:rsidRPr="00D36413">
              <w:t>ntial conditions may be found in the UEE Electrotechnology Training Package Companion Volume Implementation Guide.</w:t>
            </w:r>
          </w:p>
        </w:tc>
      </w:tr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t>Assembling and connecting RAPS must include at least the following: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 w:rsidP="00D36413">
            <w:pPr>
              <w:pStyle w:val="ListBullet"/>
            </w:pPr>
            <w:r w:rsidRPr="00D36413">
              <w:t>two different systems, including:</w:t>
            </w:r>
          </w:p>
          <w:p w:rsidR="00000000" w:rsidRPr="00D36413" w:rsidP="00D36413">
            <w:pPr>
              <w:pStyle w:val="ListBullet2"/>
            </w:pPr>
            <w:r w:rsidRPr="00D36413">
              <w:t>a generator set</w:t>
            </w:r>
          </w:p>
          <w:p w:rsidR="00000000" w:rsidRPr="00D36413" w:rsidP="00D36413">
            <w:pPr>
              <w:pStyle w:val="ListBullet2"/>
            </w:pPr>
            <w:r w:rsidRPr="00D36413">
              <w:t>a photovoltaic (PV) array</w:t>
            </w:r>
          </w:p>
          <w:p w:rsidR="00000000" w:rsidP="00D36413">
            <w:pPr>
              <w:pStyle w:val="ListBullet2"/>
              <w:rPr>
                <w:lang w:val="en-NZ"/>
              </w:rPr>
            </w:pPr>
            <w:r w:rsidRPr="00D36413">
              <w:t>at least one similar RAPS system where the battery bank is charged form a wind generator</w:t>
            </w:r>
          </w:p>
        </w:tc>
      </w:tr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413">
            <w:pPr>
              <w:pStyle w:val="BodyText"/>
              <w:rPr>
                <w:lang w:val="en-NZ"/>
              </w:rPr>
            </w:pPr>
            <w:r w:rsidRPr="00D36413">
              <w:t xml:space="preserve">Exposed voltage is not greater than: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 w:rsidP="00D36413">
            <w:pPr>
              <w:pStyle w:val="ListBullet"/>
            </w:pPr>
            <w:r w:rsidRPr="00D36413">
              <w:t>50 V a.c., or</w:t>
            </w:r>
          </w:p>
          <w:p w:rsidR="00000000" w:rsidRPr="00D36413" w:rsidP="00D36413">
            <w:pPr>
              <w:pStyle w:val="ListBullet"/>
            </w:pPr>
            <w:r w:rsidRPr="00D36413">
              <w:t>120 V d.c</w:t>
            </w:r>
          </w:p>
        </w:tc>
      </w:tr>
    </w:tbl>
    <w:p w:rsidR="00000000" w:rsidRPr="00D36413" w:rsidP="00D36413">
      <w:pPr>
        <w:pStyle w:val="NoPaddingFontSize1"/>
      </w:pPr>
    </w:p>
    <w:p w:rsidR="00000000" w:rsidRPr="00D36413" w:rsidP="00D36413">
      <w:pPr>
        <w:pStyle w:val="AllowPageBreak"/>
      </w:pPr>
    </w:p>
    <w:p w:rsidR="00000000" w:rsidRPr="00D36413" w:rsidP="00D36413">
      <w:pPr>
        <w:pStyle w:val="Heading1"/>
      </w:pPr>
      <w:bookmarkStart w:id="9" w:name="O_1185422"/>
      <w:bookmarkEnd w:id="9"/>
      <w:r w:rsidRPr="00D3641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4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413" w:rsidP="00D36413">
            <w:pPr>
              <w:pStyle w:val="BodyText"/>
            </w:pPr>
            <w:r w:rsidRPr="00D36413">
              <w:t>This unit replaces and is equivalent to UEENEEK111A Assemble and connect remote area power supplies.</w:t>
            </w:r>
          </w:p>
        </w:tc>
      </w:tr>
    </w:tbl>
    <w:p w:rsidR="00000000" w:rsidRPr="00D36413" w:rsidP="00D36413">
      <w:pPr>
        <w:pStyle w:val="NoPaddingFontSize1"/>
      </w:pPr>
    </w:p>
    <w:p w:rsidR="00000000" w:rsidRPr="00D36413" w:rsidP="00D36413">
      <w:pPr>
        <w:pStyle w:val="AllowPageBreak"/>
      </w:pPr>
    </w:p>
    <w:p w:rsidR="00000000" w:rsidRPr="00D36413" w:rsidP="00D36413">
      <w:pPr>
        <w:pStyle w:val="Heading1"/>
      </w:pPr>
      <w:bookmarkStart w:id="10" w:name="O_1185431"/>
      <w:bookmarkEnd w:id="10"/>
      <w:r w:rsidRPr="00D36413">
        <w:t>Links</w:t>
      </w:r>
    </w:p>
    <w:p w:rsidR="00000000" w:rsidRPr="00D36413" w:rsidP="00DD73FE">
      <w:pPr>
        <w:pStyle w:val="BodyText"/>
      </w:pPr>
      <w:r w:rsidRPr="00D364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4135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36413" w:rsidP="00D36413"/>
    <w:sectPr w:rsidSect="00D364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4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413" w:rsidRPr="00DD73FE" w:rsidP="00DD73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4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3FE" w:rsidP="00D364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73FE" w:rsidP="00D364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D73FE" w:rsidP="00D364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4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3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6413" w:rsidRPr="00DD73FE" w:rsidP="00DD73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4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3FE" w:rsidRPr="002D2AF8" w:rsidP="00D364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UEERE0002 Assemble and connect remote area power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D73FE" w:rsidP="00D364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D27A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9AB3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7016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4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64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64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64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64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64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64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64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64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64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64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6413"/>
  </w:style>
  <w:style w:type="character" w:customStyle="1" w:styleId="Heading1Char">
    <w:name w:val="Heading 1 Char"/>
    <w:basedOn w:val="DefaultParagraphFont"/>
    <w:link w:val="Heading1"/>
    <w:rsid w:val="00D364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64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64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64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6413"/>
    <w:rPr>
      <w:b/>
      <w:spacing w:val="0"/>
    </w:rPr>
  </w:style>
  <w:style w:type="paragraph" w:styleId="ListBullet2">
    <w:name w:val="List Bullet 2"/>
    <w:basedOn w:val="List2"/>
    <w:rsid w:val="00D364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64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64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364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64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64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64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64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64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64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64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64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64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64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64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64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64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64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64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64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64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64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64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64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64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64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64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64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64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64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64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64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64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64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64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6413"/>
    <w:rPr>
      <w:i/>
    </w:rPr>
  </w:style>
  <w:style w:type="paragraph" w:styleId="Caption">
    <w:name w:val="caption"/>
    <w:basedOn w:val="BodyText"/>
    <w:next w:val="Normal"/>
    <w:qFormat/>
    <w:rsid w:val="00D364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64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64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6413"/>
  </w:style>
  <w:style w:type="paragraph" w:styleId="TableofFigures">
    <w:name w:val="table of figures"/>
    <w:basedOn w:val="Normal"/>
    <w:next w:val="Normal"/>
    <w:semiHidden/>
    <w:rsid w:val="00D364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64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6413"/>
    <w:rPr>
      <w:rFonts w:ascii="Wingdings" w:hAnsi="Wingdings"/>
    </w:rPr>
  </w:style>
  <w:style w:type="paragraph" w:customStyle="1" w:styleId="TableHeading">
    <w:name w:val="Table Heading"/>
    <w:basedOn w:val="HeadingBase"/>
    <w:rsid w:val="00D364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6413"/>
    <w:rPr>
      <w:color w:val="0033CC"/>
      <w:u w:val="none"/>
    </w:rPr>
  </w:style>
  <w:style w:type="paragraph" w:customStyle="1" w:styleId="BodyTextRight">
    <w:name w:val="Body Text Right"/>
    <w:basedOn w:val="BodyText"/>
    <w:rsid w:val="00D364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64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64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64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64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64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6413"/>
    <w:rPr>
      <w:sz w:val="32"/>
    </w:rPr>
  </w:style>
  <w:style w:type="paragraph" w:customStyle="1" w:styleId="HeadingProcedure">
    <w:name w:val="Heading Procedure"/>
    <w:basedOn w:val="HeadingBase"/>
    <w:next w:val="Normal"/>
    <w:rsid w:val="00D364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6413"/>
    <w:pPr>
      <w:spacing w:before="60" w:after="60"/>
    </w:pPr>
  </w:style>
  <w:style w:type="paragraph" w:styleId="ListContinue">
    <w:name w:val="List Continue"/>
    <w:basedOn w:val="List"/>
    <w:rsid w:val="00D36413"/>
    <w:pPr>
      <w:ind w:firstLine="0"/>
    </w:pPr>
  </w:style>
  <w:style w:type="paragraph" w:customStyle="1" w:styleId="ListNote">
    <w:name w:val="List Note"/>
    <w:basedOn w:val="List"/>
    <w:rsid w:val="00D364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64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64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6413"/>
    <w:rPr>
      <w:rFonts w:ascii="Courier New" w:hAnsi="Courier New"/>
    </w:rPr>
  </w:style>
  <w:style w:type="paragraph" w:customStyle="1" w:styleId="NoteBullet">
    <w:name w:val="Note Bullet"/>
    <w:basedOn w:val="Note"/>
    <w:rsid w:val="00D364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64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64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64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64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64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64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6413"/>
    <w:rPr>
      <w:b/>
      <w:smallCaps/>
    </w:rPr>
  </w:style>
  <w:style w:type="paragraph" w:customStyle="1" w:styleId="TableListNumber">
    <w:name w:val="Table List Number"/>
    <w:basedOn w:val="ListNumber"/>
    <w:rsid w:val="00D364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64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6413"/>
    <w:pPr>
      <w:numPr>
        <w:numId w:val="9"/>
      </w:numPr>
    </w:pPr>
  </w:style>
  <w:style w:type="paragraph" w:customStyle="1" w:styleId="ListAlpha2">
    <w:name w:val="List Alpha 2"/>
    <w:basedOn w:val="List2"/>
    <w:rsid w:val="00D36413"/>
    <w:pPr>
      <w:numPr>
        <w:numId w:val="8"/>
      </w:numPr>
    </w:pPr>
  </w:style>
  <w:style w:type="paragraph" w:styleId="List2">
    <w:name w:val="List 2"/>
    <w:basedOn w:val="BodyText"/>
    <w:rsid w:val="00D364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64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64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64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64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64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6413"/>
    <w:pPr>
      <w:numPr>
        <w:numId w:val="4"/>
      </w:numPr>
    </w:pPr>
  </w:style>
  <w:style w:type="paragraph" w:styleId="ListContinue2">
    <w:name w:val="List Continue 2"/>
    <w:basedOn w:val="List2"/>
    <w:rsid w:val="00D36413"/>
    <w:pPr>
      <w:ind w:firstLine="0"/>
    </w:pPr>
  </w:style>
  <w:style w:type="paragraph" w:styleId="ListContinue3">
    <w:name w:val="List Continue 3"/>
    <w:basedOn w:val="List3"/>
    <w:rsid w:val="00D36413"/>
    <w:pPr>
      <w:ind w:left="1021" w:firstLine="0"/>
    </w:pPr>
  </w:style>
  <w:style w:type="paragraph" w:styleId="ListContinue4">
    <w:name w:val="List Continue 4"/>
    <w:basedOn w:val="List4"/>
    <w:rsid w:val="00D36413"/>
    <w:pPr>
      <w:ind w:firstLine="0"/>
    </w:pPr>
  </w:style>
  <w:style w:type="paragraph" w:styleId="ListContinue5">
    <w:name w:val="List Continue 5"/>
    <w:basedOn w:val="List5"/>
    <w:rsid w:val="00D36413"/>
    <w:pPr>
      <w:ind w:firstLine="0"/>
    </w:pPr>
  </w:style>
  <w:style w:type="paragraph" w:styleId="ListNumber3">
    <w:name w:val="List Number 3"/>
    <w:basedOn w:val="List3"/>
    <w:rsid w:val="00D36413"/>
    <w:pPr>
      <w:numPr>
        <w:numId w:val="5"/>
      </w:numPr>
    </w:pPr>
  </w:style>
  <w:style w:type="paragraph" w:styleId="ListNumber4">
    <w:name w:val="List Number 4"/>
    <w:basedOn w:val="List4"/>
    <w:rsid w:val="00D36413"/>
    <w:pPr>
      <w:numPr>
        <w:numId w:val="6"/>
      </w:numPr>
    </w:pPr>
  </w:style>
  <w:style w:type="paragraph" w:styleId="ListNumber5">
    <w:name w:val="List Number 5"/>
    <w:basedOn w:val="List5"/>
    <w:rsid w:val="00D36413"/>
    <w:pPr>
      <w:numPr>
        <w:numId w:val="7"/>
      </w:numPr>
    </w:pPr>
  </w:style>
  <w:style w:type="paragraph" w:styleId="BlockText">
    <w:name w:val="Block Text"/>
    <w:basedOn w:val="Normal"/>
    <w:rsid w:val="00D364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64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6413"/>
    <w:rPr>
      <w:sz w:val="16"/>
      <w:vertAlign w:val="superscript"/>
    </w:rPr>
  </w:style>
  <w:style w:type="character" w:customStyle="1" w:styleId="Symbols">
    <w:name w:val="Symbols"/>
    <w:basedOn w:val="DefaultParagraphFont"/>
    <w:rsid w:val="00D36413"/>
    <w:rPr>
      <w:rFonts w:ascii="Symbol" w:hAnsi="Symbol"/>
    </w:rPr>
  </w:style>
  <w:style w:type="character" w:customStyle="1" w:styleId="MenuOptions">
    <w:name w:val="Menu Options"/>
    <w:basedOn w:val="DefaultParagraphFont"/>
    <w:rsid w:val="00D364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6413"/>
    <w:rPr>
      <w:b/>
    </w:rPr>
  </w:style>
  <w:style w:type="character" w:customStyle="1" w:styleId="Underlined">
    <w:name w:val="Underlined"/>
    <w:basedOn w:val="DefaultParagraphFont"/>
    <w:rsid w:val="00D36413"/>
    <w:rPr>
      <w:u w:val="single"/>
    </w:rPr>
  </w:style>
  <w:style w:type="paragraph" w:customStyle="1" w:styleId="TableBodyTextRight">
    <w:name w:val="Table Body Text Right"/>
    <w:basedOn w:val="TableBodyText"/>
    <w:rsid w:val="00D364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6413"/>
    <w:rPr>
      <w:sz w:val="18"/>
    </w:rPr>
  </w:style>
  <w:style w:type="paragraph" w:customStyle="1" w:styleId="BodySmallRight">
    <w:name w:val="Body Small Right"/>
    <w:basedOn w:val="BodyTextRight"/>
    <w:rsid w:val="00D36413"/>
    <w:rPr>
      <w:sz w:val="18"/>
      <w:szCs w:val="18"/>
    </w:rPr>
  </w:style>
  <w:style w:type="paragraph" w:customStyle="1" w:styleId="MarginEdition">
    <w:name w:val="Margin Edition"/>
    <w:basedOn w:val="MarginNote"/>
    <w:rsid w:val="00D364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6413"/>
    <w:rPr>
      <w:sz w:val="2"/>
      <w:szCs w:val="2"/>
    </w:rPr>
  </w:style>
  <w:style w:type="character" w:customStyle="1" w:styleId="Small">
    <w:name w:val="Small"/>
    <w:basedOn w:val="DefaultParagraphFont"/>
    <w:rsid w:val="00D36413"/>
    <w:rPr>
      <w:sz w:val="16"/>
    </w:rPr>
  </w:style>
  <w:style w:type="paragraph" w:customStyle="1" w:styleId="WideTable">
    <w:name w:val="Wide Table"/>
    <w:basedOn w:val="Normal"/>
    <w:rsid w:val="00D364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6413"/>
  </w:style>
  <w:style w:type="paragraph" w:styleId="Quote">
    <w:name w:val="Quote"/>
    <w:basedOn w:val="Heading1"/>
    <w:link w:val="QuoteChar"/>
    <w:qFormat/>
    <w:rsid w:val="00D364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64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6413"/>
    <w:pPr>
      <w:pageBreakBefore/>
    </w:pPr>
  </w:style>
  <w:style w:type="paragraph" w:customStyle="1" w:styleId="Border">
    <w:name w:val="Border"/>
    <w:basedOn w:val="Normal"/>
    <w:qFormat/>
    <w:rsid w:val="00D364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64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4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4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64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64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64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64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64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6413"/>
    <w:rPr>
      <w:u w:val="single"/>
    </w:rPr>
  </w:style>
  <w:style w:type="character" w:customStyle="1" w:styleId="BoldandItalics">
    <w:name w:val="Bold and Italics"/>
    <w:qFormat/>
    <w:rsid w:val="00D36413"/>
    <w:rPr>
      <w:b/>
      <w:i/>
      <w:u w:val="none"/>
    </w:rPr>
  </w:style>
  <w:style w:type="paragraph" w:styleId="BalloonText">
    <w:name w:val="Balloon Text"/>
    <w:basedOn w:val="Normal"/>
    <w:link w:val="BalloonTextChar"/>
    <w:rsid w:val="00D364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64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64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64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64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64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6413"/>
    <w:pPr>
      <w:spacing w:before="0" w:after="0"/>
    </w:pPr>
  </w:style>
  <w:style w:type="paragraph" w:customStyle="1" w:styleId="BodyTextBold">
    <w:name w:val="Body Text Bold"/>
    <w:basedOn w:val="BodyText"/>
    <w:qFormat/>
    <w:rsid w:val="00D36413"/>
    <w:rPr>
      <w:b/>
    </w:rPr>
  </w:style>
  <w:style w:type="character" w:styleId="Hyperlink">
    <w:name w:val="Hyperlink"/>
    <w:basedOn w:val="DefaultParagraphFont"/>
    <w:uiPriority w:val="99"/>
    <w:unhideWhenUsed/>
    <w:rsid w:val="00DD73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798</Words>
  <Characters>5008</Characters>
  <Application>Microsoft Office Word</Application>
  <DocSecurity>0</DocSecurity>
  <Lines>227</Lines>
  <Paragraphs>118</Paragraphs>
  <ScaleCrop>false</ScaleCrop>
  <Company>Author-it Software Corporation Ltd.</Company>
  <LinksUpToDate>false</LinksUpToDate>
  <CharactersWithSpaces>5688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UEERE0002 Assemble and connect remote area power supplies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2022-12-13T06:29:00Z</dcterms:created>
  <dcterms:modified xsi:type="dcterms:W3CDTF">2022-12-13T06:29:00Z</dcterms:modified>
</cp:coreProperties>
</file>