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7E1" w:rsidP="001B7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UEERA0097 Install, commission, service and maintain variable refrigerant flow air conditioning systems</w:t>
      </w:r>
      <w:r>
        <w:fldChar w:fldCharType="end"/>
      </w:r>
    </w:p>
    <w:p w:rsidR="001B77E1" w:rsidP="001B77E1">
      <w:pPr>
        <w:pStyle w:val="Version"/>
        <w:sectPr w:rsidSect="004C6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06E" w:rsidP="004C606E">
      <w:pPr>
        <w:pStyle w:val="SuperHeading"/>
      </w:pPr>
      <w:r w:rsidRPr="004C606E">
        <w:t>UEERA0097 Install, commission, service and maintain variable refrigerant flow air conditioning systems</w:t>
      </w:r>
    </w:p>
    <w:p w:rsidR="00000000" w:rsidRPr="004C606E" w:rsidP="004C606E">
      <w:pPr>
        <w:pStyle w:val="Heading1"/>
      </w:pPr>
      <w:bookmarkStart w:id="1" w:name="O_1184257"/>
      <w:bookmarkEnd w:id="1"/>
      <w:r w:rsidRPr="004C60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Release 1. This is the first release of this unit of competency in the UEE Electrotechnology Training Package.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2" w:name="O_1184258"/>
      <w:bookmarkEnd w:id="2"/>
      <w:r w:rsidRPr="004C60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This unit involves the skills and knowledge required to safely and effectively install, commission, service and maintain variable refrigerant flow (VRF) air conditioning systems.</w:t>
            </w:r>
          </w:p>
          <w:p w:rsidR="00000000" w:rsidRPr="004C606E" w:rsidP="004C606E">
            <w:pPr>
              <w:pStyle w:val="BodyText"/>
            </w:pPr>
            <w:r w:rsidRPr="004C606E">
              <w:t>It includes sourcing relevant data and schemat</w:t>
            </w:r>
            <w:r w:rsidRPr="004C606E">
              <w:t>ics; installing components, pipe work, accessories and controls; commissioning the system to ensure it operates at the specified design conditions; locating and rectifying faults; and, carrying out maintenance tasks.</w:t>
            </w:r>
          </w:p>
          <w:p w:rsidR="00000000" w:rsidRPr="004C606E" w:rsidP="004C606E">
            <w:pPr>
              <w:pStyle w:val="BodyText"/>
            </w:pPr>
            <w:r w:rsidRPr="004C606E">
              <w:t>VRF systems are commonly found in comme</w:t>
            </w:r>
            <w:r w:rsidRPr="004C606E">
              <w:t>rcial applications. They contain one or more outdoor units with multiple indoor units. Each indoor unit typically has its own metering device and shares a common pipework system. They are either heat pump or heat recovery systems. Heat pump systems will on</w:t>
            </w:r>
            <w:r w:rsidRPr="004C606E">
              <w:t>ly allow indoor units to operate in the same mode (either heating or cooling). A heat recovery system will allow each indoor unit to operate in a different mode (either heating or cooling) from the same system by the use of a branch box.</w:t>
            </w:r>
          </w:p>
          <w:p w:rsidR="00000000" w:rsidRPr="004C606E" w:rsidP="004C606E">
            <w:pPr>
              <w:pStyle w:val="BodyText"/>
            </w:pPr>
            <w:r w:rsidRPr="004C606E">
              <w:t>The skills and kno</w:t>
            </w:r>
            <w:r w:rsidRPr="004C606E">
              <w:t>wledge in this unit of competency will be applied by refrigeration and air conditioning technicians during the installation, commissioning and servicing of VRF air conditioning systems.</w:t>
            </w:r>
          </w:p>
          <w:p w:rsidR="00000000" w:rsidRPr="004C606E" w:rsidP="004C606E">
            <w:pPr>
              <w:pStyle w:val="BodyText"/>
            </w:pPr>
            <w:r w:rsidRPr="004C606E">
              <w:t>The skills and knowledge described in this unit require a current nati</w:t>
            </w:r>
            <w:r w:rsidRPr="004C606E">
              <w:t>onal Trainee or Full Refrigerant Handling Licence as it includes work on refrigeration and air conditioning equipment that carries the risk of a fluorocarbon refrigerant being emitted while decanting, manufacturing, installing, commissioning, servicing, ma</w:t>
            </w:r>
            <w:r w:rsidRPr="004C606E">
              <w:t>intaining or decommissioning activities are being carried out.</w:t>
            </w:r>
          </w:p>
          <w:p w:rsidR="00000000" w:rsidRPr="004C606E" w:rsidP="004C606E">
            <w:pPr>
              <w:pStyle w:val="BodyText"/>
            </w:pPr>
            <w:r w:rsidRPr="004C606E">
              <w:t>Competency development activities in this unit are subject to regulations directly related to licensing. Where a licence or permit to practice is not held, skills and knowledge described in thi</w:t>
            </w:r>
            <w:r w:rsidRPr="004C606E">
              <w:t>s unit require a relevant contract of training, such as an Australian Apprenticeship.</w:t>
            </w:r>
          </w:p>
          <w:p w:rsidR="00000000" w:rsidRPr="004C606E" w:rsidP="004C606E">
            <w:pPr>
              <w:pStyle w:val="BodyText"/>
            </w:pPr>
            <w:r w:rsidRPr="004C606E">
              <w:t xml:space="preserve">Additional and/or other conditions may apply in some jurisdictions subject to regulations related to refrigeration, air conditioning and electrical work. Practice in the </w:t>
            </w:r>
            <w:r w:rsidRPr="004C606E">
              <w:t>workplace and during training is also subject to work health and safety (WHS)/occupational health and safety (OHS) regulations.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3" w:name="O_1184259"/>
      <w:bookmarkEnd w:id="3"/>
      <w:r w:rsidRPr="004C60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UEECD0007 Apply work health and safety regulations, codes and practices in the workplace</w:t>
            </w:r>
          </w:p>
        </w:tc>
      </w:tr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UEERA0051 Install, commission, service and maintain air conditioning systems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4" w:name="O_1184260"/>
      <w:bookmarkEnd w:id="4"/>
      <w:r w:rsidRPr="004C60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Refrigeration and air-conditioning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5" w:name="O_1184261"/>
      <w:bookmarkEnd w:id="5"/>
      <w:r w:rsidRPr="004C60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Electrotechnology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6" w:name="O_1184262"/>
      <w:bookmarkEnd w:id="6"/>
      <w:r w:rsidRPr="004C606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PERFORMANCE CRITERIA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Performance criteria describe the performance needed to demonstrate achievement of the element.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Prepare to work on variable refrigerant flow (VRF)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WHS/OHS risk control measures and procedures for carrying out the work are obtained and implemented in accordance with workplace procedures and regulatory requirements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W</w:t>
            </w:r>
            <w:r w:rsidRPr="004C606E">
              <w:t>ork details are determined from documentation and/or supervisor to establish scope of work to be completed in accordance with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Relevant manufacturer specifications and worksite plans are interpreted and incorporated in work plan</w:t>
            </w:r>
            <w:r w:rsidRPr="004C606E">
              <w:t>ning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Components, piping, accessories, controls and consumables for the work are obtained and checked against job requirements in accordance with Australian Standards and codes of practice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 xml:space="preserve">Tools, equipment and testing devices to complete work </w:t>
            </w:r>
            <w:r w:rsidRPr="004C606E">
              <w:t>are obtained and checked for operational safety in accordance with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Install VRF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The location and orientation of branching and support of pipe work is determined and laid out in accordance with system desi</w:t>
            </w:r>
            <w:r w:rsidRPr="004C606E">
              <w:t>gn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Major components are securely mounted in the locations identified by the documentation or the supervisor in accordance with workplace procedures and regulatory requirements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 xml:space="preserve">Refrigerant pipework and associated components are </w:t>
            </w:r>
            <w:r w:rsidRPr="004C606E">
              <w:t>installed and tube cleanliness is maintained at all times in accordance with workplace procedures, Australian Standards and manufacturer specifications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Condensate pipework is installed and tested in</w:t>
            </w:r>
            <w:r w:rsidRPr="004C606E">
              <w:t xml:space="preserve"> accordance with design, Australian Standards and manufacturer specifications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Communication wiring is checked to ensure it conforms to manufacturer circuit diagram, specifications and Australian Standards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Pressure testing of the installed com</w:t>
            </w:r>
            <w:r w:rsidRPr="004C606E">
              <w:t>ponents and pipe work is conducted to the required level for the type of refrigerant being used in accordance with relevant Australian Standards, codes of practices and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Leaks are located and rectified employing appropriate methods in accordance with relevant Australian Standards, codes of practices and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 xml:space="preserve">Air conditioning system is evacuated to remove moisture and other contaminants in accordance </w:t>
            </w:r>
            <w:r w:rsidRPr="004C606E">
              <w:t>with relevant Australian Standards, codes of practices and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Vacuum drop test is carried out to verify all moisture and other contaminants have been removed from the system in accordance with relevant Australian Standards, codes o</w:t>
            </w:r>
            <w:r w:rsidRPr="004C606E">
              <w:t>f practices and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Commission VRF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Extra refrigerant charge quantity is documented in accordance with Australian Standards and manufacturer specifications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Measurements are obtained using manufacturer diagnostic tools and recorded to confirm system operation is in accordance with the system’s design and manufacturer specifications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Measurements are obtained and recorded to confirm that operating voltage</w:t>
            </w:r>
            <w:r w:rsidRPr="004C606E">
              <w:t xml:space="preserve"> and current are within manufacturer specifications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Locate and rectify faults on VRF air conditioning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Fault diagnosis processes are carried out in accordance with manufacturer processes and specifications, relevant Australian Standards, code</w:t>
            </w:r>
            <w:r w:rsidRPr="004C606E">
              <w:t>s of practices and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Required repairs are identified and reported in accordance with manufacturer processes, relevant Australian Standards, codes of practices and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Routine maintenance requirements are identified in accordance with relevant Australian Standards and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rPr>
                <w:rStyle w:val="SpecialBold"/>
              </w:rPr>
              <w:t>Complete work and report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WHS/OHS risk control measures continue to be applied in accordance with workplace procedure</w:t>
            </w:r>
            <w:r w:rsidRPr="004C606E">
              <w:t>s and regulatory requirements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Worksite and equipment are cleaned and made safe in accordance with workplace procedures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t>Required documentation is completed in accordance with relevant regulations, Australian Standards and codes of practice</w:t>
            </w:r>
          </w:p>
        </w:tc>
      </w:tr>
      <w:tr w:rsidTr="004C60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06E">
            <w:pPr>
              <w:pStyle w:val="BodyText"/>
              <w:rPr>
                <w:lang w:val="en-NZ"/>
              </w:rPr>
            </w:pPr>
            <w:r w:rsidRPr="004C606E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Supervisor is notified of task completion in accordance with workplace procedures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7" w:name="O_1184263"/>
      <w:bookmarkEnd w:id="7"/>
      <w:r w:rsidRPr="004C60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Foundation skills essential to performance are explicit in the performance criteria of this unit of competency.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8" w:name="O_1184264"/>
      <w:bookmarkEnd w:id="8"/>
      <w:r w:rsidRPr="004C60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Range is restricted to essential operating conditions and any other variables essential to the work environment.</w:t>
            </w:r>
          </w:p>
          <w:p w:rsidR="00000000" w:rsidRPr="004C606E" w:rsidP="004C606E">
            <w:pPr>
              <w:pStyle w:val="BodyText"/>
            </w:pPr>
            <w:r w:rsidRPr="004C606E">
              <w:t>Non-essential conditions may be found in the UEE Electrotechnology Training Package Companion Volume Implementatio</w:t>
            </w:r>
            <w:r w:rsidRPr="004C606E">
              <w:t>n Guide.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9" w:name="O_1184265"/>
      <w:bookmarkEnd w:id="9"/>
      <w:r w:rsidRPr="004C60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0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06E" w:rsidP="004C606E">
            <w:pPr>
              <w:pStyle w:val="BodyText"/>
            </w:pPr>
            <w:r w:rsidRPr="004C606E">
              <w:t>Newly created unit.</w:t>
            </w:r>
          </w:p>
        </w:tc>
      </w:tr>
    </w:tbl>
    <w:p w:rsidR="00000000" w:rsidRPr="004C606E" w:rsidP="004C606E">
      <w:pPr>
        <w:pStyle w:val="NoPaddingFontSize1"/>
      </w:pPr>
    </w:p>
    <w:p w:rsidR="00000000" w:rsidRPr="004C606E" w:rsidP="004C606E">
      <w:pPr>
        <w:pStyle w:val="AllowPageBreak"/>
      </w:pPr>
    </w:p>
    <w:p w:rsidR="00000000" w:rsidRPr="004C606E" w:rsidP="004C606E">
      <w:pPr>
        <w:pStyle w:val="Heading1"/>
      </w:pPr>
      <w:bookmarkStart w:id="10" w:name="O_1184272"/>
      <w:bookmarkEnd w:id="10"/>
      <w:r w:rsidRPr="004C606E">
        <w:t>Links</w:t>
      </w:r>
    </w:p>
    <w:p w:rsidR="00000000" w:rsidRPr="004C606E" w:rsidP="001B77E1">
      <w:pPr>
        <w:pStyle w:val="BodyText"/>
      </w:pPr>
      <w:r w:rsidRPr="004C60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263E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C606E" w:rsidP="004C606E"/>
    <w:sectPr w:rsidSect="004C60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6E" w:rsidRPr="001B77E1" w:rsidP="001B7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E1" w:rsidP="004C6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7E1" w:rsidP="004C6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B77E1" w:rsidP="004C6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06E" w:rsidRPr="001B77E1" w:rsidP="001B7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E1" w:rsidRPr="002D2AF8" w:rsidP="004C6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UEERA0097 Install, commission, service and maintain variable refrigerant flow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B77E1" w:rsidP="004C6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06E"/>
  </w:style>
  <w:style w:type="character" w:customStyle="1" w:styleId="Heading1Char">
    <w:name w:val="Heading 1 Char"/>
    <w:basedOn w:val="DefaultParagraphFont"/>
    <w:link w:val="Heading1"/>
    <w:rsid w:val="004C6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0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606E"/>
    <w:rPr>
      <w:b/>
      <w:spacing w:val="0"/>
    </w:rPr>
  </w:style>
  <w:style w:type="paragraph" w:customStyle="1" w:styleId="SuperHeading">
    <w:name w:val="SuperHeading"/>
    <w:basedOn w:val="Normal"/>
    <w:rsid w:val="004C6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6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0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0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6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0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0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06E"/>
    <w:rPr>
      <w:i/>
    </w:rPr>
  </w:style>
  <w:style w:type="paragraph" w:styleId="Caption">
    <w:name w:val="caption"/>
    <w:basedOn w:val="BodyText"/>
    <w:next w:val="Normal"/>
    <w:qFormat/>
    <w:rsid w:val="004C6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06E"/>
  </w:style>
  <w:style w:type="paragraph" w:styleId="TableofFigures">
    <w:name w:val="table of figures"/>
    <w:basedOn w:val="Normal"/>
    <w:next w:val="Normal"/>
    <w:semiHidden/>
    <w:rsid w:val="004C6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0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606E"/>
    <w:rPr>
      <w:rFonts w:ascii="Wingdings" w:hAnsi="Wingdings"/>
    </w:rPr>
  </w:style>
  <w:style w:type="paragraph" w:customStyle="1" w:styleId="TableHeading">
    <w:name w:val="Table Heading"/>
    <w:basedOn w:val="HeadingBase"/>
    <w:rsid w:val="004C6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06E"/>
    <w:rPr>
      <w:color w:val="0033CC"/>
      <w:u w:val="none"/>
    </w:rPr>
  </w:style>
  <w:style w:type="paragraph" w:customStyle="1" w:styleId="BodyTextRight">
    <w:name w:val="Body Text Right"/>
    <w:basedOn w:val="BodyText"/>
    <w:rsid w:val="004C6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0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06E"/>
    <w:rPr>
      <w:sz w:val="32"/>
    </w:rPr>
  </w:style>
  <w:style w:type="paragraph" w:customStyle="1" w:styleId="HeadingProcedure">
    <w:name w:val="Heading Procedure"/>
    <w:basedOn w:val="HeadingBase"/>
    <w:next w:val="Normal"/>
    <w:rsid w:val="004C6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06E"/>
    <w:pPr>
      <w:spacing w:before="60" w:after="60"/>
    </w:pPr>
  </w:style>
  <w:style w:type="paragraph" w:styleId="ListContinue">
    <w:name w:val="List Continue"/>
    <w:basedOn w:val="List"/>
    <w:rsid w:val="004C606E"/>
    <w:pPr>
      <w:ind w:firstLine="0"/>
    </w:pPr>
  </w:style>
  <w:style w:type="paragraph" w:customStyle="1" w:styleId="ListNote">
    <w:name w:val="List Note"/>
    <w:basedOn w:val="List"/>
    <w:rsid w:val="004C6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06E"/>
    <w:rPr>
      <w:rFonts w:ascii="Courier New" w:hAnsi="Courier New"/>
    </w:rPr>
  </w:style>
  <w:style w:type="paragraph" w:customStyle="1" w:styleId="NoteBullet">
    <w:name w:val="Note Bullet"/>
    <w:basedOn w:val="Note"/>
    <w:rsid w:val="004C6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0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6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06E"/>
    <w:rPr>
      <w:b/>
      <w:smallCaps/>
    </w:rPr>
  </w:style>
  <w:style w:type="paragraph" w:customStyle="1" w:styleId="TableListNumber">
    <w:name w:val="Table List Number"/>
    <w:basedOn w:val="ListNumber"/>
    <w:rsid w:val="004C6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06E"/>
    <w:pPr>
      <w:numPr>
        <w:numId w:val="7"/>
      </w:numPr>
    </w:pPr>
  </w:style>
  <w:style w:type="paragraph" w:customStyle="1" w:styleId="ListAlpha2">
    <w:name w:val="List Alpha 2"/>
    <w:basedOn w:val="List2"/>
    <w:rsid w:val="004C606E"/>
    <w:pPr>
      <w:numPr>
        <w:numId w:val="6"/>
      </w:numPr>
    </w:pPr>
  </w:style>
  <w:style w:type="paragraph" w:styleId="List2">
    <w:name w:val="List 2"/>
    <w:basedOn w:val="BodyText"/>
    <w:rsid w:val="004C6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0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0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606E"/>
    <w:pPr>
      <w:numPr>
        <w:numId w:val="2"/>
      </w:numPr>
    </w:pPr>
  </w:style>
  <w:style w:type="paragraph" w:styleId="ListContinue2">
    <w:name w:val="List Continue 2"/>
    <w:basedOn w:val="List2"/>
    <w:rsid w:val="004C606E"/>
    <w:pPr>
      <w:ind w:firstLine="0"/>
    </w:pPr>
  </w:style>
  <w:style w:type="paragraph" w:styleId="ListContinue3">
    <w:name w:val="List Continue 3"/>
    <w:basedOn w:val="List3"/>
    <w:rsid w:val="004C606E"/>
    <w:pPr>
      <w:ind w:left="1021" w:firstLine="0"/>
    </w:pPr>
  </w:style>
  <w:style w:type="paragraph" w:styleId="ListContinue4">
    <w:name w:val="List Continue 4"/>
    <w:basedOn w:val="List4"/>
    <w:rsid w:val="004C606E"/>
    <w:pPr>
      <w:ind w:firstLine="0"/>
    </w:pPr>
  </w:style>
  <w:style w:type="paragraph" w:styleId="ListContinue5">
    <w:name w:val="List Continue 5"/>
    <w:basedOn w:val="List5"/>
    <w:rsid w:val="004C606E"/>
    <w:pPr>
      <w:ind w:firstLine="0"/>
    </w:pPr>
  </w:style>
  <w:style w:type="paragraph" w:styleId="ListNumber3">
    <w:name w:val="List Number 3"/>
    <w:basedOn w:val="List3"/>
    <w:rsid w:val="004C606E"/>
    <w:pPr>
      <w:numPr>
        <w:numId w:val="3"/>
      </w:numPr>
    </w:pPr>
  </w:style>
  <w:style w:type="paragraph" w:styleId="ListNumber4">
    <w:name w:val="List Number 4"/>
    <w:basedOn w:val="List4"/>
    <w:rsid w:val="004C606E"/>
    <w:pPr>
      <w:numPr>
        <w:numId w:val="4"/>
      </w:numPr>
    </w:pPr>
  </w:style>
  <w:style w:type="paragraph" w:styleId="ListNumber5">
    <w:name w:val="List Number 5"/>
    <w:basedOn w:val="List5"/>
    <w:rsid w:val="004C606E"/>
    <w:pPr>
      <w:numPr>
        <w:numId w:val="5"/>
      </w:numPr>
    </w:pPr>
  </w:style>
  <w:style w:type="paragraph" w:styleId="BlockText">
    <w:name w:val="Block Text"/>
    <w:basedOn w:val="Normal"/>
    <w:rsid w:val="004C6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06E"/>
    <w:rPr>
      <w:sz w:val="16"/>
      <w:vertAlign w:val="superscript"/>
    </w:rPr>
  </w:style>
  <w:style w:type="character" w:customStyle="1" w:styleId="Symbols">
    <w:name w:val="Symbols"/>
    <w:basedOn w:val="DefaultParagraphFont"/>
    <w:rsid w:val="004C606E"/>
    <w:rPr>
      <w:rFonts w:ascii="Symbol" w:hAnsi="Symbol"/>
    </w:rPr>
  </w:style>
  <w:style w:type="character" w:customStyle="1" w:styleId="MenuOptions">
    <w:name w:val="Menu Options"/>
    <w:basedOn w:val="DefaultParagraphFont"/>
    <w:rsid w:val="004C6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06E"/>
    <w:rPr>
      <w:b/>
    </w:rPr>
  </w:style>
  <w:style w:type="character" w:customStyle="1" w:styleId="Underlined">
    <w:name w:val="Underlined"/>
    <w:basedOn w:val="DefaultParagraphFont"/>
    <w:rsid w:val="004C606E"/>
    <w:rPr>
      <w:u w:val="single"/>
    </w:rPr>
  </w:style>
  <w:style w:type="paragraph" w:customStyle="1" w:styleId="TableBodyTextRight">
    <w:name w:val="Table Body Text Right"/>
    <w:basedOn w:val="TableBodyText"/>
    <w:rsid w:val="004C6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06E"/>
    <w:rPr>
      <w:sz w:val="18"/>
    </w:rPr>
  </w:style>
  <w:style w:type="paragraph" w:customStyle="1" w:styleId="BodySmallRight">
    <w:name w:val="Body Small Right"/>
    <w:basedOn w:val="BodyTextRight"/>
    <w:rsid w:val="004C606E"/>
    <w:rPr>
      <w:sz w:val="18"/>
      <w:szCs w:val="18"/>
    </w:rPr>
  </w:style>
  <w:style w:type="paragraph" w:customStyle="1" w:styleId="MarginEdition">
    <w:name w:val="Margin Edition"/>
    <w:basedOn w:val="MarginNote"/>
    <w:rsid w:val="004C6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06E"/>
    <w:rPr>
      <w:sz w:val="2"/>
      <w:szCs w:val="2"/>
    </w:rPr>
  </w:style>
  <w:style w:type="character" w:customStyle="1" w:styleId="Small">
    <w:name w:val="Small"/>
    <w:basedOn w:val="DefaultParagraphFont"/>
    <w:rsid w:val="004C606E"/>
    <w:rPr>
      <w:sz w:val="16"/>
    </w:rPr>
  </w:style>
  <w:style w:type="paragraph" w:customStyle="1" w:styleId="WideTable">
    <w:name w:val="Wide Table"/>
    <w:basedOn w:val="Normal"/>
    <w:rsid w:val="004C6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06E"/>
  </w:style>
  <w:style w:type="paragraph" w:styleId="Quote">
    <w:name w:val="Quote"/>
    <w:basedOn w:val="Heading1"/>
    <w:link w:val="QuoteChar"/>
    <w:qFormat/>
    <w:rsid w:val="004C6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06E"/>
    <w:pPr>
      <w:pageBreakBefore/>
    </w:pPr>
  </w:style>
  <w:style w:type="paragraph" w:customStyle="1" w:styleId="Border">
    <w:name w:val="Border"/>
    <w:basedOn w:val="Normal"/>
    <w:qFormat/>
    <w:rsid w:val="004C6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06E"/>
    <w:rPr>
      <w:u w:val="single"/>
    </w:rPr>
  </w:style>
  <w:style w:type="character" w:customStyle="1" w:styleId="BoldandItalics">
    <w:name w:val="Bold and Italics"/>
    <w:qFormat/>
    <w:rsid w:val="004C606E"/>
    <w:rPr>
      <w:b/>
      <w:i/>
      <w:u w:val="none"/>
    </w:rPr>
  </w:style>
  <w:style w:type="paragraph" w:styleId="BalloonText">
    <w:name w:val="Balloon Text"/>
    <w:basedOn w:val="Normal"/>
    <w:link w:val="BalloonTextChar"/>
    <w:rsid w:val="004C6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06E"/>
    <w:pPr>
      <w:spacing w:before="0" w:after="0"/>
    </w:pPr>
  </w:style>
  <w:style w:type="paragraph" w:customStyle="1" w:styleId="BodyTextBold">
    <w:name w:val="Body Text Bold"/>
    <w:basedOn w:val="BodyText"/>
    <w:qFormat/>
    <w:rsid w:val="004C606E"/>
    <w:rPr>
      <w:b/>
    </w:rPr>
  </w:style>
  <w:style w:type="character" w:styleId="Hyperlink">
    <w:name w:val="Hyperlink"/>
    <w:basedOn w:val="DefaultParagraphFont"/>
    <w:uiPriority w:val="99"/>
    <w:unhideWhenUsed/>
    <w:rsid w:val="001B7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6673</Characters>
  <Application>Microsoft Office Word</Application>
  <DocSecurity>0</DocSecurity>
  <Lines>256</Lines>
  <Paragraphs>108</Paragraphs>
  <ScaleCrop>false</ScaleCrop>
  <Company>Author-it Software Corporation Ltd.</Company>
  <LinksUpToDate>false</LinksUpToDate>
  <CharactersWithSpaces>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UEERA0097 Install, commission, service and maintain variable refrigerant flow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